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8.png" ContentType="image/png"/>
  <Override PartName="/word/media/rId37.png" ContentType="image/png"/>
  <Override PartName="/word/media/rId33.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 everything a Niche model?</w:t>
      </w:r>
    </w:p>
    <w:p>
      <w:pPr>
        <w:pStyle w:val="Author"/>
      </w:pPr>
      <w:r>
        <w:t xml:space="preserve">Tanya Strydom</w:t>
      </w:r>
    </w:p>
    <w:p>
      <w:pPr>
        <w:pStyle w:val="Author"/>
      </w:pPr>
      <w:r>
        <w:t xml:space="preserve">Xiaoxiao Li</w:t>
      </w:r>
    </w:p>
    <w:p>
      <w:pPr>
        <w:pStyle w:val="Author"/>
      </w:pPr>
      <w:r>
        <w:t xml:space="preserve">Laura Sophia Landon Blake</w:t>
      </w:r>
    </w:p>
    <w:p>
      <w:pPr>
        <w:pStyle w:val="Author"/>
      </w:pPr>
      <w:r>
        <w:t xml:space="preserve">Andrew P. Beckerman</w:t>
      </w:r>
    </w:p>
    <w:p>
      <w:pPr>
        <w:pStyle w:val="Author"/>
      </w:pPr>
      <w:r>
        <w:t xml:space="preserve">Dylan Z. Childs</w:t>
      </w:r>
    </w:p>
    <w:p>
      <w:pPr>
        <w:pStyle w:val="Date"/>
      </w:pPr>
      <w:r>
        <w:t xml:space="preserve">2026-08-21</w:t>
      </w:r>
    </w:p>
    <w:p>
      <w:pPr>
        <w:pStyle w:val="AbstractTitle"/>
      </w:pPr>
      <w:r>
        <w:t xml:space="preserve">Abstract</w:t>
      </w:r>
    </w:p>
    <w:p>
      <w:pPr>
        <w:pStyle w:val="Abstract"/>
      </w:pPr>
      <w:r>
        <w:t xml:space="preserve">Food web ecology relies heavily on generative models to reconstruct trophic interactions, yet these models embody fundamentally different assumptions about how ecological networks are formed. Whether these alternative reconstruction frameworks provide interchangeable baselines for studying ecosystem dynamics remains largely unknown. Here, we compared seven food-web generative models spanning structural, statistical, and trait-based philosophies by embedding each within an identical bioenergetic simulation framework while controlling species pools and dynamical rules. Initial networks occupied distinct regions of multivariate topology space, demonstrating that reconstruction framework alone generates substantially different food-web architectures. Following bioenergetic simulations, however, realised networks converged towards a shared structural region through extinction-driven pruning of trophic interactions, indicating that ecological dynamics impose strong constraints on viable network topology. Despite this structural convergence, local stability properties remained strongly dependent on the original generative model. Reactivity and resilience differed consistently among reconstruction frameworks, whereas broader network-level stability metrics were explained primarily by realised species richness rather than model identity. These results demonstrate that generative models are not neutral representations of ecological communities but inferential priors that shape conclusions about ecosystem stability. While structural models may provide adequate approximations for broad topological or diversity patterns, mechanistic trait-based models are necessary for predicting transient dynamics and local stability. Our findings argue that food-web reconstruction should be matched explicitly to ecological inference rather than treated as a universal modelling baseline.</w:t>
      </w:r>
    </w:p>
    <w:bookmarkStart w:id="9" w:name="introduction"/>
    <w:p>
      <w:pPr>
        <w:pStyle w:val="Heading1"/>
      </w:pPr>
      <w:r>
        <w:t xml:space="preserve">1. Introduction</w:t>
      </w:r>
    </w:p>
    <w:p>
      <w:pPr>
        <w:pStyle w:val="FirstParagraph"/>
      </w:pPr>
      <w:r>
        <w:t xml:space="preserve">For over two decades, community ecology has relied heavily on static generative models as a means to understand the complexity of empirical trophic networks. At the center of this structural framework is the niche model. Introduced by</w:t>
      </w:r>
      <w:r>
        <w:t xml:space="preserve"> </w:t>
      </w:r>
      <w:r>
        <w:t xml:space="preserve">Williams &amp; Martinez (2000)</w:t>
      </w:r>
      <w:r>
        <w:t xml:space="preserve"> </w:t>
      </w:r>
      <w:r>
        <w:t xml:space="preserve">as a major advancement over the strictly hierarchical cascade model</w:t>
      </w:r>
      <w:r>
        <w:t xml:space="preserve"> </w:t>
      </w:r>
      <w:r>
        <w:t xml:space="preserve">(Cohen et al., 1990)</w:t>
      </w:r>
      <w:r>
        <w:t xml:space="preserve">, the niche model posits that complex food webs can be reproduced by mapping species onto a one-dimensional, continuous niche axis where consumers feed on a contiguous interval of prey. The simplicity of these rules has proven to be remarkably successful, being able to accurate replicate emergent topological properties of empirical networks (such as degree distributions, path lengths, and realistic proportions of trophic guilds</w:t>
      </w:r>
      <w:r>
        <w:t xml:space="preserve"> </w:t>
      </w:r>
      <w:r>
        <w:t xml:space="preserve">(Williams &amp; Martinez, 2000)</w:t>
      </w:r>
      <w:r>
        <w:t xml:space="preserve">). Consequently, the niche model has established itself as the default baseline for exploring the macro-ecological patterns of ecosystems, evaluating network robustness to primary extinctions, and parameterising Jacobian matrices to probe the boundaries of ecosystem stability</w:t>
      </w:r>
      <w:r>
        <w:t xml:space="preserve"> </w:t>
      </w:r>
      <w:r>
        <w:t xml:space="preserve">(Allesina &amp; Tang, 2012; Curtsdotter et al., 2011)</w:t>
      </w:r>
      <w:r>
        <w:t xml:space="preserve">.</w:t>
      </w:r>
    </w:p>
    <w:p>
      <w:pPr>
        <w:pStyle w:val="BodyText"/>
      </w:pPr>
      <w:r>
        <w:t xml:space="preserve">However, this widespread reliance on topological heuristics has obscured a fundamental philosophical divide between structural abstractions and the biological processes that realise real-world networks</w:t>
      </w:r>
      <w:r>
        <w:t xml:space="preserve"> </w:t>
      </w:r>
      <w:r>
        <w:t xml:space="preserve">(Strydom, Dunhill, et al., 2026)</w:t>
      </w:r>
      <w:r>
        <w:t xml:space="preserve">. Traditional structural models operate from the network down, prioritising the statistical distribution of links across a network without explicitly accounting for individual organismal traits or evolutionary constraints. In stark contrast, mechanical frameworks build interaction networks from the node up by determining the presence of links between nodes to build the network. For example, the Allometric Diet Breadth Model (ADBM) implements optimal foraging theory, asserting that a consumer’s realised diet is a deterministic outcome of energy maximization relative to handling times and encounter rates scaled to body mass</w:t>
      </w:r>
      <w:r>
        <w:t xml:space="preserve"> </w:t>
      </w:r>
      <w:r>
        <w:t xml:space="preserve">(Petchey et al., 2008)</w:t>
      </w:r>
      <w:r>
        <w:t xml:space="preserve">. Similarly, the Allometric Trophic Network (ATN) framework anchors interaction probabilities in consumer-resource body-mass ratios, treating metabolic scaling and physical size limits as the primary limitations of energy flux</w:t>
      </w:r>
      <w:r>
        <w:t xml:space="preserve"> </w:t>
      </w:r>
      <w:r>
        <w:t xml:space="preserve">(Brose et al., 2006; Schneider et al., 2016)</w:t>
      </w:r>
      <w:r>
        <w:t xml:space="preserve">. Occupying a distinct space between these mechanistic and phenomenological perspectives is the Maximum Entropy (MaxEnt) framework</w:t>
      </w:r>
      <w:r>
        <w:t xml:space="preserve"> </w:t>
      </w:r>
      <w:r>
        <w:t xml:space="preserve">(Banville et al., 2023)</w:t>
      </w:r>
      <w:r>
        <w:t xml:space="preserve">. While MaxEnt remains a structural approach free of explicit biological traits, its philosophical origins lie in statistical mechanics rather than an assumed ecological niche axis. By generating network configurations that maximise informational entropy subject only to macroscopic constraints (such as joint degree distributions), MaxEnt offers a fundamentally different null expectation for network architecture, unburdened by an underlying hierarchical template.</w:t>
      </w:r>
    </w:p>
    <w:p>
      <w:pPr>
        <w:pStyle w:val="BodyText"/>
      </w:pPr>
      <w:r>
        <w:t xml:space="preserve">This conceptual divergence raises a critical question for theoretical ecology: Do these distinct structural, statistical, and bioenergetic templates represent interchangeable starting points that ultimately lead to the same conclusions about community dynamics, or does the choice of network construction inherently bias our understanding of ecosystem stability? Recent work has demonstrated that different network construction methods using identical species pools generate vastly different topological signatures and display high interaction (link-based) differences</w:t>
      </w:r>
      <w:r>
        <w:t xml:space="preserve"> </w:t>
      </w:r>
      <w:r>
        <w:t xml:space="preserve">(Strydom, Karapunar, et al., 2026)</w:t>
      </w:r>
      <w:r>
        <w:t xml:space="preserve">. Because the choice of reconstruction framework influences realised network properties we cannot assume that dynamical predictions are immune to these initial structural assumptions. Indeed, network structure heavily coordinates how biomass is efficiently stored and distributed across trophic levels</w:t>
      </w:r>
      <w:r>
        <w:t xml:space="preserve"> </w:t>
      </w:r>
      <w:r>
        <w:t xml:space="preserve">(Delmas et al., n.d.)</w:t>
      </w:r>
      <w:r>
        <w:t xml:space="preserve">. If the structural template dictates a community’s emergent bioenergetic properties (such as its biomass top-heaviness) then the choice of generative model likely carries heavy, unexplored cascading consequences for long-term community dynamics.</w:t>
      </w:r>
    </w:p>
    <w:p>
      <w:pPr>
        <w:pStyle w:val="BodyText"/>
      </w:pPr>
      <w:r>
        <w:t xml:space="preserve">If the stability of ecological communities is governed primarily by coarse, systemic constraints on topology, then distinct generative models should yield functionally redundant dynamic behaviors and converge under the selective pressure of competitive exclusion. Conversely, if body-mass distributions and optimal foraging behaviors create unique, non-random structural dependencies that cannot be compressed onto a one-dimensional niche axis, defaulting to the niche model may systematically distort our predictions of community resilience and multi-trophic biodiversity loss. In this study, we systematically isolate the inferential consequences of these structural priors. By embedding networks generated from six distinct modelling philosophies (spanning purely structural, statistical, and trait-driven approaches) within an identical bioenergetic simulation framework, we evaluate whether our foundational models function as benign structural templates or if they fundamentally direct the trajectory of ecological inference.</w:t>
      </w:r>
    </w:p>
    <w:bookmarkEnd w:id="9"/>
    <w:bookmarkStart w:id="18" w:name="methods"/>
    <w:p>
      <w:pPr>
        <w:pStyle w:val="Heading1"/>
      </w:pPr>
      <w:r>
        <w:t xml:space="preserve">2. Methods</w:t>
      </w:r>
    </w:p>
    <w:bookmarkStart w:id="11" w:name="network-generation"/>
    <w:p>
      <w:pPr>
        <w:pStyle w:val="Heading2"/>
      </w:pPr>
      <w:r>
        <w:t xml:space="preserve">2.1 Network generation</w:t>
      </w:r>
    </w:p>
    <w:p>
      <w:pPr>
        <w:pStyle w:val="FirstParagraph"/>
      </w:pPr>
      <w:r>
        <w:t xml:space="preserve">We generated food webs using six established generative models, spanning structural (Niche, Cascade, Random, MaxEnt) and trait-based approaches (Latent Trait Model, Allometric Trophic Network, Allometric Diet Breadth Model). All simulations were implemented in Julia using FoodWebTools and custom extensions.</w:t>
      </w:r>
    </w:p>
    <w:p>
      <w:pPr>
        <w:pStyle w:val="BodyText"/>
      </w:pPr>
      <w:r>
        <w:t xml:space="preserve">To isolate model effects from input variation, all trait-based models were parameterised using an identical species pool at each replicate. Species richness was set to range between</w:t>
      </w:r>
      <w:r>
        <w:t xml:space="preserve"> </w:t>
      </w:r>
      <w:r>
        <w:rPr>
          <w:b/>
          <w:bCs/>
        </w:rPr>
        <w:t xml:space="preserve">XXX</w:t>
      </w:r>
      <w:r>
        <w:t xml:space="preserve">, and for each iteration we sampled (i) a target basal fraction (U(0.1,0.3)), (ii) metabolic classes consistent with this fraction, and (iii) body masses from class-specific log-uniform distributions. These inputs were shared across the Latent Trait, ATN, and ADBM models. Structural models were instead parameterised by a target connectance drawn from U(0.05, 0.3) where relevant.</w:t>
      </w:r>
    </w:p>
    <w:p>
      <w:pPr>
        <w:pStyle w:val="BodyText"/>
      </w:pPr>
      <w:r>
        <w:t xml:space="preserve">Networks were generated using a rejection-sampling procedure to enforce comparable emergent properties. A network was retained only if its realised basal fraction and connectance fell within the target ranges (0.1–0.3 and 0.05–0.3, respectively). For trait-based models, networks were accepted only when all three models successfully generated valid networks from the same species pool. We obtained</w:t>
      </w:r>
      <w:r>
        <w:t xml:space="preserve"> </w:t>
      </w:r>
      <w:r>
        <w:rPr>
          <w:b/>
          <w:bCs/>
        </w:rPr>
        <w:t xml:space="preserve">100</w:t>
      </w:r>
      <w:r>
        <w:t xml:space="preserve"> </w:t>
      </w:r>
      <w:r>
        <w:t xml:space="preserve">valid replicates per model, with an upper bound on sampling attempts to prevent non-termination. MaxEnt networks were constructed by sampling joint in- and out-degree distributions consistent with a target number of links, followed by entropy-maximising rewiring under degree constraints. For each network, we recorded the adjacency matrix, model identity, input parameters, emergent structural properties, and (where applicable) species traits.</w:t>
      </w:r>
    </w:p>
    <w:tbl>
      <w:tblPr>
        <w:tblStyle w:val="Table"/>
        <w:tblW w:type="pct" w:w="5000"/>
        <w:tblLayout w:type="fixed"/>
        <w:tblLook w:firstRow="0" w:lastRow="0" w:firstColumn="0" w:lastColumn="0" w:noHBand="0" w:noVBand="0" w:val="0000"/>
      </w:tblPr>
      <w:tblGrid>
        <w:gridCol w:w="7920"/>
      </w:tblGrid>
      <w:tr>
        <w:tc>
          <w:tcPr/>
          <w:bookmarkStart w:id="10" w:name="tbl-models"/>
          <w:p>
            <w:pPr>
              <w:jc w:val="center"/>
            </w:pPr>
            <w:pPr>
              <w:jc w:val="left"/>
              <w:spacing w:before="200"/>
              <w:pStyle w:val="ImageCaption"/>
            </w:pPr>
            <w:r>
              <w:t xml:space="preserve">Table 1: Summary of food web models used in this study. Structural models (Niche, Cascade, MaxEnt) generate network topology based on abstract or statistical rules, while realised/dynamic models (ADBM, ATN, Latent trait) incorporate species-specific traits and biological mechanisms to predict interactions. For each model, we list the main inputs and the key assumptions that govern link formation.</w:t>
            </w:r>
          </w:p>
          <w:tbl>
            <w:tblPr>
              <w:tblStyle w:val="Table"/>
              <w:tblW w:type="pct" w:w="5000"/>
              <w:tblLayout w:type="fixed"/>
              <w:tblLook w:firstRow="1" w:lastRow="0" w:firstColumn="0" w:lastColumn="0" w:noHBand="0" w:noVBand="0" w:val="0020"/>
            </w:tblPr>
            <w:tblGrid>
              <w:gridCol w:w="1952"/>
              <w:gridCol w:w="1952"/>
              <w:gridCol w:w="1952"/>
              <w:gridCol w:w="2061"/>
            </w:tblGrid>
            <w:tr>
              <w:trPr>
                <w:tblHeader w:val="on"/>
              </w:trPr>
              <w:tc>
                <w:tcPr/>
                <w:p>
                  <w:pPr>
                    <w:pStyle w:val="Compact"/>
                    <w:jc w:val="center"/>
                  </w:pPr>
                  <w:r>
                    <w:t xml:space="preserve">Model</w:t>
                  </w:r>
                </w:p>
              </w:tc>
              <w:tc>
                <w:tcPr/>
                <w:p>
                  <w:pPr>
                    <w:pStyle w:val="Compact"/>
                    <w:jc w:val="center"/>
                  </w:pPr>
                  <w:r>
                    <w:t xml:space="preserve">Type</w:t>
                  </w:r>
                </w:p>
              </w:tc>
              <w:tc>
                <w:tcPr/>
                <w:p>
                  <w:pPr>
                    <w:pStyle w:val="Compact"/>
                    <w:jc w:val="center"/>
                  </w:pPr>
                  <w:r>
                    <w:t xml:space="preserve">Main Inputs</w:t>
                  </w:r>
                </w:p>
              </w:tc>
              <w:tc>
                <w:tcPr/>
                <w:p>
                  <w:pPr>
                    <w:pStyle w:val="Compact"/>
                    <w:jc w:val="center"/>
                  </w:pPr>
                  <w:r>
                    <w:t xml:space="preserve">Key Assumptions</w:t>
                  </w:r>
                </w:p>
              </w:tc>
            </w:tr>
            <w:tr>
              <w:tc>
                <w:tcPr/>
                <w:p>
                  <w:pPr>
                    <w:pStyle w:val="Compact"/>
                    <w:jc w:val="center"/>
                  </w:pPr>
                  <w:r>
                    <w:t xml:space="preserve">Niche model</w:t>
                  </w:r>
                  <w:r>
                    <w:t xml:space="preserve"> </w:t>
                  </w:r>
                  <w:r>
                    <w:t xml:space="preserve">(Williams &amp; Martinez, 2000)</w:t>
                  </w:r>
                </w:p>
              </w:tc>
              <w:tc>
                <w:tcPr/>
                <w:p>
                  <w:pPr>
                    <w:pStyle w:val="Compact"/>
                    <w:jc w:val="center"/>
                  </w:pPr>
                  <w:r>
                    <w:t xml:space="preserve">Structural</w:t>
                  </w:r>
                </w:p>
              </w:tc>
              <w:tc>
                <w:tcPr/>
                <w:p>
                  <w:pPr>
                    <w:pStyle w:val="Compact"/>
                    <w:jc w:val="center"/>
                  </w:pPr>
                  <w:r>
                    <w:t xml:space="preserve">Species niche values</w:t>
                  </w:r>
                </w:p>
              </w:tc>
              <w:tc>
                <w:tcPr/>
                <w:p>
                  <w:pPr>
                    <w:pStyle w:val="Compact"/>
                    <w:jc w:val="center"/>
                  </w:pPr>
                  <w:r>
                    <w:t xml:space="preserve">Trophic interactions structured by a 1D feeding niche; species consume all prey within a contiguous range; allows cannibalism.</w:t>
                  </w:r>
                </w:p>
              </w:tc>
            </w:tr>
            <w:tr>
              <w:tc>
                <w:tcPr/>
                <w:p>
                  <w:pPr>
                    <w:pStyle w:val="Compact"/>
                    <w:jc w:val="center"/>
                  </w:pPr>
                  <w:r>
                    <w:t xml:space="preserve">Cascade model</w:t>
                  </w:r>
                  <w:r>
                    <w:t xml:space="preserve"> </w:t>
                  </w:r>
                  <w:r>
                    <w:t xml:space="preserve">(Cohen et al., 1990)</w:t>
                  </w:r>
                </w:p>
              </w:tc>
              <w:tc>
                <w:tcPr/>
                <w:p>
                  <w:pPr>
                    <w:pStyle w:val="Compact"/>
                    <w:jc w:val="center"/>
                  </w:pPr>
                  <w:r>
                    <w:t xml:space="preserve">Structural</w:t>
                  </w:r>
                </w:p>
              </w:tc>
              <w:tc>
                <w:tcPr/>
                <w:p>
                  <w:pPr>
                    <w:pStyle w:val="Compact"/>
                    <w:jc w:val="center"/>
                  </w:pPr>
                  <w:r>
                    <w:t xml:space="preserve">Species rank</w:t>
                  </w:r>
                </w:p>
              </w:tc>
              <w:tc>
                <w:tcPr/>
                <w:p>
                  <w:pPr>
                    <w:pStyle w:val="Compact"/>
                    <w:jc w:val="center"/>
                  </w:pPr>
                  <w:r>
                    <w:t xml:space="preserve">Consumers feed only on species with lower ranks; strictly hierarchical; no loops or omnivory.</w:t>
                  </w:r>
                </w:p>
              </w:tc>
            </w:tr>
            <w:tr>
              <w:tc>
                <w:tcPr/>
                <w:p>
                  <w:pPr>
                    <w:pStyle w:val="Compact"/>
                    <w:jc w:val="center"/>
                  </w:pPr>
                  <w:r>
                    <w:t xml:space="preserve">MaxEnt model</w:t>
                  </w:r>
                  <w:r>
                    <w:t xml:space="preserve"> </w:t>
                  </w:r>
                  <w:r>
                    <w:t xml:space="preserve">(Banville et al., 2023)</w:t>
                  </w:r>
                </w:p>
              </w:tc>
              <w:tc>
                <w:tcPr/>
                <w:p>
                  <w:pPr>
                    <w:pStyle w:val="Compact"/>
                    <w:jc w:val="center"/>
                  </w:pPr>
                  <w:r>
                    <w:t xml:space="preserve">Structural</w:t>
                  </w:r>
                </w:p>
              </w:tc>
              <w:tc>
                <w:tcPr/>
                <w:p>
                  <w:pPr>
                    <w:pStyle w:val="Compact"/>
                    <w:jc w:val="center"/>
                  </w:pPr>
                  <w:r>
                    <w:t xml:space="preserve">Species richness, connectance</w:t>
                  </w:r>
                </w:p>
              </w:tc>
              <w:tc>
                <w:tcPr/>
                <w:p>
                  <w:pPr>
                    <w:pStyle w:val="Compact"/>
                    <w:jc w:val="center"/>
                  </w:pPr>
                  <w:r>
                    <w:t xml:space="preserve">Links assigned to maximize entropy; captures global network properties without species-specific mechanisms.</w:t>
                  </w:r>
                </w:p>
              </w:tc>
            </w:tr>
            <w:tr>
              <w:tc>
                <w:tcPr/>
                <w:p>
                  <w:pPr>
                    <w:pStyle w:val="Compact"/>
                    <w:jc w:val="center"/>
                  </w:pPr>
                  <w:r>
                    <w:t xml:space="preserve">Allometric Diet Breadth Model (ADBM)</w:t>
                  </w:r>
                  <w:r>
                    <w:t xml:space="preserve"> </w:t>
                  </w:r>
                  <w:r>
                    <w:t xml:space="preserve">(Petchey et al., 2008)</w:t>
                  </w:r>
                </w:p>
              </w:tc>
              <w:tc>
                <w:tcPr/>
                <w:p>
                  <w:pPr>
                    <w:pStyle w:val="Compact"/>
                    <w:jc w:val="center"/>
                  </w:pPr>
                  <w:r>
                    <w:t xml:space="preserve">Realised</w:t>
                  </w:r>
                </w:p>
              </w:tc>
              <w:tc>
                <w:tcPr/>
                <w:p>
                  <w:pPr>
                    <w:pStyle w:val="Compact"/>
                    <w:jc w:val="center"/>
                  </w:pPr>
                  <w:r>
                    <w:t xml:space="preserve">Body mass, prey energy content</w:t>
                  </w:r>
                </w:p>
              </w:tc>
              <w:tc>
                <w:tcPr/>
                <w:p>
                  <w:pPr>
                    <w:pStyle w:val="Compact"/>
                    <w:jc w:val="center"/>
                  </w:pPr>
                  <w:r>
                    <w:t xml:space="preserve">Consumers maximize energy intake; diet breadth determined by profitability and handling time; allometric scaling governs parameters.</w:t>
                  </w:r>
                </w:p>
              </w:tc>
            </w:tr>
            <w:tr>
              <w:tc>
                <w:tcPr/>
                <w:p>
                  <w:pPr>
                    <w:pStyle w:val="Compact"/>
                    <w:jc w:val="center"/>
                  </w:pPr>
                  <w:r>
                    <w:t xml:space="preserve">Allometric Trophic Network (ATN)</w:t>
                  </w:r>
                  <w:r>
                    <w:t xml:space="preserve"> </w:t>
                  </w:r>
                  <w:r>
                    <w:t xml:space="preserve">(Brose et al., 2006)</w:t>
                  </w:r>
                </w:p>
              </w:tc>
              <w:tc>
                <w:tcPr/>
                <w:p>
                  <w:pPr>
                    <w:pStyle w:val="Compact"/>
                    <w:jc w:val="center"/>
                  </w:pPr>
                  <w:r>
                    <w:t xml:space="preserve">Realised</w:t>
                  </w:r>
                </w:p>
              </w:tc>
              <w:tc>
                <w:tcPr/>
                <w:p>
                  <w:pPr>
                    <w:pStyle w:val="Compact"/>
                    <w:jc w:val="center"/>
                  </w:pPr>
                  <w:r>
                    <w:t xml:space="preserve">Body mass</w:t>
                  </w:r>
                </w:p>
              </w:tc>
              <w:tc>
                <w:tcPr/>
                <w:p>
                  <w:pPr>
                    <w:pStyle w:val="Compact"/>
                    <w:jc w:val="center"/>
                  </w:pPr>
                  <w:r>
                    <w:t xml:space="preserve">Interactions constrained by body-mass ratios; mechanical size limits structure networks; probability of interaction follows Ricker function.</w:t>
                  </w:r>
                </w:p>
              </w:tc>
            </w:tr>
            <w:tr>
              <w:tc>
                <w:tcPr/>
                <w:p>
                  <w:pPr>
                    <w:pStyle w:val="Compact"/>
                    <w:jc w:val="center"/>
                  </w:pPr>
                  <w:r>
                    <w:t xml:space="preserve">Latent trait model</w:t>
                  </w:r>
                  <w:r>
                    <w:t xml:space="preserve"> </w:t>
                  </w:r>
                  <w:r>
                    <w:t xml:space="preserve">(Rohr et al., 2010)</w:t>
                  </w:r>
                </w:p>
              </w:tc>
              <w:tc>
                <w:tcPr/>
                <w:p>
                  <w:pPr>
                    <w:pStyle w:val="Compact"/>
                    <w:jc w:val="center"/>
                  </w:pPr>
                  <w:r>
                    <w:t xml:space="preserve">Realised</w:t>
                  </w:r>
                </w:p>
              </w:tc>
              <w:tc>
                <w:tcPr/>
                <w:p>
                  <w:pPr>
                    <w:pStyle w:val="Compact"/>
                    <w:jc w:val="center"/>
                  </w:pPr>
                  <w:r>
                    <w:t xml:space="preserve">Species traits (</w:t>
                  </w:r>
                  <w:r>
                    <w:rPr>
                      <w:i/>
                      <w:iCs/>
                    </w:rPr>
                    <w:t xml:space="preserve">e.g.,</w:t>
                  </w:r>
                  <w:r>
                    <w:t xml:space="preserve"> </w:t>
                  </w:r>
                  <w:r>
                    <w:t xml:space="preserve">body mass)</w:t>
                  </w:r>
                </w:p>
              </w:tc>
              <w:tc>
                <w:tcPr/>
                <w:p>
                  <w:pPr>
                    <w:pStyle w:val="Compact"/>
                    <w:jc w:val="center"/>
                  </w:pPr>
                  <w:r>
                    <w:t xml:space="preserve">Interactions inferred statistically based on hidden trait correlations; can incorporate probabilistic constraints on links.</w:t>
                  </w:r>
                </w:p>
              </w:tc>
            </w:tr>
          </w:tbl>
          <w:bookmarkEnd w:id="10"/>
          <w:p/>
        </w:tc>
      </w:tr>
    </w:tbl>
    <w:bookmarkEnd w:id="11"/>
    <w:bookmarkStart w:id="12" w:name="network-structure"/>
    <w:p>
      <w:pPr>
        <w:pStyle w:val="Heading2"/>
      </w:pPr>
      <w:r>
        <w:t xml:space="preserve">2.2 Network structure</w:t>
      </w:r>
    </w:p>
    <w:p>
      <w:pPr>
        <w:pStyle w:val="FirstParagraph"/>
      </w:pPr>
      <w:r>
        <w:t xml:space="preserve">All networks were converted to directed interaction networks and analysed using a standardised pipeline. We quantified structural properties across multiple scales, including connectance, trophic level, generality, vulnerability, clustering, centrality, trophic coherence, and path length. These metrics were used to characterise the structural signature of each model.</w:t>
      </w:r>
    </w:p>
    <w:p>
      <w:pPr>
        <w:pStyle w:val="BlockText"/>
      </w:pPr>
      <w:r>
        <w:t xml:space="preserve">This could include a table that describes what the metrics</w:t>
      </w:r>
      <w:r>
        <w:t xml:space="preserve"> </w:t>
      </w:r>
      <w:r>
        <w:t xml:space="preserve">‘mean’</w:t>
      </w:r>
      <w:r>
        <w:t xml:space="preserve"> </w:t>
      </w:r>
      <w:r>
        <w:t xml:space="preserve">but maybe we can just lean on the</w:t>
      </w:r>
      <w:r>
        <w:t xml:space="preserve"> </w:t>
      </w:r>
      <w:r>
        <w:t xml:space="preserve">‘usual template’</w:t>
      </w:r>
      <w:r>
        <w:t xml:space="preserve">, maybe some of the feature selection stuff.</w:t>
      </w:r>
    </w:p>
    <w:bookmarkEnd w:id="12"/>
    <w:bookmarkStart w:id="13" w:name="dynamic-simulations"/>
    <w:p>
      <w:pPr>
        <w:pStyle w:val="Heading2"/>
      </w:pPr>
      <w:r>
        <w:t xml:space="preserve">2.3 Dynamic simulations</w:t>
      </w:r>
    </w:p>
    <w:p>
      <w:pPr>
        <w:pStyle w:val="FirstParagraph"/>
      </w:pPr>
      <w:r>
        <w:t xml:space="preserve">To evaluate the dynamical consequences of different generative models, we simulated each network using the bio-energetic food web dynamic model implemented in</w:t>
      </w:r>
      <w:r>
        <w:t xml:space="preserve"> </w:t>
      </w:r>
      <w:r>
        <w:rPr>
          <w:i/>
          <w:iCs/>
        </w:rPr>
        <w:t xml:space="preserve">EcologicalNetworksDynamics.jl</w:t>
      </w:r>
      <w:r>
        <w:t xml:space="preserve"> </w:t>
      </w:r>
      <w:r>
        <w:t xml:space="preserve">(Lajaaiti et al., 2025)</w:t>
      </w:r>
      <w:r>
        <w:t xml:space="preserve">. A key feature of the bio-energetic model is the allometric scaling of metabolism, growth and foraging rates with body mass. For trait-based models (ATN, ADBM, LTN), species body masses were taken from the generative networks and rescaled relative to the producer with the lowest body mass. For structural models (Niche, Cascade, MaxEnt, Random), which did not include body mass information, body masses were assigned from species trophic levels assuming apredator–prey body-mass ratio of 100.</w:t>
      </w:r>
    </w:p>
    <w:p>
      <w:pPr>
        <w:pStyle w:val="BodyText"/>
      </w:pPr>
      <w:r>
        <w:t xml:space="preserve">For a consumer species</w:t>
      </w:r>
      <w:r>
        <w:t xml:space="preserve"> </w:t>
      </w:r>
      <m:oMath>
        <m:r>
          <m:t>i</m:t>
        </m:r>
      </m:oMath>
      <w:r>
        <w:t xml:space="preserve">, biomass dynamics were determined by gains from feeding, losses to predators, and metabolic maintenance, which is expressed as:</w:t>
      </w:r>
    </w:p>
    <w:p>
      <w:pPr>
        <w:pStyle w:val="BodyText"/>
      </w:pPr>
      <m:oMathPara>
        <m:oMathParaPr>
          <m:jc m:val="center"/>
        </m:oMathParaPr>
        <m:oMath>
          <m:f>
            <m:fPr>
              <m:type m:val="bar"/>
            </m:fPr>
            <m:num>
              <m:r>
                <m:t>d</m:t>
              </m:r>
              <m:sSub>
                <m:e>
                  <m:r>
                    <m:t>B</m:t>
                  </m:r>
                </m:e>
                <m:sub>
                  <m:r>
                    <m:t>i</m:t>
                  </m:r>
                </m:sub>
              </m:sSub>
            </m:num>
            <m:den>
              <m:r>
                <m:t>d</m:t>
              </m:r>
              <m:r>
                <m:t>t</m:t>
              </m:r>
            </m:den>
          </m:f>
          <m:r>
            <m:rPr>
              <m:sty m:val="p"/>
            </m:rPr>
            <m:t>=</m:t>
          </m:r>
          <m:nary>
            <m:naryPr>
              <m:chr m:val="∑"/>
              <m:limLoc m:val="undOvr"/>
              <m:subHide m:val="off"/>
              <m:supHide m:val="on"/>
            </m:naryPr>
            <m:sub>
              <m:r>
                <m:t>j</m:t>
              </m:r>
              <m:r>
                <m:rPr>
                  <m:sty m:val="p"/>
                </m:rPr>
                <m:t>∈</m:t>
              </m:r>
              <m:r>
                <m:rPr>
                  <m:sty m:val="p"/>
                </m:rPr>
                <m:t>p</m:t>
              </m:r>
              <m:r>
                <m:rPr>
                  <m:sty m:val="p"/>
                </m:rPr>
                <m:t>r</m:t>
              </m:r>
              <m:r>
                <m:rPr>
                  <m:sty m:val="p"/>
                </m:rPr>
                <m:t>e</m:t>
              </m:r>
              <m:r>
                <m:rPr>
                  <m:sty m:val="p"/>
                </m:rPr>
                <m:t>y</m:t>
              </m:r>
              <m:r>
                <m:rPr>
                  <m:sty m:val="p"/>
                </m:rPr>
                <m:t>(</m:t>
              </m:r>
              <m:r>
                <m:t>i</m:t>
              </m:r>
              <m:r>
                <m:rPr>
                  <m:sty m:val="p"/>
                </m:rPr>
                <m:t>)</m:t>
              </m:r>
            </m:sub>
            <m:sup>
              <m:r>
                <m:t>​</m:t>
              </m:r>
            </m:sup>
            <m:e>
              <m:sSub>
                <m:e>
                  <m:r>
                    <m:t>e</m:t>
                  </m:r>
                </m:e>
                <m:sub>
                  <m:r>
                    <m:t>i</m:t>
                  </m:r>
                  <m:r>
                    <m:t>j</m:t>
                  </m:r>
                </m:sub>
              </m:sSub>
            </m:e>
          </m:nary>
          <m:sSub>
            <m:e>
              <m:r>
                <m:t>B</m:t>
              </m:r>
            </m:e>
            <m:sub>
              <m:r>
                <m:t>i</m:t>
              </m:r>
            </m:sub>
          </m:sSub>
          <m:sSub>
            <m:e>
              <m:r>
                <m:t>F</m:t>
              </m:r>
            </m:e>
            <m:sub>
              <m:r>
                <m:t>i</m:t>
              </m:r>
              <m:r>
                <m:t>j</m:t>
              </m:r>
            </m:sub>
          </m:sSub>
          <m:r>
            <m:rPr>
              <m:sty m:val="p"/>
            </m:rPr>
            <m:t>−</m:t>
          </m:r>
          <m:nary>
            <m:naryPr>
              <m:chr m:val="∑"/>
              <m:limLoc m:val="undOvr"/>
              <m:subHide m:val="off"/>
              <m:supHide m:val="on"/>
            </m:naryPr>
            <m:sub>
              <m:r>
                <m:t>j</m:t>
              </m:r>
              <m:r>
                <m:rPr>
                  <m:sty m:val="p"/>
                </m:rPr>
                <m:t>∈</m:t>
              </m:r>
              <m:r>
                <m:rPr>
                  <m:sty m:val="p"/>
                </m:rPr>
                <m:t>p</m:t>
              </m:r>
              <m:r>
                <m:rPr>
                  <m:sty m:val="p"/>
                </m:rPr>
                <m:t>r</m:t>
              </m:r>
              <m:r>
                <m:rPr>
                  <m:sty m:val="p"/>
                </m:rPr>
                <m:t>e</m:t>
              </m:r>
              <m:r>
                <m:rPr>
                  <m:sty m:val="p"/>
                </m:rPr>
                <m:t>d</m:t>
              </m:r>
              <m:r>
                <m:rPr>
                  <m:sty m:val="p"/>
                </m:rPr>
                <m:t>a</m:t>
              </m:r>
              <m:r>
                <m:rPr>
                  <m:sty m:val="p"/>
                </m:rPr>
                <m:t>t</m:t>
              </m:r>
              <m:r>
                <m:rPr>
                  <m:sty m:val="p"/>
                </m:rPr>
                <m:t>o</m:t>
              </m:r>
              <m:r>
                <m:rPr>
                  <m:sty m:val="p"/>
                </m:rPr>
                <m:t>r</m:t>
              </m:r>
              <m:r>
                <m:rPr>
                  <m:sty m:val="p"/>
                </m:rPr>
                <m:t>s</m:t>
              </m:r>
              <m:r>
                <m:rPr>
                  <m:sty m:val="p"/>
                </m:rPr>
                <m:t>(</m:t>
              </m:r>
              <m:r>
                <m:t>i</m:t>
              </m:r>
              <m:r>
                <m:rPr>
                  <m:sty m:val="p"/>
                </m:rPr>
                <m:t>)</m:t>
              </m:r>
            </m:sub>
            <m:sup>
              <m:r>
                <m:t>​</m:t>
              </m:r>
            </m:sup>
            <m:e>
              <m:sSub>
                <m:e>
                  <m:r>
                    <m:t>B</m:t>
                  </m:r>
                </m:e>
                <m:sub>
                  <m:r>
                    <m:t>j</m:t>
                  </m:r>
                </m:sub>
              </m:sSub>
            </m:e>
          </m:nary>
          <m:sSub>
            <m:e>
              <m:r>
                <m:t>F</m:t>
              </m:r>
            </m:e>
            <m:sub>
              <m:r>
                <m:t>j</m:t>
              </m:r>
              <m:r>
                <m:t>i</m:t>
              </m:r>
            </m:sub>
          </m:sSub>
          <m:r>
            <m:rPr>
              <m:sty m:val="p"/>
            </m:rPr>
            <m:t>−</m:t>
          </m:r>
          <m:sSub>
            <m:e>
              <m:r>
                <m:t>x</m:t>
              </m:r>
            </m:e>
            <m:sub>
              <m:r>
                <m:t>i</m:t>
              </m:r>
            </m:sub>
          </m:sSub>
          <m:sSub>
            <m:e>
              <m:r>
                <m:t>B</m:t>
              </m:r>
            </m:e>
            <m:sub>
              <m:r>
                <m:t>i</m:t>
              </m:r>
            </m:sub>
          </m:sSub>
        </m:oMath>
      </m:oMathPara>
    </w:p>
    <w:p>
      <w:pPr>
        <w:pStyle w:val="FirstParagraph"/>
      </w:pPr>
      <w:r>
        <w:t xml:space="preserve">where</w:t>
      </w:r>
      <w:r>
        <w:t xml:space="preserve"> </w:t>
      </w:r>
      <m:oMath>
        <m:sSub>
          <m:e>
            <m:r>
              <m:t>B</m:t>
            </m:r>
          </m:e>
          <m:sub>
            <m:r>
              <m:t>i</m:t>
            </m:r>
          </m:sub>
        </m:sSub>
      </m:oMath>
      <w:r>
        <w:t xml:space="preserve"> </w:t>
      </w:r>
      <w:r>
        <w:t xml:space="preserve">is the biomass of consumer</w:t>
      </w:r>
      <w:r>
        <w:t xml:space="preserve"> </w:t>
      </w:r>
      <m:oMath>
        <m:r>
          <m:t>i</m:t>
        </m:r>
      </m:oMath>
      <w:r>
        <w:t xml:space="preserve">,</w:t>
      </w:r>
      <w:r>
        <w:t xml:space="preserve"> </w:t>
      </w:r>
      <m:oMath>
        <m:sSub>
          <m:e>
            <m:r>
              <m:t>e</m:t>
            </m:r>
          </m:e>
          <m:sub>
            <m:r>
              <m:t>i</m:t>
            </m:r>
            <m:r>
              <m:t>j</m:t>
            </m:r>
          </m:sub>
        </m:sSub>
      </m:oMath>
      <w:r>
        <w:t xml:space="preserve"> </w:t>
      </w:r>
      <w:r>
        <w:t xml:space="preserve">is its assimilation efficiency when feeding on prey</w:t>
      </w:r>
      <w:r>
        <w:t xml:space="preserve"> </w:t>
      </w:r>
      <w:r>
        <w:rPr>
          <w:i/>
          <w:iCs/>
        </w:rPr>
        <w:t xml:space="preserve">j</w:t>
      </w:r>
      <w:r>
        <w:t xml:space="preserve">,</w:t>
      </w:r>
      <w:r>
        <w:t xml:space="preserve"> </w:t>
      </w:r>
      <m:oMath>
        <m:sSub>
          <m:e>
            <m:r>
              <m:t>x</m:t>
            </m:r>
          </m:e>
          <m:sub>
            <m:r>
              <m:t>i</m:t>
            </m:r>
          </m:sub>
        </m:sSub>
      </m:oMath>
      <w:r>
        <w:t xml:space="preserve"> </w:t>
      </w:r>
      <w:r>
        <w:t xml:space="preserve">is its metabolic rate scaled with body mass, and</w:t>
      </w:r>
      <w:r>
        <w:t xml:space="preserve"> </w:t>
      </w:r>
      <m:oMath>
        <m:sSub>
          <m:e>
            <m:r>
              <m:t>F</m:t>
            </m:r>
          </m:e>
          <m:sub>
            <m:r>
              <m:t>i</m:t>
            </m:r>
            <m:r>
              <m:t>j</m:t>
            </m:r>
          </m:sub>
        </m:sSub>
      </m:oMath>
      <w:r>
        <w:t xml:space="preserve"> </w:t>
      </w:r>
      <w:r>
        <w:t xml:space="preserve">is the functional response of consumer</w:t>
      </w:r>
      <w:r>
        <w:t xml:space="preserve"> </w:t>
      </w:r>
      <w:r>
        <w:rPr>
          <w:i/>
          <w:iCs/>
        </w:rPr>
        <w:t xml:space="preserve">i</w:t>
      </w:r>
      <w:r>
        <w:t xml:space="preserve"> </w:t>
      </w:r>
      <w:r>
        <w:t xml:space="preserve">feeding on prey</w:t>
      </w:r>
      <w:r>
        <w:t xml:space="preserve"> </w:t>
      </w:r>
      <w:r>
        <w:rPr>
          <w:i/>
          <w:iCs/>
        </w:rPr>
        <w:t xml:space="preserve">j</w:t>
      </w:r>
      <w:r>
        <w:t xml:space="preserve">, defined as</w:t>
      </w:r>
    </w:p>
    <w:p>
      <w:pPr>
        <w:pStyle w:val="BodyText"/>
      </w:pPr>
      <m:oMathPara>
        <m:oMathParaPr>
          <m:jc m:val="center"/>
        </m:oMathParaPr>
        <m:oMath>
          <m:sSub>
            <m:e>
              <m:r>
                <m:t>F</m:t>
              </m:r>
            </m:e>
            <m:sub>
              <m:r>
                <m:t>i</m:t>
              </m:r>
              <m:r>
                <m:t>j</m:t>
              </m:r>
            </m:sub>
          </m:sSub>
          <m:r>
            <m:rPr>
              <m:sty m:val="p"/>
            </m:rPr>
            <m:t>=</m:t>
          </m:r>
          <m:f>
            <m:fPr>
              <m:type m:val="bar"/>
            </m:fPr>
            <m:num>
              <m:sSub>
                <m:e>
                  <m:r>
                    <m:t>ω</m:t>
                  </m:r>
                </m:e>
                <m:sub>
                  <m:r>
                    <m:t>i</m:t>
                  </m:r>
                </m:sub>
              </m:sSub>
              <m:sSub>
                <m:e>
                  <m:r>
                    <m:t>a</m:t>
                  </m:r>
                </m:e>
                <m:sub>
                  <m:r>
                    <m:t>i</m:t>
                  </m:r>
                  <m:r>
                    <m:t>j</m:t>
                  </m:r>
                </m:sub>
              </m:sSub>
              <m:sSubSup>
                <m:e>
                  <m:r>
                    <m:t>B</m:t>
                  </m:r>
                </m:e>
                <m:sub>
                  <m:r>
                    <m:t>j</m:t>
                  </m:r>
                </m:sub>
                <m:sup>
                  <m:r>
                    <m:t>h</m:t>
                  </m:r>
                </m:sup>
              </m:sSubSup>
            </m:num>
            <m:den>
              <m:sSub>
                <m:e>
                  <m:r>
                    <m:t>M</m:t>
                  </m:r>
                </m:e>
                <m:sub>
                  <m:r>
                    <m:t>i</m:t>
                  </m:r>
                </m:sub>
              </m:sSub>
              <m:d>
                <m:dPr>
                  <m:begChr m:val="("/>
                  <m:sepChr m:val=""/>
                  <m:endChr m:val=")"/>
                  <m:grow/>
                </m:dPr>
                <m:e>
                  <m:r>
                    <m:t>1</m:t>
                  </m:r>
                  <m:r>
                    <m:rPr>
                      <m:sty m:val="p"/>
                    </m:rPr>
                    <m:t>+</m:t>
                  </m:r>
                  <m:nary>
                    <m:naryPr>
                      <m:chr m:val="∑"/>
                      <m:limLoc m:val="undOvr"/>
                      <m:subHide m:val="off"/>
                      <m:supHide m:val="on"/>
                    </m:naryPr>
                    <m:sub>
                      <m:r>
                        <m:t>k</m:t>
                      </m:r>
                      <m:r>
                        <m:rPr>
                          <m:sty m:val="p"/>
                        </m:rPr>
                        <m:t>∈</m:t>
                      </m:r>
                      <m:r>
                        <m:rPr>
                          <m:sty m:val="p"/>
                        </m:rPr>
                        <m:t>p</m:t>
                      </m:r>
                      <m:r>
                        <m:rPr>
                          <m:sty m:val="p"/>
                        </m:rPr>
                        <m:t>r</m:t>
                      </m:r>
                      <m:r>
                        <m:rPr>
                          <m:sty m:val="p"/>
                        </m:rPr>
                        <m:t>e</m:t>
                      </m:r>
                      <m:r>
                        <m:rPr>
                          <m:sty m:val="p"/>
                        </m:rPr>
                        <m:t>y</m:t>
                      </m:r>
                      <m:r>
                        <m:rPr>
                          <m:sty m:val="p"/>
                        </m:rPr>
                        <m:t>(</m:t>
                      </m:r>
                      <m:r>
                        <m:t>i</m:t>
                      </m:r>
                      <m:r>
                        <m:rPr>
                          <m:sty m:val="p"/>
                        </m:rPr>
                        <m:t>)</m:t>
                      </m:r>
                    </m:sub>
                    <m:sup>
                      <m:r>
                        <m:t>​</m:t>
                      </m:r>
                    </m:sup>
                    <m:e>
                      <m:sSub>
                        <m:e>
                          <m:r>
                            <m:t>ω</m:t>
                          </m:r>
                        </m:e>
                        <m:sub>
                          <m:r>
                            <m:t>i</m:t>
                          </m:r>
                        </m:sub>
                      </m:sSub>
                    </m:e>
                  </m:nary>
                  <m:sSub>
                    <m:e>
                      <m:r>
                        <m:t>a</m:t>
                      </m:r>
                    </m:e>
                    <m:sub>
                      <m:r>
                        <m:t>i</m:t>
                      </m:r>
                      <m:r>
                        <m:t>k</m:t>
                      </m:r>
                    </m:sub>
                  </m:sSub>
                  <m:sSub>
                    <m:e>
                      <m:r>
                        <m:t>h</m:t>
                      </m:r>
                    </m:e>
                    <m:sub>
                      <m:r>
                        <m:t>i</m:t>
                      </m:r>
                      <m:r>
                        <m:t>k</m:t>
                      </m:r>
                    </m:sub>
                  </m:sSub>
                  <m:sSubSup>
                    <m:e>
                      <m:r>
                        <m:t>B</m:t>
                      </m:r>
                    </m:e>
                    <m:sub>
                      <m:r>
                        <m:t>k</m:t>
                      </m:r>
                    </m:sub>
                    <m:sup>
                      <m:r>
                        <m:t>h</m:t>
                      </m:r>
                    </m:sup>
                  </m:sSubSup>
                </m:e>
              </m:d>
            </m:den>
          </m:f>
        </m:oMath>
      </m:oMathPara>
    </w:p>
    <w:p>
      <w:pPr>
        <w:pStyle w:val="FirstParagraph"/>
      </w:pPr>
      <w:r>
        <w:br/>
      </w:r>
      <w:r>
        <w:t xml:space="preserve">where</w:t>
      </w:r>
      <w:r>
        <w:t xml:space="preserve"> </w:t>
      </w:r>
      <m:oMath>
        <m:sSub>
          <m:e>
            <m:r>
              <m:t>w</m:t>
            </m:r>
          </m:e>
          <m:sub>
            <m:r>
              <m:t>i</m:t>
            </m:r>
          </m:sub>
        </m:sSub>
      </m:oMath>
      <w:r>
        <w:t xml:space="preserve"> </w:t>
      </w:r>
      <w:r>
        <w:t xml:space="preserve">is the equal preference of the consumer i feeding on its prey,</w:t>
      </w:r>
      <w:r>
        <w:t xml:space="preserve"> </w:t>
      </w:r>
      <m:oMath>
        <m:sSub>
          <m:e>
            <m:r>
              <m:t>w</m:t>
            </m:r>
          </m:e>
          <m:sub>
            <m:r>
              <m:t>i</m:t>
            </m:r>
          </m:sub>
        </m:sSub>
      </m:oMath>
      <w:r>
        <w:t xml:space="preserve"> </w:t>
      </w:r>
      <w:r>
        <w:t xml:space="preserve">= 1/number of prey species.</w:t>
      </w:r>
      <w:r>
        <w:t xml:space="preserve"> </w:t>
      </w:r>
      <m:oMath>
        <m:sSub>
          <m:e>
            <m:r>
              <m:t>a</m:t>
            </m:r>
          </m:e>
          <m:sub>
            <m:r>
              <m:t>i</m:t>
            </m:r>
            <m:r>
              <m:t>j</m:t>
            </m:r>
          </m:sub>
        </m:sSub>
      </m:oMath>
      <w:r>
        <w:t xml:space="preserve"> </w:t>
      </w:r>
      <w:r>
        <w:t xml:space="preserve">is the attack rate,</w:t>
      </w:r>
      <w:r>
        <w:t xml:space="preserve"> </w:t>
      </w:r>
      <m:oMath>
        <m:sSub>
          <m:e>
            <m:r>
              <m:t>h</m:t>
            </m:r>
          </m:e>
          <m:sub>
            <m:r>
              <m:t>i</m:t>
            </m:r>
            <m:r>
              <m:t>j</m:t>
            </m:r>
          </m:sub>
        </m:sSub>
      </m:oMath>
      <w:r>
        <w:t xml:space="preserve"> </w:t>
      </w:r>
      <w:r>
        <w:t xml:space="preserve">is the handling time, and</w:t>
      </w:r>
      <w:r>
        <w:t xml:space="preserve"> </w:t>
      </w:r>
      <m:oMath>
        <m:sSub>
          <m:e>
            <m:r>
              <m:t>M</m:t>
            </m:r>
          </m:e>
          <m:sub>
            <m:r>
              <m:t>i</m:t>
            </m:r>
          </m:sub>
        </m:sSub>
      </m:oMath>
      <w:r>
        <w:t xml:space="preserve"> </w:t>
      </w:r>
      <w:r>
        <w:t xml:space="preserve">is the body mass of consumer</w:t>
      </w:r>
      <w:r>
        <w:t xml:space="preserve"> </w:t>
      </w:r>
      <w:r>
        <w:rPr>
          <w:i/>
          <w:iCs/>
        </w:rPr>
        <w:t xml:space="preserve">i</w:t>
      </w:r>
      <w:r>
        <w:t xml:space="preserve">. Attack rates and handling times scaled with both consumer and prey body masses. The Hill exponent was set to</w:t>
      </w:r>
      <w:r>
        <w:t xml:space="preserve"> </w:t>
      </w:r>
      <m:oMath>
        <m:r>
          <m:t>h</m:t>
        </m:r>
        <m:r>
          <m:rPr>
            <m:sty m:val="p"/>
          </m:rPr>
          <m:t>=</m:t>
        </m:r>
        <m:r>
          <m:t>2</m:t>
        </m:r>
      </m:oMath>
      <w:r>
        <w:t xml:space="preserve"> </w:t>
      </w:r>
      <w:r>
        <w:t xml:space="preserve">as a Type III functional response.</w:t>
      </w:r>
    </w:p>
    <w:p>
      <w:pPr>
        <w:pStyle w:val="BodyText"/>
      </w:pPr>
      <w:r>
        <w:t xml:space="preserve">For a basal species</w:t>
      </w:r>
      <w:r>
        <w:t xml:space="preserve"> </w:t>
      </w:r>
      <m:oMath>
        <m:r>
          <m:t>j</m:t>
        </m:r>
      </m:oMath>
      <w:r>
        <w:t xml:space="preserve">, biomass dynamics were determined by its logistic growth and losses to consumers, expressed as:</w:t>
      </w:r>
    </w:p>
    <w:p>
      <w:pPr>
        <w:pStyle w:val="BodyText"/>
      </w:pPr>
      <m:oMathPara>
        <m:oMathParaPr>
          <m:jc m:val="center"/>
        </m:oMathParaPr>
        <m:oMath>
          <m:f>
            <m:fPr>
              <m:type m:val="bar"/>
            </m:fPr>
            <m:num>
              <m:r>
                <m:t>d</m:t>
              </m:r>
              <m:sSub>
                <m:e>
                  <m:r>
                    <m:t>B</m:t>
                  </m:r>
                </m:e>
                <m:sub>
                  <m:r>
                    <m:t>j</m:t>
                  </m:r>
                </m:sub>
              </m:sSub>
            </m:num>
            <m:den>
              <m:r>
                <m:t>d</m:t>
              </m:r>
              <m:r>
                <m:t>t</m:t>
              </m:r>
            </m:den>
          </m:f>
          <m:r>
            <m:rPr>
              <m:sty m:val="p"/>
            </m:rPr>
            <m:t>=</m:t>
          </m:r>
          <m:sSub>
            <m:e>
              <m:r>
                <m:t>r</m:t>
              </m:r>
            </m:e>
            <m:sub>
              <m:r>
                <m:t>j</m:t>
              </m:r>
            </m:sub>
          </m:sSub>
          <m:sSub>
            <m:e>
              <m:r>
                <m:t>G</m:t>
              </m:r>
            </m:e>
            <m:sub>
              <m:r>
                <m:t>j</m:t>
              </m:r>
            </m:sub>
          </m:sSub>
          <m:sSub>
            <m:e>
              <m:r>
                <m:t>B</m:t>
              </m:r>
            </m:e>
            <m:sub>
              <m:r>
                <m:t>j</m:t>
              </m:r>
            </m:sub>
          </m:sSub>
          <m:r>
            <m:rPr>
              <m:sty m:val="p"/>
            </m:rPr>
            <m:t>−</m:t>
          </m:r>
          <m:nary>
            <m:naryPr>
              <m:chr m:val="∑"/>
              <m:limLoc m:val="undOvr"/>
              <m:subHide m:val="off"/>
              <m:supHide m:val="on"/>
            </m:naryPr>
            <m:sub>
              <m:r>
                <m:t>i</m:t>
              </m:r>
              <m:r>
                <m:rPr>
                  <m:sty m:val="p"/>
                </m:rPr>
                <m:t>∈</m:t>
              </m:r>
              <m:r>
                <m:rPr>
                  <m:sty m:val="p"/>
                </m:rPr>
                <m:t>p</m:t>
              </m:r>
              <m:r>
                <m:rPr>
                  <m:sty m:val="p"/>
                </m:rPr>
                <m:t>r</m:t>
              </m:r>
              <m:r>
                <m:rPr>
                  <m:sty m:val="p"/>
                </m:rPr>
                <m:t>e</m:t>
              </m:r>
              <m:r>
                <m:rPr>
                  <m:sty m:val="p"/>
                </m:rPr>
                <m:t>d</m:t>
              </m:r>
              <m:r>
                <m:rPr>
                  <m:sty m:val="p"/>
                </m:rPr>
                <m:t>a</m:t>
              </m:r>
              <m:r>
                <m:rPr>
                  <m:sty m:val="p"/>
                </m:rPr>
                <m:t>t</m:t>
              </m:r>
              <m:r>
                <m:rPr>
                  <m:sty m:val="p"/>
                </m:rPr>
                <m:t>o</m:t>
              </m:r>
              <m:r>
                <m:rPr>
                  <m:sty m:val="p"/>
                </m:rPr>
                <m:t>r</m:t>
              </m:r>
              <m:r>
                <m:rPr>
                  <m:sty m:val="p"/>
                </m:rPr>
                <m:t>s</m:t>
              </m:r>
              <m:r>
                <m:rPr>
                  <m:sty m:val="p"/>
                </m:rPr>
                <m:t>(</m:t>
              </m:r>
              <m:r>
                <m:t>j</m:t>
              </m:r>
              <m:r>
                <m:rPr>
                  <m:sty m:val="p"/>
                </m:rPr>
                <m:t>)</m:t>
              </m:r>
            </m:sub>
            <m:sup>
              <m:r>
                <m:t>​</m:t>
              </m:r>
            </m:sup>
            <m:e>
              <m:sSub>
                <m:e>
                  <m:r>
                    <m:t>B</m:t>
                  </m:r>
                </m:e>
                <m:sub>
                  <m:r>
                    <m:t>i</m:t>
                  </m:r>
                </m:sub>
              </m:sSub>
            </m:e>
          </m:nary>
          <m:sSub>
            <m:e>
              <m:r>
                <m:t>F</m:t>
              </m:r>
            </m:e>
            <m:sub>
              <m:r>
                <m:t>i</m:t>
              </m:r>
              <m:r>
                <m:t>j</m:t>
              </m:r>
            </m:sub>
          </m:sSub>
        </m:oMath>
      </m:oMathPara>
    </w:p>
    <w:p>
      <w:pPr>
        <w:pStyle w:val="FirstParagraph"/>
      </w:pPr>
      <w:r>
        <w:t xml:space="preserve">where</w:t>
      </w:r>
      <w:r>
        <w:t xml:space="preserve"> </w:t>
      </w:r>
      <m:oMath>
        <m:sSub>
          <m:e>
            <m:r>
              <m:t>r</m:t>
            </m:r>
          </m:e>
          <m:sub>
            <m:r>
              <m:t>j</m:t>
            </m:r>
          </m:sub>
        </m:sSub>
      </m:oMath>
      <w:r>
        <w:t xml:space="preserve"> </w:t>
      </w:r>
      <w:r>
        <w:t xml:space="preserve">is the intrinsic growth rate and</w:t>
      </w:r>
      <w:r>
        <w:t xml:space="preserve"> </w:t>
      </w:r>
      <m:oMath>
        <m:sSub>
          <m:e>
            <m:r>
              <m:t>G</m:t>
            </m:r>
          </m:e>
          <m:sub>
            <m:r>
              <m:t>j</m:t>
            </m:r>
          </m:sub>
        </m:sSub>
        <m:r>
          <m:rPr>
            <m:sty m:val="p"/>
          </m:rPr>
          <m:t>=</m:t>
        </m:r>
        <m:r>
          <m:t>1</m:t>
        </m:r>
        <m:r>
          <m:rPr>
            <m:sty m:val="p"/>
          </m:rPr>
          <m:t>−</m:t>
        </m:r>
        <m:f>
          <m:fPr>
            <m:type m:val="bar"/>
          </m:fPr>
          <m:num>
            <m:sSub>
              <m:e>
                <m:r>
                  <m:t>B</m:t>
                </m:r>
              </m:e>
              <m:sub>
                <m:r>
                  <m:t>j</m:t>
                </m:r>
              </m:sub>
            </m:sSub>
          </m:num>
          <m:den>
            <m:sSub>
              <m:e>
                <m:r>
                  <m:t>K</m:t>
                </m:r>
              </m:e>
              <m:sub>
                <m:r>
                  <m:t>j</m:t>
                </m:r>
              </m:sub>
            </m:sSub>
          </m:den>
        </m:f>
      </m:oMath>
      <w:r>
        <w:t xml:space="preserve"> </w:t>
      </w:r>
      <w:r>
        <w:t xml:space="preserve">is the logistic growth modifier , with</w:t>
      </w:r>
      <w:r>
        <w:t xml:space="preserve"> </w:t>
      </w:r>
      <m:oMath>
        <m:sSub>
          <m:e>
            <m:r>
              <m:t>K</m:t>
            </m:r>
          </m:e>
          <m:sub>
            <m:r>
              <m:t>j</m:t>
            </m:r>
          </m:sub>
        </m:sSub>
      </m:oMath>
      <w:r>
        <w:t xml:space="preserve"> </w:t>
      </w:r>
      <w:r>
        <w:t xml:space="preserve">is the carrying capacity. Both</w:t>
      </w:r>
      <w:r>
        <w:t xml:space="preserve"> </w:t>
      </w:r>
      <m:oMath>
        <m:sSub>
          <m:e>
            <m:r>
              <m:t>r</m:t>
            </m:r>
          </m:e>
          <m:sub>
            <m:r>
              <m:t>j</m:t>
            </m:r>
          </m:sub>
        </m:sSub>
      </m:oMath>
      <w:r>
        <w:t xml:space="preserve"> </w:t>
      </w:r>
      <w:r>
        <w:t xml:space="preserve">and</w:t>
      </w:r>
      <w:r>
        <w:t xml:space="preserve"> </w:t>
      </w:r>
      <m:oMath>
        <m:sSub>
          <m:e>
            <m:r>
              <m:t>K</m:t>
            </m:r>
          </m:e>
          <m:sub>
            <m:r>
              <m:t>j</m:t>
            </m:r>
          </m:sub>
        </m:sSub>
      </m:oMath>
      <w:r>
        <w:t xml:space="preserve"> </w:t>
      </w:r>
      <w:r>
        <w:t xml:space="preserve">scaled with species body mass.</w:t>
      </w:r>
    </w:p>
    <w:p>
      <w:pPr>
        <w:pStyle w:val="BodyText"/>
      </w:pPr>
      <w:r>
        <w:t xml:space="preserve">All allometric constants used to parametrisse</w:t>
      </w:r>
      <w:r>
        <w:t xml:space="preserve"> </w:t>
      </w:r>
      <m:oMath>
        <m:sSub>
          <m:e>
            <m:r>
              <m:t>x</m:t>
            </m:r>
          </m:e>
          <m:sub>
            <m:r>
              <m:t>i</m:t>
            </m:r>
          </m:sub>
        </m:sSub>
      </m:oMath>
      <w:r>
        <w:t xml:space="preserve">,</w:t>
      </w:r>
      <w:r>
        <w:t xml:space="preserve"> </w:t>
      </w:r>
      <m:oMath>
        <m:sSub>
          <m:e>
            <m:r>
              <m:t>a</m:t>
            </m:r>
          </m:e>
          <m:sub>
            <m:r>
              <m:t>i</m:t>
            </m:r>
            <m:r>
              <m:t>j</m:t>
            </m:r>
          </m:sub>
        </m:sSub>
      </m:oMath>
      <w:r>
        <w:t xml:space="preserve">,</w:t>
      </w:r>
      <w:r>
        <w:t xml:space="preserve"> </w:t>
      </w:r>
      <m:oMath>
        <m:sSub>
          <m:e>
            <m:r>
              <m:t>h</m:t>
            </m:r>
          </m:e>
          <m:sub>
            <m:r>
              <m:t>i</m:t>
            </m:r>
            <m:r>
              <m:t>j</m:t>
            </m:r>
          </m:sub>
        </m:sSub>
      </m:oMath>
      <w:r>
        <w:t xml:space="preserve">,</w:t>
      </w:r>
      <w:r>
        <w:t xml:space="preserve"> </w:t>
      </w:r>
      <m:oMath>
        <m:sSub>
          <m:e>
            <m:r>
              <m:t>r</m:t>
            </m:r>
          </m:e>
          <m:sub>
            <m:r>
              <m:t>j</m:t>
            </m:r>
          </m:sub>
        </m:sSub>
      </m:oMath>
      <w:r>
        <w:t xml:space="preserve">, and</w:t>
      </w:r>
      <w:r>
        <w:t xml:space="preserve"> </w:t>
      </w:r>
      <m:oMath>
        <m:sSub>
          <m:e>
            <m:r>
              <m:t>K</m:t>
            </m:r>
          </m:e>
          <m:sub>
            <m:r>
              <m:t>j</m:t>
            </m:r>
          </m:sub>
        </m:sSub>
      </m:oMath>
      <w:r>
        <w:t xml:space="preserve"> </w:t>
      </w:r>
      <w:r>
        <w:t xml:space="preserve">were set to the default values provided by</w:t>
      </w:r>
      <w:r>
        <w:t xml:space="preserve"> </w:t>
      </w:r>
      <w:r>
        <w:t xml:space="preserve">(Lajaaiti et al., 2025)</w:t>
      </w:r>
      <w:r>
        <w:t xml:space="preserve">.</w:t>
      </w:r>
    </w:p>
    <w:p>
      <w:pPr>
        <w:pStyle w:val="BodyText"/>
      </w:pPr>
      <w:r>
        <w:t xml:space="preserve">Each network was simulated until it reached a steady state. Species were considered extinct when their biomass fell below 10−6. At equilibrium, both extinct species and disconnected species were removed, yielding the realised post-simulation network.</w:t>
      </w:r>
    </w:p>
    <w:bookmarkEnd w:id="13"/>
    <w:bookmarkStart w:id="16" w:name="post-simulation-analyses"/>
    <w:p>
      <w:pPr>
        <w:pStyle w:val="Heading2"/>
      </w:pPr>
      <w:r>
        <w:t xml:space="preserve">2.4 Post-simulation analyses</w:t>
      </w:r>
    </w:p>
    <w:bookmarkStart w:id="14" w:name="phenotypic-trajectory-analysis"/>
    <w:p>
      <w:pPr>
        <w:pStyle w:val="Heading3"/>
      </w:pPr>
      <w:r>
        <w:t xml:space="preserve">2.4.1 Phenotypic trajectory analysis</w:t>
      </w:r>
    </w:p>
    <w:p>
      <w:pPr>
        <w:pStyle w:val="FirstParagraph"/>
      </w:pPr>
      <w:r>
        <w:t xml:space="preserve">To quantify how ecological dynamics reshaped network topology, all structural metrics were recalculated following the dynamic simulations using the realised (post-extinction) network. These post-dynamics metrics were compared with those of the initial network using a phenotypic trajectory analysis (PTA) framework [REF], where each network was represented as a point in a multivariate topology space defined by the suite of structural network metrics [TABLE]. Prior to analysis, all metrics were standardised (mean = 0, SD = 1) to remove differences in scale before constructing a common topology space using principal component analysis (PCA). Both pre- and post-dynamics networks were projected into this shared ordination, allowing each network to be represented by a trajectory from its initial to realised topology.</w:t>
      </w:r>
    </w:p>
    <w:p>
      <w:pPr>
        <w:pStyle w:val="BodyText"/>
      </w:pPr>
      <w:r>
        <w:t xml:space="preserve">Trajectory vectors were calculated as the displacement between pre- and post-dynamics positions in the five-dimensional PCA space. Trajectory length was calculated as the Euclidean distance between the two states, providing a measure of the magnitude of topological change. Mean trajectories (centroids) were calculated for each network reconstruction model to summarise their overall direction of change. Pairwise angular differences between trajectory vectors were then calculated using cosine similarity to quantify whether different reconstruction models exhibited similar directions of topological change, independent of the magnitude of displacement. Finally, convergence among network topologies was assessed by calculating each network’s Euclidean distance to the global post-dynamics centroid before and after simulation, with positive reductions in distance indicating convergence towards a common realised network topology.</w:t>
      </w:r>
    </w:p>
    <w:bookmarkEnd w:id="14"/>
    <w:bookmarkStart w:id="15" w:name="community-stability"/>
    <w:p>
      <w:pPr>
        <w:pStyle w:val="Heading3"/>
      </w:pPr>
      <w:r>
        <w:t xml:space="preserve">2.4.2 Community stability</w:t>
      </w:r>
    </w:p>
    <w:p>
      <w:pPr>
        <w:pStyle w:val="FirstParagraph"/>
      </w:pPr>
      <w:r>
        <w:t xml:space="preserve">At equilibrium, we calculated two sets of stability metrics to compare realised networks across generative models. First, network-level stability was characterised by species persistence, Shannon diversity of biomasses, the Gini coefficient of consumption fluxes, and the skewness of interspecific interaction strengths. Second, local stability was characterised by resilience and reactivity. Resilience was measured by the real part of the dominant eigenvalue of the Jacobian matrix, with more negative values indicating faster return to equilibrium following a small perturbation</w:t>
      </w:r>
      <w:r>
        <w:t xml:space="preserve"> </w:t>
      </w:r>
      <w:r>
        <w:t xml:space="preserve">(Ruiter et al., 1995)</w:t>
      </w:r>
      <w:r>
        <w:t xml:space="preserve">. Reactivity quantified the maximum instantaneous amplification of perturbations, with more positive values indicating a stronger tendency for some perturbations to initially move the system further away from equilibrium</w:t>
      </w:r>
      <w:r>
        <w:t xml:space="preserve"> </w:t>
      </w:r>
      <w:r>
        <w:t xml:space="preserve">(Neubert &amp; Caswell, 1997)</w:t>
      </w:r>
      <w:r>
        <w:t xml:space="preserve">.</w:t>
      </w:r>
    </w:p>
    <w:p>
      <w:pPr>
        <w:pStyle w:val="BodyText"/>
      </w:pPr>
      <w:r>
        <w:t xml:space="preserve">For each stability metric, we fitted a linear model including food web model and equilibrium species richness as additive predictors:</w:t>
      </w:r>
    </w:p>
    <w:p>
      <w:pPr>
        <w:pStyle w:val="BodyText"/>
      </w:pPr>
      <m:oMath>
        <m:r>
          <m:rPr>
            <m:nor/>
            <m:sty m:val="p"/>
          </m:rPr>
          <m:t>Stability metric</m:t>
        </m:r>
        <m:r>
          <m:rPr>
            <m:sty m:val="p"/>
          </m:rPr>
          <m:t>∼</m:t>
        </m:r>
        <m:r>
          <m:rPr>
            <m:nor/>
            <m:sty m:val="p"/>
          </m:rPr>
          <m:t>Food-web model</m:t>
        </m:r>
        <m:r>
          <m:rPr>
            <m:sty m:val="p"/>
          </m:rPr>
          <m:t>+</m:t>
        </m:r>
        <m:r>
          <m:rPr>
            <m:nor/>
            <m:sty m:val="p"/>
          </m:rPr>
          <m:t>Equilibrium richness</m:t>
        </m:r>
      </m:oMath>
      <w:r>
        <w:t xml:space="preserve">.</w:t>
      </w:r>
    </w:p>
    <w:p>
      <w:pPr>
        <w:pStyle w:val="BodyText"/>
      </w:pPr>
      <w:r>
        <w:t xml:space="preserve">We used Type II ANOVA to assess the contribution of each predictor while controlling for the other. The magnitude of each association was quantified using partial eta-squared, which represents the proportion of effect-plus-residual variation attributable to a predictor after accounting for the other predictor.</w:t>
      </w:r>
    </w:p>
    <w:bookmarkEnd w:id="15"/>
    <w:bookmarkEnd w:id="16"/>
    <w:bookmarkStart w:id="17" w:name="experimental-design"/>
    <w:p>
      <w:pPr>
        <w:pStyle w:val="Heading2"/>
      </w:pPr>
      <w:r>
        <w:t xml:space="preserve">2.5 Experimental design</w:t>
      </w:r>
    </w:p>
    <w:p>
      <w:pPr>
        <w:pStyle w:val="FirstParagraph"/>
      </w:pPr>
      <w:r>
        <w:t xml:space="preserve">The analysis was designed to isolate the effect of network-generating assumptions by holding constant (i) species richness, (ii) trait distributions (within trait-based models), and (iii) dynamical rules. Differences in structure and dynamics can therefore be attributed directly to the generative model used to reconstruct trophic interactions.</w:t>
      </w:r>
    </w:p>
    <w:bookmarkEnd w:id="17"/>
    <w:bookmarkEnd w:id="18"/>
    <w:bookmarkStart w:id="42" w:name="results"/>
    <w:p>
      <w:pPr>
        <w:pStyle w:val="Heading1"/>
      </w:pPr>
      <w:r>
        <w:t xml:space="preserve">3. Results</w:t>
      </w:r>
    </w:p>
    <w:bookmarkStart w:id="23" w:name="networks-converge-in-structure"/>
    <w:p>
      <w:pPr>
        <w:pStyle w:val="Heading2"/>
      </w:pPr>
      <w:r>
        <w:t xml:space="preserve">3.1 Networks Converge in Structure</w:t>
      </w:r>
    </w:p>
    <w:p>
      <w:pPr>
        <w:pStyle w:val="FirstParagraph"/>
      </w:pPr>
      <w:r>
        <w:t xml:space="preserve">Projection of all networks into a common topology space revealed that initial and realised food-web topologies occupied distinct regions of multivariate space (</w:t>
      </w:r>
      <w:hyperlink w:anchor="fig-PTA">
        <w:r>
          <w:rPr>
            <w:rStyle w:val="Hyperlink"/>
          </w:rPr>
          <w:t xml:space="preserve">Figure 1</w:t>
        </w:r>
      </w:hyperlink>
      <w:r>
        <w:t xml:space="preserve"> </w:t>
      </w:r>
      <w:r>
        <w:t xml:space="preserve">A). The first two principal components explained 50.7% of the total variation in network structure, with variation primarily associated with linkage density, chain length, apparent competition (S5), and direct competition (S4) (</w:t>
      </w:r>
      <w:hyperlink w:anchor="fig-PTA">
        <w:r>
          <w:rPr>
            <w:rStyle w:val="Hyperlink"/>
          </w:rPr>
          <w:t xml:space="preserve">Figure 1</w:t>
        </w:r>
      </w:hyperlink>
      <w:r>
        <w:t xml:space="preserve"> </w:t>
      </w:r>
      <w:r>
        <w:t xml:space="preserve">B). While considerable separation among reconstruction models was evident in the initial topology space, post-dynamics networks exhibited greater overlap, suggesting that ecological dynamics altered structural differences among models.</w:t>
      </w:r>
    </w:p>
    <w:p>
      <w:pPr>
        <w:pStyle w:val="BlockText"/>
      </w:pPr>
      <w:r>
        <w:t xml:space="preserve">Discussion point: There is a</w:t>
      </w:r>
      <w:r>
        <w:t xml:space="preserve"> </w:t>
      </w:r>
      <w:r>
        <w:t xml:space="preserve">‘selection’</w:t>
      </w:r>
      <w:r>
        <w:t xml:space="preserve"> </w:t>
      </w:r>
      <w:r>
        <w:t xml:space="preserve">for structure since we see networks moving towards a similar end point. Here we can see that its links and indirect interactions - probably resulting from the loss of species specifically associated with these motifs. Something about how although this is a</w:t>
      </w:r>
      <w:r>
        <w:t xml:space="preserve"> </w:t>
      </w:r>
      <w:r>
        <w:t xml:space="preserve">‘dynamic system’</w:t>
      </w:r>
      <w:r>
        <w:t xml:space="preserve"> </w:t>
      </w:r>
      <w:r>
        <w:t xml:space="preserve">we must remember that there is no rewiring happening so structural changes are all being driven by the loss of specific species (hence the link and motif changes)</w:t>
      </w:r>
    </w:p>
    <w:tbl>
      <w:tblPr>
        <w:tblStyle w:val="Table"/>
        <w:tblW w:type="pct" w:w="5000"/>
        <w:tblLayout w:type="fixed"/>
        <w:tblLook w:firstRow="0" w:lastRow="0" w:firstColumn="0" w:lastColumn="0" w:noHBand="0" w:noVBand="0" w:val="0000"/>
      </w:tblPr>
      <w:tblGrid>
        <w:gridCol w:w="7920"/>
      </w:tblGrid>
      <w:tr>
        <w:tc>
          <w:tcPr/>
          <w:bookmarkStart w:id="22" w:name="fig-PTA"/>
          <w:p>
            <w:pPr>
              <w:pStyle w:val="Compact"/>
              <w:jc w:val="center"/>
            </w:pPr>
            <w:r>
              <w:drawing>
                <wp:inline>
                  <wp:extent cx="5334000" cy="6400800"/>
                  <wp:effectExtent b="0" l="0" r="0" t="0"/>
                  <wp:docPr descr="" title="" id="20" name="Picture"/>
                  <a:graphic>
                    <a:graphicData uri="http://schemas.openxmlformats.org/drawingml/2006/picture">
                      <pic:pic>
                        <pic:nvPicPr>
                          <pic:cNvPr descr="figures/PTA.png" id="21" name="Picture"/>
                          <pic:cNvPicPr>
                            <a:picLocks noChangeArrowheads="1" noChangeAspect="1"/>
                          </pic:cNvPicPr>
                        </pic:nvPicPr>
                        <pic:blipFill>
                          <a:blip r:embed="rId19"/>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Ecological dynamics reshape food-web topology within a shared multivariate topology space. Network structural metrics were standardised and summarised using principal component analysis, with each network represented by its position before and after dynamic simulations. (A) PCA of networks before and after dynamic simulations. Ellipses cover 90%[CHECK] of points (B) Principal component loadings showing the contribution of the top ten individual network metrics to topology space (C) Centroid trajectories for each reconstruction model, illustrating the direction and magnitude of topological change between initial and realised networks. (D) Component-wise displacement of model centroids along the first five principal component axes, highlighting the principal dimensions responsible for topological change. Black bounding boxes indicate the dimension with the greatest displacement (E) Mean Euclidean distance of networks to the overall network centroid before and after simulations, providing a measure of convergence in network topology.</w:t>
            </w:r>
          </w:p>
          <w:bookmarkEnd w:id="22"/>
        </w:tc>
      </w:tr>
    </w:tbl>
    <w:p>
      <w:pPr>
        <w:pStyle w:val="BodyText"/>
      </w:pPr>
      <w:r>
        <w:t xml:space="preserve">All reconstruction models underwent measurable shifts in topology following dynamic simulations, although both the magnitude and direction of change differed among models (</w:t>
      </w:r>
      <w:hyperlink w:anchor="fig-PTA">
        <w:r>
          <w:rPr>
            <w:rStyle w:val="Hyperlink"/>
          </w:rPr>
          <w:t xml:space="preserve">Figure 1</w:t>
        </w:r>
      </w:hyperlink>
      <w:r>
        <w:t xml:space="preserve"> </w:t>
      </w:r>
      <w:r>
        <w:t xml:space="preserve">C). Centroid trajectories showed that all models moved broadly in the same direction, indicating that ecological dynamics reshaped network topology in a consistent manner. This can be seen when looking at the displacement of models along the various PC axes (</w:t>
      </w:r>
      <w:hyperlink w:anchor="fig-PTA">
        <w:r>
          <w:rPr>
            <w:rStyle w:val="Hyperlink"/>
          </w:rPr>
          <w:t xml:space="preserve">Figure 1</w:t>
        </w:r>
      </w:hyperlink>
      <w:r>
        <w:t xml:space="preserve"> </w:t>
      </w:r>
      <w:r>
        <w:t xml:space="preserve">D), where all models showed the greatest displacement along PC1.</w:t>
      </w:r>
    </w:p>
    <w:p>
      <w:pPr>
        <w:pStyle w:val="BlockText"/>
      </w:pPr>
      <w:r>
        <w:t xml:space="preserve">Discussion point: Given that this is associated with the two competition motifs (S4, S5) it links to the indirect effects component - and we are seeing a</w:t>
      </w:r>
      <w:r>
        <w:t xml:space="preserve"> </w:t>
      </w:r>
      <w:r>
        <w:t xml:space="preserve">‘pruning’</w:t>
      </w:r>
      <w:r>
        <w:t xml:space="preserve"> </w:t>
      </w:r>
      <w:r>
        <w:t xml:space="preserve">happening at these tri-trophic components/units. Which kind of agrees with the Curstdottir justification for dynamic extinctions and also Stouffer’s work about motifs and robustness(?) adjacent stuff.</w:t>
      </w:r>
    </w:p>
    <w:p>
      <w:pPr>
        <w:pStyle w:val="FirstParagraph"/>
      </w:pPr>
      <w:r>
        <w:t xml:space="preserve">Comparison of trajectory vectors demonstrated that most models exhibited small angular differences, indicating that ecological dynamics produced similar directions of topological change across reconstruction methods. Trajectory lengths varied across the 5 PCs ranged from with the Cascade models exhibiting the greatest overall restructuring and Random models the least along PC1.</w:t>
      </w:r>
    </w:p>
    <w:p>
      <w:pPr>
        <w:pStyle w:val="BodyText"/>
      </w:pPr>
      <w:r>
        <w:t xml:space="preserve">Finally, realised networks showed evidence of convergence within topology space (</w:t>
      </w:r>
      <w:hyperlink w:anchor="fig-PTA">
        <w:r>
          <w:rPr>
            <w:rStyle w:val="Hyperlink"/>
          </w:rPr>
          <w:t xml:space="preserve">Figure 1</w:t>
        </w:r>
      </w:hyperlink>
      <w:r>
        <w:t xml:space="preserve"> </w:t>
      </w:r>
      <w:r>
        <w:t xml:space="preserve">D). The mean Euclidean distance to the global realised-network centroid decreased following dynamic simulations for all models, suggesting that ecological dynamics drove networks towards a common structural endpoint despite differences in initial topology.</w:t>
      </w:r>
    </w:p>
    <w:bookmarkEnd w:id="23"/>
    <w:bookmarkStart w:id="32" w:name="structure-does-not-confer-stability"/>
    <w:p>
      <w:pPr>
        <w:pStyle w:val="Heading2"/>
      </w:pPr>
      <w:r>
        <w:t xml:space="preserve">3.2 Structure does not confer stability</w:t>
      </w:r>
    </w:p>
    <w:p>
      <w:pPr>
        <w:pStyle w:val="FirstParagraph"/>
      </w:pPr>
      <w:r>
        <w:t xml:space="preserve">With the exception of the Niche and Cascade models not all networks reached an equilibrium biomass (</w:t>
      </w:r>
      <w:hyperlink w:anchor="fig-stability_endpnts">
        <w:r>
          <w:rPr>
            <w:rStyle w:val="Hyperlink"/>
          </w:rPr>
          <w:t xml:space="preserve">Figure 2</w:t>
        </w:r>
      </w:hyperlink>
      <w:r>
        <w:t xml:space="preserve">). The Random networks had the lowest percentage of networks that reached an equilibrium state, with most of the networks collapsing</w:t>
      </w:r>
      <w:r>
        <w:t xml:space="preserve"> </w:t>
      </w:r>
      <w:r>
        <w:rPr>
          <w:i/>
          <w:iCs/>
        </w:rPr>
        <w:t xml:space="preserve">i.e.,</w:t>
      </w:r>
      <w:r>
        <w:t xml:space="preserve"> </w:t>
      </w:r>
      <w:r>
        <w:t xml:space="preserve">species went extinct. With the two structural networks (Random and MaxEnt) we see that the larger the initial network is the more of them fail to reach an equilibrium state. Conversely the three body size models (ADBM, ATN, and LTM) show the opposite relationship (smaller networks tend to fail). Interestingly we primarily see that networks fail due to extinction of the community as opposed to the network not able to reach an equilibrium state.</w:t>
      </w:r>
    </w:p>
    <w:p>
      <w:pPr>
        <w:pStyle w:val="BlockText"/>
      </w:pPr>
      <w:r>
        <w:t xml:space="preserve">Discussion point - few random models reach equilibrium but those that do do not change a lot - maybe this implies that there is an</w:t>
      </w:r>
      <w:r>
        <w:t xml:space="preserve"> </w:t>
      </w:r>
      <w:r>
        <w:t xml:space="preserve">‘optimal structure’</w:t>
      </w:r>
      <w:r>
        <w:t xml:space="preserve"> </w:t>
      </w:r>
      <w:r>
        <w:t xml:space="preserve">for those networks whereas niche and cascade (100% success) have a bit more</w:t>
      </w:r>
      <w:r>
        <w:t xml:space="preserve"> </w:t>
      </w:r>
      <w:r>
        <w:t xml:space="preserve">‘relaxed’</w:t>
      </w:r>
      <w:r>
        <w:t xml:space="preserve"> </w:t>
      </w:r>
      <w:r>
        <w:t xml:space="preserve">rules as to how far away you can to be from the</w:t>
      </w:r>
      <w:r>
        <w:t xml:space="preserve"> </w:t>
      </w:r>
      <w:r>
        <w:t xml:space="preserve">‘optimum’</w:t>
      </w:r>
    </w:p>
    <w:tbl>
      <w:tblPr>
        <w:tblStyle w:val="Table"/>
        <w:tblW w:type="pct" w:w="5000"/>
        <w:tblLayout w:type="fixed"/>
        <w:tblLook w:firstRow="0" w:lastRow="0" w:firstColumn="0" w:lastColumn="0" w:noHBand="0" w:noVBand="0" w:val="0000"/>
      </w:tblPr>
      <w:tblGrid>
        <w:gridCol w:w="7920"/>
      </w:tblGrid>
      <w:tr>
        <w:tc>
          <w:tcPr/>
          <w:bookmarkStart w:id="27" w:name="fig-stability_endpnts"/>
          <w:p>
            <w:pPr>
              <w:pStyle w:val="Compact"/>
              <w:jc w:val="center"/>
            </w:pPr>
            <w:r>
              <w:drawing>
                <wp:inline>
                  <wp:extent cx="5334000" cy="3556000"/>
                  <wp:effectExtent b="0" l="0" r="0" t="0"/>
                  <wp:docPr descr="" title="" id="25" name="Picture"/>
                  <a:graphic>
                    <a:graphicData uri="http://schemas.openxmlformats.org/drawingml/2006/picture">
                      <pic:pic>
                        <pic:nvPicPr>
                          <pic:cNvPr descr="figures/stability_endpoints.png" id="26" name="Picture"/>
                          <pic:cNvPicPr>
                            <a:picLocks noChangeArrowheads="1" noChangeAspect="1"/>
                          </pic:cNvPicPr>
                        </pic:nvPicPr>
                        <pic:blipFill>
                          <a:blip r:embed="rId24"/>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End points of networks indicating the percentage of networks that reached an equilibrium biomass (orange) and if they did not (shades of blue) why not. These are faceted by the initial starting richness for each network</w:t>
            </w:r>
          </w:p>
          <w:bookmarkEnd w:id="27"/>
        </w:tc>
      </w:tr>
    </w:tbl>
    <w:p>
      <w:pPr>
        <w:pStyle w:val="BodyText"/>
      </w:pPr>
      <w:r>
        <w:t xml:space="preserve">Interestingly if we plot the</w:t>
      </w:r>
      <w:r>
        <w:t xml:space="preserve"> </w:t>
      </w:r>
      <w:r>
        <w:t xml:space="preserve">‘failed’</w:t>
      </w:r>
      <w:r>
        <w:t xml:space="preserve"> </w:t>
      </w:r>
      <w:r>
        <w:t xml:space="preserve">networks into the PCA space (</w:t>
      </w:r>
      <w:hyperlink w:anchor="fig-failed_pca">
        <w:r>
          <w:rPr>
            <w:rStyle w:val="Hyperlink"/>
          </w:rPr>
          <w:t xml:space="preserve">Figure 3</w:t>
        </w:r>
      </w:hyperlink>
      <w:r>
        <w:t xml:space="preserve">, darker points) these networks do not differ obviously in structure with the</w:t>
      </w:r>
      <w:r>
        <w:t xml:space="preserve"> </w:t>
      </w:r>
      <w:r>
        <w:t xml:space="preserve">‘successful’</w:t>
      </w:r>
      <w:r>
        <w:t xml:space="preserve"> </w:t>
      </w:r>
      <w:r>
        <w:t xml:space="preserve">networks. What is perhaps notable though is that we do begin to see some deviation in this observation for the larger networks (right column,</w:t>
      </w:r>
      <w:r>
        <w:t xml:space="preserve"> </w:t>
      </w:r>
      <w:hyperlink w:anchor="fig-failed_pca">
        <w:r>
          <w:rPr>
            <w:rStyle w:val="Hyperlink"/>
          </w:rPr>
          <w:t xml:space="preserve">Figure 3</w:t>
        </w:r>
      </w:hyperlink>
      <w:r>
        <w:t xml:space="preserve">), with these networks typically being on the</w:t>
      </w:r>
      <w:r>
        <w:t xml:space="preserve"> </w:t>
      </w:r>
      <w:r>
        <w:t xml:space="preserve">‘end range’</w:t>
      </w:r>
      <w:r>
        <w:t xml:space="preserve"> </w:t>
      </w:r>
      <w:r>
        <w:t xml:space="preserve">of the pre structural space, for smaller networks is seems a bit more</w:t>
      </w:r>
      <w:r>
        <w:t xml:space="preserve"> </w:t>
      </w:r>
      <w:r>
        <w:t xml:space="preserve">‘random’</w:t>
      </w:r>
    </w:p>
    <w:p>
      <w:pPr>
        <w:pStyle w:val="BlockText"/>
      </w:pPr>
      <w:r>
        <w:t xml:space="preserve">Discussion point - if we look at the downsampling manuscript the data there seems to suggest that the END is very sensitive to the body size specification (and deviation from the predator prey) which might suggest that these networks collapse because of that. HOWEVER the large networks are the ones where we see instability (non-equilibrium) more than collapse suggesting that non-equilibrium is a product of richness and structural</w:t>
      </w:r>
      <w:r>
        <w:t xml:space="preserve"> </w:t>
      </w:r>
      <w:r>
        <w:t xml:space="preserve">‘deviation’</w:t>
      </w:r>
      <w:r>
        <w:t xml:space="preserve">. Worth pointing out that in general the failed networks are on the outer limits of the structure same (but not obviously so) which might suggest that these are also the networks that are more sensitive to the emergent property (body size) stuff? So structurally robust</w:t>
      </w:r>
      <w:r>
        <w:t xml:space="preserve"> </w:t>
      </w:r>
      <w:r>
        <w:t xml:space="preserve">‘zone’</w:t>
      </w:r>
      <w:r>
        <w:t xml:space="preserve"> </w:t>
      </w:r>
      <w:r>
        <w:t xml:space="preserve">and then as soon as you start moving away from that you become at risk of</w:t>
      </w:r>
      <w:r>
        <w:t xml:space="preserve"> </w:t>
      </w:r>
      <w:r>
        <w:t xml:space="preserve">‘instability’</w:t>
      </w:r>
      <w:r>
        <w:t xml:space="preserve">…</w:t>
      </w:r>
    </w:p>
    <w:tbl>
      <w:tblPr>
        <w:tblStyle w:val="Table"/>
        <w:tblW w:type="pct" w:w="5000"/>
        <w:tblLayout w:type="fixed"/>
        <w:tblLook w:firstRow="0" w:lastRow="0" w:firstColumn="0" w:lastColumn="0" w:noHBand="0" w:noVBand="0" w:val="0000"/>
      </w:tblPr>
      <w:tblGrid>
        <w:gridCol w:w="7920"/>
      </w:tblGrid>
      <w:tr>
        <w:tc>
          <w:tcPr/>
          <w:bookmarkStart w:id="31" w:name="fig-failed_pca"/>
          <w:p>
            <w:pPr>
              <w:pStyle w:val="Compact"/>
              <w:jc w:val="center"/>
            </w:pPr>
            <w:r>
              <w:drawing>
                <wp:inline>
                  <wp:extent cx="5334000" cy="3810000"/>
                  <wp:effectExtent b="0" l="0" r="0" t="0"/>
                  <wp:docPr descr="" title="" id="29" name="Picture"/>
                  <a:graphic>
                    <a:graphicData uri="http://schemas.openxmlformats.org/drawingml/2006/picture">
                      <pic:pic>
                        <pic:nvPicPr>
                          <pic:cNvPr descr="figures/PTA_failed_networks.png" id="30" name="Picture"/>
                          <pic:cNvPicPr>
                            <a:picLocks noChangeArrowheads="1" noChangeAspect="1"/>
                          </pic:cNvPicPr>
                        </pic:nvPicPr>
                        <pic:blipFill>
                          <a:blip r:embed="rId2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Arrows indicate trajectory of individual networks. Points are networks that failed to reach an equilibrium state that have been predicted</w:t>
            </w:r>
            <w:r>
              <w:t xml:space="preserve"> </w:t>
            </w:r>
            <w:r>
              <w:t xml:space="preserve">‘into’</w:t>
            </w:r>
            <w:r>
              <w:t xml:space="preserve"> </w:t>
            </w:r>
            <w:r>
              <w:t xml:space="preserve">the PCA space. Pale arrows show the trajectory of each individual network, dark arrows the mean trajectory. Note we do not plot networks that</w:t>
            </w:r>
            <w:r>
              <w:t xml:space="preserve"> </w:t>
            </w:r>
            <w:r>
              <w:t xml:space="preserve">‘failed’</w:t>
            </w:r>
            <w:r>
              <w:t xml:space="preserve"> </w:t>
            </w:r>
            <w:r>
              <w:t xml:space="preserve">due to solver issues, additionally we omit the Niche and Cascade models as they have no</w:t>
            </w:r>
            <w:r>
              <w:t xml:space="preserve"> </w:t>
            </w:r>
            <w:r>
              <w:t xml:space="preserve">‘failed’</w:t>
            </w:r>
            <w:r>
              <w:t xml:space="preserve"> </w:t>
            </w:r>
            <w:r>
              <w:t xml:space="preserve">networks</w:t>
            </w:r>
          </w:p>
          <w:bookmarkEnd w:id="31"/>
        </w:tc>
      </w:tr>
    </w:tbl>
    <w:bookmarkEnd w:id="32"/>
    <w:bookmarkStart w:id="41" w:name="network-stability-inferences"/>
    <w:p>
      <w:pPr>
        <w:pStyle w:val="Heading2"/>
      </w:pPr>
      <w:r>
        <w:t xml:space="preserve">3.3 Network stability inferences</w:t>
      </w:r>
    </w:p>
    <w:p>
      <w:pPr>
        <w:pStyle w:val="FirstParagraph"/>
      </w:pPr>
      <w:r>
        <w:t xml:space="preserve">Equilibrium richness explained substantially more variation than generative food web models in network-level stability metrics, with the strongest contribution observed for Shannon diversity of biomasses, followed by the skewness of interaction strengths, species persistence and the Gini coefficient of consumption fluxes (</w:t>
      </w:r>
      <w:hyperlink w:anchor="fig-rel_contribution">
        <w:r>
          <w:rPr>
            <w:rStyle w:val="Hyperlink"/>
          </w:rPr>
          <w:t xml:space="preserve">Figure 4</w:t>
        </w:r>
      </w:hyperlink>
      <w:r>
        <w:t xml:space="preserve">). In contrast, variation in resilience was influenced by both richness and model, with a larger contribution from model. Reactivity was explained primarily by generative food web models, with very little contribution from equilibrium richness.</w:t>
      </w:r>
    </w:p>
    <w:tbl>
      <w:tblPr>
        <w:tblStyle w:val="Table"/>
        <w:tblW w:type="pct" w:w="5000"/>
        <w:tblLayout w:type="fixed"/>
        <w:tblLook w:firstRow="0" w:lastRow="0" w:firstColumn="0" w:lastColumn="0" w:noHBand="0" w:noVBand="0" w:val="0000"/>
      </w:tblPr>
      <w:tblGrid>
        <w:gridCol w:w="7920"/>
      </w:tblGrid>
      <w:tr>
        <w:tc>
          <w:tcPr/>
          <w:bookmarkStart w:id="36" w:name="fig-rel_contribution"/>
          <w:p>
            <w:pPr>
              <w:pStyle w:val="Compact"/>
              <w:jc w:val="center"/>
            </w:pPr>
            <w:r>
              <w:drawing>
                <wp:inline>
                  <wp:extent cx="5334000" cy="3333750"/>
                  <wp:effectExtent b="0" l="0" r="0" t="0"/>
                  <wp:docPr descr="" title="" id="34" name="Picture"/>
                  <a:graphic>
                    <a:graphicData uri="http://schemas.openxmlformats.org/drawingml/2006/picture">
                      <pic:pic>
                        <pic:nvPicPr>
                          <pic:cNvPr descr="figures/stability_effect_size_model_vs_richness.png" id="35" name="Picture"/>
                          <pic:cNvPicPr>
                            <a:picLocks noChangeArrowheads="1" noChangeAspect="1"/>
                          </pic:cNvPicPr>
                        </pic:nvPicPr>
                        <pic:blipFill>
                          <a:blip r:embed="rId3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Relative contributions of equilibrium species richness and generative food web models to variation in network and local stability metrics</w:t>
            </w:r>
          </w:p>
          <w:bookmarkEnd w:id="36"/>
        </w:tc>
      </w:tr>
    </w:tbl>
    <w:p>
      <w:pPr>
        <w:pStyle w:val="BodyText"/>
      </w:pPr>
      <w:r>
        <w:t xml:space="preserve">After accounting for equilibrium richness, Niche, Cascade, ATN and MaxEnt generally supported higher species persistence than ADBM, LTM and Random generated food webs (</w:t>
      </w:r>
      <w:hyperlink w:anchor="fig-emmeans">
        <w:r>
          <w:rPr>
            <w:rStyle w:val="Hyperlink"/>
          </w:rPr>
          <w:t xml:space="preserve">Figure 5</w:t>
        </w:r>
      </w:hyperlink>
      <w:r>
        <w:t xml:space="preserve">). Biomass diversity was highest in Cascade and Niche webs, but comparatively low in LTM and MaxEnt. Random model had the most uneven consumption fluxes, while MaxEnt and Random webs showed the strongest skewness in interaction strengths. ADBM and LTM generated food webs showed the highest resilience, i.e.,fastest asymptotic recovery, whereas LTM food webs were also the most reactive, i.e., strongest initial amplification of perturbations.</w:t>
      </w:r>
    </w:p>
    <w:tbl>
      <w:tblPr>
        <w:tblStyle w:val="Table"/>
        <w:tblW w:type="pct" w:w="5000"/>
        <w:tblLayout w:type="fixed"/>
        <w:tblLook w:firstRow="0" w:lastRow="0" w:firstColumn="0" w:lastColumn="0" w:noHBand="0" w:noVBand="0" w:val="0000"/>
      </w:tblPr>
      <w:tblGrid>
        <w:gridCol w:w="7920"/>
      </w:tblGrid>
      <w:tr>
        <w:tc>
          <w:tcPr/>
          <w:bookmarkStart w:id="40" w:name="fig-emmeans"/>
          <w:p>
            <w:pPr>
              <w:pStyle w:val="Compact"/>
              <w:jc w:val="center"/>
            </w:pPr>
            <w:r>
              <w:drawing>
                <wp:inline>
                  <wp:extent cx="5334000" cy="4445000"/>
                  <wp:effectExtent b="0" l="0" r="0" t="0"/>
                  <wp:docPr descr="" title="" id="38" name="Picture"/>
                  <a:graphic>
                    <a:graphicData uri="http://schemas.openxmlformats.org/drawingml/2006/picture">
                      <pic:pic>
                        <pic:nvPicPr>
                          <pic:cNvPr descr="figures/stability_adjusted_model_means.png" id="39" name="Picture"/>
                          <pic:cNvPicPr>
                            <a:picLocks noChangeArrowheads="1" noChangeAspect="1"/>
                          </pic:cNvPicPr>
                        </pic:nvPicPr>
                        <pic:blipFill>
                          <a:blip r:embed="rId37"/>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Network and local stability metrics across generative food web models. Points are estimated marginal means adjusted to the mean equilibrium species richness. Bars show 95% confidence intervals.</w:t>
            </w:r>
          </w:p>
          <w:bookmarkEnd w:id="40"/>
        </w:tc>
      </w:tr>
    </w:tbl>
    <w:bookmarkEnd w:id="41"/>
    <w:bookmarkEnd w:id="42"/>
    <w:bookmarkStart w:id="47" w:name="discussion"/>
    <w:p>
      <w:pPr>
        <w:pStyle w:val="Heading1"/>
      </w:pPr>
      <w:r>
        <w:t xml:space="preserve">4. Discussion</w:t>
      </w:r>
    </w:p>
    <w:bookmarkStart w:id="43" w:name="X4879a2eb9a4ddc028d1a39ad57801e79fab68c5"/>
    <w:p>
      <w:pPr>
        <w:pStyle w:val="Heading2"/>
      </w:pPr>
      <w:r>
        <w:t xml:space="preserve">4.1 Reconstruction is Not Neutral (or maybe it is)</w:t>
      </w:r>
    </w:p>
    <w:p>
      <w:pPr>
        <w:pStyle w:val="FirstParagraph"/>
      </w:pPr>
      <w:r>
        <w:t xml:space="preserve">Generative models dictate the baseline: While structural and statistical models operate top-down using topological rules or entropy maximisation, trait-based models (ADBM, ATN, LTM) construct networks</w:t>
      </w:r>
      <w:r>
        <w:t xml:space="preserve"> </w:t>
      </w:r>
      <w:r>
        <w:t xml:space="preserve">“bottom-up”</w:t>
      </w:r>
      <w:r>
        <w:t xml:space="preserve"> </w:t>
      </w:r>
      <w:r>
        <w:t xml:space="preserve">using body-mass ratios and energetic trade-offs. These fundamental differences mean that generative models act as non-neutral structural priors rather than interchangeable templates.</w:t>
      </w:r>
    </w:p>
    <w:p>
      <w:pPr>
        <w:pStyle w:val="BodyText"/>
      </w:pPr>
      <w:r>
        <w:t xml:space="preserve">This directional movement reflects a clear selection for specific structural attributes. Because our simulation framework lacked link-rewiring mechanisms, topological changes were driven entirely by extinctions. Dynamic simulations systematically pruned tri-trophic competition motifs (specifically apparent competition (</w:t>
      </w:r>
      <m:oMath>
        <m:r>
          <m:t>S</m:t>
        </m:r>
        <m:r>
          <m:t>5</m:t>
        </m:r>
      </m:oMath>
      <w:r>
        <w:t xml:space="preserve">) and direct competition (</w:t>
      </w:r>
      <m:oMath>
        <m:r>
          <m:t>S</m:t>
        </m:r>
        <m:r>
          <m:t>4</m:t>
        </m:r>
      </m:oMath>
      <w:r>
        <w:t xml:space="preserve">), and omnivory (</w:t>
      </w:r>
      <m:oMath>
        <m:r>
          <m:t>S</m:t>
        </m:r>
        <m:r>
          <m:t>2</m:t>
        </m:r>
      </m:oMath>
      <w:r>
        <w:t xml:space="preserve">)) to pull initially disparate network structures toward a shared, realized endpoint. This observed motif-pruning closely mirrors work demonstrating that exploitative and apparent competition motifs generate severe transient instabilities that trigger targeted extinctions in unconstrained networks</w:t>
      </w:r>
      <w:r>
        <w:t xml:space="preserve"> </w:t>
      </w:r>
      <w:r>
        <w:t xml:space="preserve">(Borrelli, 2015; Stouffer &amp; Bascompte, 2010)</w:t>
      </w:r>
      <w:r>
        <w:t xml:space="preserve">.</w:t>
      </w:r>
    </w:p>
    <w:p>
      <w:pPr>
        <w:pStyle w:val="BodyText"/>
      </w:pPr>
      <w:r>
        <w:t xml:space="preserve">The existence of a constrained</w:t>
      </w:r>
      <w:r>
        <w:t xml:space="preserve"> </w:t>
      </w:r>
      <w:r>
        <w:t xml:space="preserve">“optimal”</w:t>
      </w:r>
      <w:r>
        <w:t xml:space="preserve"> </w:t>
      </w:r>
      <w:r>
        <w:t xml:space="preserve">structural domain for stability is further highlighted by the behavior of Random networks. Random models exhibited the highest rate of dynamic collapse, particularly as initial network size increased. However, the rare Random webs that reached equilibrium underwent almost no topological reorganization post-simulation. As demonstrated by classic stability theory, unconstrained random matrices are overwhelmingly unstable unless they happen to possess specific non-random topologies, such as modularity or weak interaction loops</w:t>
      </w:r>
      <w:r>
        <w:t xml:space="preserve"> </w:t>
      </w:r>
      <w:r>
        <w:t xml:space="preserve">(Allesina &amp; Tang, 2012; May, 1974)</w:t>
      </w:r>
      <w:r>
        <w:t xml:space="preserve">. The surviving Random networks occupied this precise, narrow topological zone from the outset. Conversely, networks that failed to achieve steady-state dynamics tended to occupy the outer periphery of the initial structural PCA space. Deviating too far from viable topological bounds creates severe structural vulnerabilities that amplify community collapse as species richness scales</w:t>
      </w:r>
      <w:r>
        <w:t xml:space="preserve"> </w:t>
      </w:r>
      <w:r>
        <w:t xml:space="preserve">(Dunne et al., 2002)</w:t>
      </w:r>
    </w:p>
    <w:p>
      <w:pPr>
        <w:pStyle w:val="BlockText"/>
      </w:pPr>
      <w:r>
        <w:t xml:space="preserve">since Random models are not ecologically informed this implies there is</w:t>
      </w:r>
      <w:r>
        <w:t xml:space="preserve"> </w:t>
      </w:r>
      <w:r>
        <w:t xml:space="preserve">‘structural stability’</w:t>
      </w:r>
      <w:r>
        <w:t xml:space="preserve"> </w:t>
      </w:r>
      <w:r>
        <w:t xml:space="preserve">and then having ecology informed structure expands that zone into something like</w:t>
      </w:r>
      <w:r>
        <w:t xml:space="preserve"> </w:t>
      </w:r>
      <w:r>
        <w:t xml:space="preserve">‘ecological structural stability’</w:t>
      </w:r>
      <w:r>
        <w:t xml:space="preserve">; and then there comes the structural vs body size model differences???</w:t>
      </w:r>
    </w:p>
    <w:bookmarkEnd w:id="43"/>
    <w:bookmarkStart w:id="44" w:name="template-dependence"/>
    <w:p>
      <w:pPr>
        <w:pStyle w:val="Heading2"/>
      </w:pPr>
      <w:r>
        <w:t xml:space="preserve">4.2 Template Dependence</w:t>
      </w:r>
    </w:p>
    <w:p>
      <w:pPr>
        <w:pStyle w:val="FirstParagraph"/>
      </w:pPr>
      <w:r>
        <w:t xml:space="preserve">A central objective of this study was to resolve whether structural templates, such as the widely used Niche model, serve as universal baselines for theoretical ecology. Our results reveal a stark dichotomy: while Niche and Cascade models achieved a 100% equilibrium success rate regardless of network size, this resilience should not be confused with superior biological realism. As highlighted in critiques of purely topological models, the Niche model accurately reproduces macro-topological features like degree distributions and chain lengths but lacks explicit consumer-resource energetic trade-offs</w:t>
      </w:r>
      <w:r>
        <w:t xml:space="preserve"> </w:t>
      </w:r>
      <w:r>
        <w:t xml:space="preserve">(Petchey et al., 2008; Schneider et al., 2016)</w:t>
      </w:r>
      <w:r>
        <w:t xml:space="preserve">. Instead, the flawless survival rate of traditional structural models reflects cross-model compatibility rather than empirical plausibility. Because structural models do not explicitly include species body masses, masses were assigned post hoc based on trophic levels assuming a fixed 100:1 predator-prey body mass ratio. This artificial assignment aligns neatly with the underlying mathematical grammar and allometric scaling assumptions of the Bio-Energetic Food Web (BEFW) dynamic framework</w:t>
      </w:r>
      <w:r>
        <w:t xml:space="preserve"> </w:t>
      </w:r>
      <w:r>
        <w:t xml:space="preserve">(Delmas et al., 2017)</w:t>
      </w:r>
      <w:r>
        <w:t xml:space="preserve">. Consequently, dynamic simulations on structural webs may primarily measure how well a generative model’s topological heuristics conform to bioenergetic differential equations, rather than testing real-world ecological persistence.</w:t>
      </w:r>
    </w:p>
    <w:p>
      <w:pPr>
        <w:pStyle w:val="BodyText"/>
      </w:pPr>
      <w:r>
        <w:t xml:space="preserve">When explicit trait distributions and optimal foraging constraints are enforced (as in ADBM, ATN, and LTM), networks experience lower overall species persistence but reveal complex local dynamic behaviors. For instance, ADBM and LTM networks supported the highest asymptotic resilience (fastest return to equilibrium), yet LTM webs simultaneously exhibited the highest reactivity (strongest initial amplification of perturbations). This decoupling of short-term transient responses from long-term asymptotic stability is a recognized hallmark of non-orthogonal, size-structured communities</w:t>
      </w:r>
      <w:r>
        <w:t xml:space="preserve">(Neubert &amp; Caswell, 1997; Tang et al., 2014)</w:t>
      </w:r>
      <w:r>
        <w:t xml:space="preserve">. Structural models that collapse body-mass distributions onto a one-dimensional continuous niche axis inherently fail to capture these crucial transient dynamics.</w:t>
      </w:r>
    </w:p>
    <w:bookmarkEnd w:id="44"/>
    <w:bookmarkStart w:id="45" w:name="scale-dependent-behaviour"/>
    <w:p>
      <w:pPr>
        <w:pStyle w:val="Heading2"/>
      </w:pPr>
      <w:r>
        <w:t xml:space="preserve">4.3 Scale-Dependent Behaviour</w:t>
      </w:r>
    </w:p>
    <w:p>
      <w:pPr>
        <w:pStyle w:val="FirstParagraph"/>
      </w:pPr>
      <w:r>
        <w:t xml:space="preserve">Our analyses highlight a fundamental scale-dependent decoupling in ecological network robustness. At a coarse, macroscopic scale, ecological dynamics act as an equalizer - initial differences among reconstruction models compress into a shared topological space, significantly reducing each network’s Euclidean distance to a common realised centroid</w:t>
      </w:r>
      <w:r>
        <w:t xml:space="preserve"> </w:t>
      </w:r>
      <w:hyperlink w:anchor="fig-PTA">
        <w:r>
          <w:rPr>
            <w:rStyle w:val="Hyperlink"/>
          </w:rPr>
          <w:t xml:space="preserve">Figure 1</w:t>
        </w:r>
      </w:hyperlink>
      <w:r>
        <w:t xml:space="preserve">. However, at a fine-grained scale, individual dynamic stability properties remain deeply contingent on the underlying generative model</w:t>
      </w:r>
      <w:r>
        <w:t xml:space="preserve"> </w:t>
      </w:r>
      <w:hyperlink w:anchor="fig-emmeans">
        <w:r>
          <w:rPr>
            <w:rStyle w:val="Hyperlink"/>
          </w:rPr>
          <w:t xml:space="preserve">Figure 5</w:t>
        </w:r>
      </w:hyperlink>
      <w:r>
        <w:t xml:space="preserve">. Similar scale-dependent dynamics have been observed in experimental and theoretical communities, where high-level functional properties converge under strong selective filters while fine-scale interactions retain significant historical contingency</w:t>
      </w:r>
      <w:r>
        <w:t xml:space="preserve"> </w:t>
      </w:r>
      <w:r>
        <w:t xml:space="preserve">(Ratzke et al., 2020)</w:t>
      </w:r>
      <w:r>
        <w:t xml:space="preserve">.</w:t>
      </w:r>
    </w:p>
    <w:p>
      <w:pPr>
        <w:pStyle w:val="BodyText"/>
      </w:pPr>
      <w:r>
        <w:t xml:space="preserve">This scale dependence is further evidenced by the distinct drivers of network-level versus local stability metrics. Network-level stability metrics (Shannon diversity of biomasses, interaction strength skewness, species persistence, and the Gini coefficient of consumption fluxes) were overwhelmingly explained by equilibrium species richness rather than the initial generative model</w:t>
      </w:r>
      <w:r>
        <w:t xml:space="preserve"> </w:t>
      </w:r>
      <w:hyperlink w:anchor="fig-rel_contribution">
        <w:r>
          <w:rPr>
            <w:rStyle w:val="Hyperlink"/>
          </w:rPr>
          <w:t xml:space="preserve">Figure 4</w:t>
        </w:r>
      </w:hyperlink>
      <w:r>
        <w:t xml:space="preserve">. This agrees with macro-ecological theory establishing that portfolio effects, biomass partitioning, and flux distributions are predominantly driven by total diversity and pool size rather than fine-scale network architecture</w:t>
      </w:r>
      <w:r>
        <w:t xml:space="preserve"> </w:t>
      </w:r>
      <w:r>
        <w:t xml:space="preserve">(Loreau &amp; Mazancourt, 2013; Yodzis, 1981)</w:t>
      </w:r>
      <w:r>
        <w:t xml:space="preserve">.</w:t>
      </w:r>
    </w:p>
    <w:p>
      <w:pPr>
        <w:pStyle w:val="BodyText"/>
      </w:pPr>
      <w:r>
        <w:t xml:space="preserve">In sharp contrast, local dynamic stability was governed by the generative framework itself. Model identity explained almost all variation in system reactivity and exerted a larger effect size on asymptotic resilience than equilibrium species richness. Transient dynamics and local perturbation responses are highly sensitive to specific consumer attack rates, handling times, and metabolic scaling parameters—properties defined strictly by the generative trait rules rather than species counts</w:t>
      </w:r>
    </w:p>
    <w:bookmarkEnd w:id="45"/>
    <w:bookmarkStart w:id="46" w:name="implications-for-theory"/>
    <w:p>
      <w:pPr>
        <w:pStyle w:val="Heading2"/>
      </w:pPr>
      <w:r>
        <w:t xml:space="preserve">4.4 Implications for Theory</w:t>
      </w:r>
    </w:p>
    <w:p>
      <w:pPr>
        <w:pStyle w:val="FirstParagraph"/>
      </w:pPr>
      <w:r>
        <w:t xml:space="preserve">Theoretical ecology’s two-decade reliance on the Niche model as the default null baseline for community robustness and stability analyses requires careful re-examination</w:t>
      </w:r>
      <w:r>
        <w:t xml:space="preserve"> </w:t>
      </w:r>
      <w:r>
        <w:t xml:space="preserve">(Banville et al., 2023)</w:t>
      </w:r>
      <w:r>
        <w:t xml:space="preserve">. Phenomenological structural rules cannot serve as neutral baselines for dynamic questions because they omit the bioenergetic constraints that govern real-world ecosystem stability</w:t>
      </w:r>
      <w:r>
        <w:t xml:space="preserve"> </w:t>
      </w:r>
      <w:r>
        <w:t xml:space="preserve">(Strydom et al., 2021)</w:t>
      </w:r>
      <w:r>
        <w:t xml:space="preserve">.</w:t>
      </w:r>
    </w:p>
    <w:p>
      <w:pPr>
        <w:pStyle w:val="BodyText"/>
      </w:pPr>
      <w:r>
        <w:t xml:space="preserve">Rather than relying on a one-size-fits-all template, researchers must explicitly match their network reconstruction framework to their inferential goals</w:t>
      </w:r>
      <w:r>
        <w:t xml:space="preserve"> </w:t>
      </w:r>
      <w:r>
        <w:t xml:space="preserve">(Poisot et al., 2016)</w:t>
      </w:r>
      <w:r>
        <w:t xml:space="preserve">:</w:t>
      </w:r>
    </w:p>
    <w:p>
      <w:pPr>
        <w:numPr>
          <w:ilvl w:val="0"/>
          <w:numId w:val="1001"/>
        </w:numPr>
      </w:pPr>
      <w:r>
        <w:t xml:space="preserve">Macroscopic properties: When evaluating macro-scale patterns such as overall biomass diversity, species persistence, or broad topological convergence, traditional structural models or constrained MaxEnt frameworks may provide adequate, computationally efficient approximations.</w:t>
      </w:r>
    </w:p>
    <w:p>
      <w:pPr>
        <w:numPr>
          <w:ilvl w:val="0"/>
          <w:numId w:val="1001"/>
        </w:numPr>
      </w:pPr>
      <w:r>
        <w:t xml:space="preserve">Transient dynamics and stability: When probing local asymptotic resilience, transient reactivity, primary extinction cascades, or responses to environmental perturbations, mechanistic, trait-driven models (such as ADBM or ATN) are essential.</w:t>
      </w:r>
    </w:p>
    <w:p>
      <w:pPr>
        <w:pStyle w:val="FirstParagraph"/>
      </w:pPr>
      <w:r>
        <w:t xml:space="preserve">Ultimately, because initial structural assumptions fundamentally condition short-term transient responses and local stability, historical conclusions regarding food web robustness derived exclusively from Niche or Cascade templates must be re-evaluated through a bioenergetic lens.</w:t>
      </w:r>
    </w:p>
    <w:bookmarkEnd w:id="46"/>
    <w:bookmarkEnd w:id="47"/>
    <w:bookmarkStart w:id="100" w:name="references"/>
    <w:p>
      <w:pPr>
        <w:pStyle w:val="Heading1"/>
      </w:pPr>
      <w:r>
        <w:t xml:space="preserve">References</w:t>
      </w:r>
    </w:p>
    <w:bookmarkStart w:id="99" w:name="refs"/>
    <w:bookmarkStart w:id="49"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8">
        <w:r>
          <w:rPr>
            <w:rStyle w:val="Hyperlink"/>
          </w:rPr>
          <w:t xml:space="preserve">https://doi.org/10.1038/nature10832</w:t>
        </w:r>
      </w:hyperlink>
    </w:p>
    <w:bookmarkEnd w:id="49"/>
    <w:bookmarkStart w:id="51"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50">
        <w:r>
          <w:rPr>
            <w:rStyle w:val="Hyperlink"/>
          </w:rPr>
          <w:t xml:space="preserve">https://doi.org/10.1371/journal.pcbi.1011458</w:t>
        </w:r>
      </w:hyperlink>
    </w:p>
    <w:bookmarkEnd w:id="51"/>
    <w:bookmarkStart w:id="53" w:name="ref-borrelli2015"/>
    <w:p>
      <w:pPr>
        <w:pStyle w:val="Bibliography"/>
      </w:pPr>
      <w:r>
        <w:t xml:space="preserve">Borrelli, J. J. (2015). Selection against instability: Stable subgraphs are most frequent in empirical food webs.</w:t>
      </w:r>
      <w:r>
        <w:t xml:space="preserve"> </w:t>
      </w:r>
      <w:r>
        <w:rPr>
          <w:i/>
          <w:iCs/>
        </w:rPr>
        <w:t xml:space="preserve">Oikos</w:t>
      </w:r>
      <w:r>
        <w:t xml:space="preserve">,</w:t>
      </w:r>
      <w:r>
        <w:t xml:space="preserve"> </w:t>
      </w:r>
      <w:r>
        <w:rPr>
          <w:i/>
          <w:iCs/>
        </w:rPr>
        <w:t xml:space="preserve">124</w:t>
      </w:r>
      <w:r>
        <w:t xml:space="preserve">(12), 1583–1588.</w:t>
      </w:r>
      <w:r>
        <w:t xml:space="preserve"> </w:t>
      </w:r>
      <w:hyperlink r:id="rId52">
        <w:r>
          <w:rPr>
            <w:rStyle w:val="Hyperlink"/>
          </w:rPr>
          <w:t xml:space="preserve">https://doi.org/10.1111/oik.02176</w:t>
        </w:r>
      </w:hyperlink>
    </w:p>
    <w:bookmarkEnd w:id="53"/>
    <w:bookmarkStart w:id="55"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4">
        <w:r>
          <w:rPr>
            <w:rStyle w:val="Hyperlink"/>
          </w:rPr>
          <w:t xml:space="preserve">https://doi.org/10.1890/0012-9658(2006)87[2411:CBRINF]2.0.CO;2</w:t>
        </w:r>
      </w:hyperlink>
    </w:p>
    <w:bookmarkEnd w:id="55"/>
    <w:bookmarkStart w:id="57" w:name="ref-cohen1990"/>
    <w:p>
      <w:pPr>
        <w:pStyle w:val="Bibliography"/>
      </w:pPr>
      <w:r>
        <w:t xml:space="preserve">Cohen, J. E., Briand, F., &amp; Newman, C. (1990).</w:t>
      </w:r>
      <w:r>
        <w:t xml:space="preserve"> </w:t>
      </w:r>
      <w:r>
        <w:rPr>
          <w:i/>
          <w:iCs/>
        </w:rPr>
        <w:t xml:space="preserve">Community food webs: Data and theory</w:t>
      </w:r>
      <w:r>
        <w:t xml:space="preserve">. Springer-Verlag.</w:t>
      </w:r>
      <w:r>
        <w:t xml:space="preserve"> </w:t>
      </w:r>
      <w:hyperlink r:id="rId56">
        <w:r>
          <w:rPr>
            <w:rStyle w:val="Hyperlink"/>
          </w:rPr>
          <w:t xml:space="preserve">https://www.springer.com/gp/book/9783642837869</w:t>
        </w:r>
      </w:hyperlink>
    </w:p>
    <w:bookmarkEnd w:id="57"/>
    <w:bookmarkStart w:id="59"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58">
        <w:r>
          <w:rPr>
            <w:rStyle w:val="Hyperlink"/>
          </w:rPr>
          <w:t xml:space="preserve">https://doi.org/10.1016/j.baae.2011.09.008</w:t>
        </w:r>
      </w:hyperlink>
    </w:p>
    <w:bookmarkEnd w:id="59"/>
    <w:bookmarkStart w:id="61" w:name="ref-delma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60">
        <w:r>
          <w:rPr>
            <w:rStyle w:val="Hyperlink"/>
          </w:rPr>
          <w:t xml:space="preserve">https://doi.org/10.1111/2041-210X.12713</w:t>
        </w:r>
      </w:hyperlink>
    </w:p>
    <w:bookmarkEnd w:id="61"/>
    <w:bookmarkStart w:id="63" w:name="ref-delmas2020"/>
    <w:p>
      <w:pPr>
        <w:pStyle w:val="Bibliography"/>
      </w:pPr>
      <w:r>
        <w:t xml:space="preserve">Delmas, E., Stouffer, D. B., &amp; Poisot, T. (n.d.).</w:t>
      </w:r>
      <w:r>
        <w:t xml:space="preserve"> </w:t>
      </w:r>
      <w:r>
        <w:rPr>
          <w:i/>
          <w:iCs/>
        </w:rPr>
        <w:t xml:space="preserve">Food web structure alters ecological communities top-heaviness with little effect on the biodiversity-functioning relationship</w:t>
      </w:r>
      <w:r>
        <w:t xml:space="preserve">.</w:t>
      </w:r>
      <w:r>
        <w:t xml:space="preserve"> </w:t>
      </w:r>
      <w:hyperlink r:id="rId62">
        <w:r>
          <w:rPr>
            <w:rStyle w:val="Hyperlink"/>
          </w:rPr>
          <w:t xml:space="preserve">https://doi.org/10.1101/2020.06.10.144949</w:t>
        </w:r>
      </w:hyperlink>
    </w:p>
    <w:bookmarkEnd w:id="63"/>
    <w:bookmarkStart w:id="64" w:name="ref-dunne2002"/>
    <w:p>
      <w:pPr>
        <w:pStyle w:val="Bibliography"/>
      </w:pPr>
      <w:r>
        <w:t xml:space="preserve">Dunne, J.,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64"/>
    <w:bookmarkStart w:id="66" w:name="ref-lajaaiti2025"/>
    <w:p>
      <w:pPr>
        <w:pStyle w:val="Bibliography"/>
      </w:pPr>
      <w:r>
        <w:t xml:space="preserve">Lajaaiti, I., Bonnici, I., Kéfi, S., Mayall, H., Danet, A., Beckerman, A. P., Malpas, T., &amp; Delmas, E. (2025). EcologicalNetworksDynamics.jl: A julia 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65">
        <w:r>
          <w:rPr>
            <w:rStyle w:val="Hyperlink"/>
          </w:rPr>
          <w:t xml:space="preserve">https://doi.org/10.1111/2041-210X.14497</w:t>
        </w:r>
      </w:hyperlink>
    </w:p>
    <w:bookmarkEnd w:id="66"/>
    <w:bookmarkStart w:id="68" w:name="ref-loreau2013"/>
    <w:p>
      <w:pPr>
        <w:pStyle w:val="Bibliography"/>
      </w:pPr>
      <w:r>
        <w:t xml:space="preserve">Loreau, M., &amp; Mazancourt, C. de. (2013). Biodiversity and ecosystem stability: A synthesis of underlying mechanisms.</w:t>
      </w:r>
      <w:r>
        <w:t xml:space="preserve"> </w:t>
      </w:r>
      <w:r>
        <w:rPr>
          <w:i/>
          <w:iCs/>
        </w:rPr>
        <w:t xml:space="preserve">Ecology Letters</w:t>
      </w:r>
      <w:r>
        <w:t xml:space="preserve">,</w:t>
      </w:r>
      <w:r>
        <w:t xml:space="preserve"> </w:t>
      </w:r>
      <w:r>
        <w:rPr>
          <w:i/>
          <w:iCs/>
        </w:rPr>
        <w:t xml:space="preserve">16</w:t>
      </w:r>
      <w:r>
        <w:t xml:space="preserve">(s1), 106–115.</w:t>
      </w:r>
      <w:r>
        <w:t xml:space="preserve"> </w:t>
      </w:r>
      <w:hyperlink r:id="rId67">
        <w:r>
          <w:rPr>
            <w:rStyle w:val="Hyperlink"/>
          </w:rPr>
          <w:t xml:space="preserve">https://doi.org/10.1111/ele.12073</w:t>
        </w:r>
      </w:hyperlink>
    </w:p>
    <w:bookmarkEnd w:id="68"/>
    <w:bookmarkStart w:id="70" w:name="ref-may1974"/>
    <w:p>
      <w:pPr>
        <w:pStyle w:val="Bibliography"/>
      </w:pPr>
      <w:r>
        <w:t xml:space="preserve">May, R. M. (1974).</w:t>
      </w:r>
      <w:r>
        <w:t xml:space="preserve"> </w:t>
      </w:r>
      <w:r>
        <w:rPr>
          <w:i/>
          <w:iCs/>
        </w:rPr>
        <w:t xml:space="preserve">Stability and complexity in model ecosystems</w:t>
      </w:r>
      <w:r>
        <w:t xml:space="preserve"> </w:t>
      </w:r>
      <w:r>
        <w:t xml:space="preserve">(Vol. 1). Princeton University Press.</w:t>
      </w:r>
      <w:r>
        <w:t xml:space="preserve"> </w:t>
      </w:r>
      <w:hyperlink r:id="rId69">
        <w:r>
          <w:rPr>
            <w:rStyle w:val="Hyperlink"/>
          </w:rPr>
          <w:t xml:space="preserve">https://doi.org/10.2307/j.ctvs32rq4</w:t>
        </w:r>
      </w:hyperlink>
    </w:p>
    <w:bookmarkEnd w:id="70"/>
    <w:bookmarkStart w:id="72" w:name="ref-neubert1997"/>
    <w:p>
      <w:pPr>
        <w:pStyle w:val="Bibliography"/>
      </w:pPr>
      <w:r>
        <w:t xml:space="preserve">Neubert, M. G., &amp; Caswell, H. (1997). Alternatives to resilience for measuring the responses of ecological systems to perturbations.</w:t>
      </w:r>
      <w:r>
        <w:t xml:space="preserve"> </w:t>
      </w:r>
      <w:r>
        <w:rPr>
          <w:i/>
          <w:iCs/>
        </w:rPr>
        <w:t xml:space="preserve">Ecology</w:t>
      </w:r>
      <w:r>
        <w:t xml:space="preserve">,</w:t>
      </w:r>
      <w:r>
        <w:t xml:space="preserve"> </w:t>
      </w:r>
      <w:r>
        <w:rPr>
          <w:i/>
          <w:iCs/>
        </w:rPr>
        <w:t xml:space="preserve">78</w:t>
      </w:r>
      <w:r>
        <w:t xml:space="preserve">(3), 653–665.</w:t>
      </w:r>
      <w:r>
        <w:t xml:space="preserve"> </w:t>
      </w:r>
      <w:hyperlink r:id="rId71">
        <w:r>
          <w:rPr>
            <w:rStyle w:val="Hyperlink"/>
          </w:rPr>
          <w:t xml:space="preserve">https://doi.org/10.1890/0012-9658(1997)078[0653:ATRFMT]2.0.CO;2</w:t>
        </w:r>
      </w:hyperlink>
    </w:p>
    <w:bookmarkEnd w:id="72"/>
    <w:bookmarkStart w:id="74"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73">
        <w:r>
          <w:rPr>
            <w:rStyle w:val="Hyperlink"/>
          </w:rPr>
          <w:t xml:space="preserve">https://doi.org/10.1073/pnas.0710672105</w:t>
        </w:r>
      </w:hyperlink>
    </w:p>
    <w:bookmarkEnd w:id="74"/>
    <w:bookmarkStart w:id="76" w:name="ref-poisot2016"/>
    <w:p>
      <w:pPr>
        <w:pStyle w:val="Bibliography"/>
      </w:pPr>
      <w:r>
        <w:t xml:space="preserve">Poisot, T., Stouffer, D. B., &amp; Kéfi, S. (2016). Describe, understand and predict: Why do we need networks in ecology?</w:t>
      </w:r>
      <w:r>
        <w:t xml:space="preserve"> </w:t>
      </w:r>
      <w:r>
        <w:rPr>
          <w:i/>
          <w:iCs/>
        </w:rPr>
        <w:t xml:space="preserve">Functional Ecology</w:t>
      </w:r>
      <w:r>
        <w:t xml:space="preserve">,</w:t>
      </w:r>
      <w:r>
        <w:t xml:space="preserve"> </w:t>
      </w:r>
      <w:r>
        <w:rPr>
          <w:i/>
          <w:iCs/>
        </w:rPr>
        <w:t xml:space="preserve">30</w:t>
      </w:r>
      <w:r>
        <w:t xml:space="preserve">(12), 1878–1882.</w:t>
      </w:r>
      <w:r>
        <w:t xml:space="preserve"> </w:t>
      </w:r>
      <w:hyperlink r:id="rId75">
        <w:r>
          <w:rPr>
            <w:rStyle w:val="Hyperlink"/>
          </w:rPr>
          <w:t xml:space="preserve">https://doi.org/10.1111/1365-2435.12799</w:t>
        </w:r>
      </w:hyperlink>
    </w:p>
    <w:bookmarkEnd w:id="76"/>
    <w:bookmarkStart w:id="78" w:name="ref-ratzke2020"/>
    <w:p>
      <w:pPr>
        <w:pStyle w:val="Bibliography"/>
      </w:pPr>
      <w:r>
        <w:t xml:space="preserve">Ratzke, C., Barrere, J., &amp; Gore, J. (2020). Strength of species interactions determines biodiversity and stability in microbial communities.</w:t>
      </w:r>
      <w:r>
        <w:t xml:space="preserve"> </w:t>
      </w:r>
      <w:r>
        <w:rPr>
          <w:i/>
          <w:iCs/>
        </w:rPr>
        <w:t xml:space="preserve">Nature Ecology &amp; Evolution</w:t>
      </w:r>
      <w:r>
        <w:t xml:space="preserve">,</w:t>
      </w:r>
      <w:r>
        <w:t xml:space="preserve"> </w:t>
      </w:r>
      <w:r>
        <w:rPr>
          <w:i/>
          <w:iCs/>
        </w:rPr>
        <w:t xml:space="preserve">4</w:t>
      </w:r>
      <w:r>
        <w:t xml:space="preserve">(3), 376–383.</w:t>
      </w:r>
      <w:r>
        <w:t xml:space="preserve"> </w:t>
      </w:r>
      <w:hyperlink r:id="rId77">
        <w:r>
          <w:rPr>
            <w:rStyle w:val="Hyperlink"/>
          </w:rPr>
          <w:t xml:space="preserve">https://doi.org/10.1038/s41559-020-1099-4</w:t>
        </w:r>
      </w:hyperlink>
    </w:p>
    <w:bookmarkEnd w:id="78"/>
    <w:bookmarkStart w:id="80"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79">
        <w:r>
          <w:rPr>
            <w:rStyle w:val="Hyperlink"/>
          </w:rPr>
          <w:t xml:space="preserve">https://doi.org/10.1086/653667</w:t>
        </w:r>
      </w:hyperlink>
    </w:p>
    <w:bookmarkEnd w:id="80"/>
    <w:bookmarkStart w:id="82" w:name="ref-deruiter1995"/>
    <w:p>
      <w:pPr>
        <w:pStyle w:val="Bibliography"/>
      </w:pPr>
      <w:r>
        <w:t xml:space="preserve">Ruiter, P. C. de, Neutel, A.-M., &amp; Moore, J. C. (1995). Energetics, patterns of interaction strengths, and stability in real ecosystems.</w:t>
      </w:r>
      <w:r>
        <w:t xml:space="preserve"> </w:t>
      </w:r>
      <w:r>
        <w:rPr>
          <w:i/>
          <w:iCs/>
        </w:rPr>
        <w:t xml:space="preserve">Science</w:t>
      </w:r>
      <w:r>
        <w:t xml:space="preserve">,</w:t>
      </w:r>
      <w:r>
        <w:t xml:space="preserve"> </w:t>
      </w:r>
      <w:r>
        <w:rPr>
          <w:i/>
          <w:iCs/>
        </w:rPr>
        <w:t xml:space="preserve">269</w:t>
      </w:r>
      <w:r>
        <w:t xml:space="preserve">(5228), 1257–1260.</w:t>
      </w:r>
      <w:r>
        <w:t xml:space="preserve"> </w:t>
      </w:r>
      <w:hyperlink r:id="rId81">
        <w:r>
          <w:rPr>
            <w:rStyle w:val="Hyperlink"/>
          </w:rPr>
          <w:t xml:space="preserve">https://doi.org/10.1126/science.269.5228.1257</w:t>
        </w:r>
      </w:hyperlink>
    </w:p>
    <w:bookmarkEnd w:id="82"/>
    <w:bookmarkStart w:id="84" w:name="ref-schneider2016"/>
    <w:p>
      <w:pPr>
        <w:pStyle w:val="Bibliography"/>
      </w:pPr>
      <w:r>
        <w:t xml:space="preserve">Schneider, F. D., Brose, U., Rall, B. C., &amp; Guill, C. (2016). Animal diversity and ecosystem functioning in dynamic food webs.</w:t>
      </w:r>
      <w:r>
        <w:t xml:space="preserve"> </w:t>
      </w:r>
      <w:r>
        <w:rPr>
          <w:i/>
          <w:iCs/>
        </w:rPr>
        <w:t xml:space="preserve">Nature Communications</w:t>
      </w:r>
      <w:r>
        <w:t xml:space="preserve">,</w:t>
      </w:r>
      <w:r>
        <w:t xml:space="preserve"> </w:t>
      </w:r>
      <w:r>
        <w:rPr>
          <w:i/>
          <w:iCs/>
        </w:rPr>
        <w:t xml:space="preserve">7</w:t>
      </w:r>
      <w:r>
        <w:t xml:space="preserve">(1), 12718.</w:t>
      </w:r>
      <w:r>
        <w:t xml:space="preserve"> </w:t>
      </w:r>
      <w:hyperlink r:id="rId83">
        <w:r>
          <w:rPr>
            <w:rStyle w:val="Hyperlink"/>
          </w:rPr>
          <w:t xml:space="preserve">https://doi.org/10.1038/ncomms12718</w:t>
        </w:r>
      </w:hyperlink>
    </w:p>
    <w:bookmarkEnd w:id="84"/>
    <w:bookmarkStart w:id="86" w:name="ref-stouffer2010"/>
    <w:p>
      <w:pPr>
        <w:pStyle w:val="Bibliography"/>
      </w:pPr>
      <w:r>
        <w:t xml:space="preserve">Stouffer, D. B., &amp; Bascompte, J. (2010). Understanding food-web persistence from local to global scales.</w:t>
      </w:r>
      <w:r>
        <w:t xml:space="preserve"> </w:t>
      </w:r>
      <w:r>
        <w:rPr>
          <w:i/>
          <w:iCs/>
        </w:rPr>
        <w:t xml:space="preserve">Ecology Letters</w:t>
      </w:r>
      <w:r>
        <w:t xml:space="preserve">,</w:t>
      </w:r>
      <w:r>
        <w:t xml:space="preserve"> </w:t>
      </w:r>
      <w:r>
        <w:rPr>
          <w:i/>
          <w:iCs/>
        </w:rPr>
        <w:t xml:space="preserve">13</w:t>
      </w:r>
      <w:r>
        <w:t xml:space="preserve">(2), 154–161.</w:t>
      </w:r>
      <w:r>
        <w:t xml:space="preserve"> </w:t>
      </w:r>
      <w:hyperlink r:id="rId85">
        <w:r>
          <w:rPr>
            <w:rStyle w:val="Hyperlink"/>
          </w:rPr>
          <w:t xml:space="preserve">https://doi.org/10.1111/j.1461-0248.2009.01407.x</w:t>
        </w:r>
      </w:hyperlink>
    </w:p>
    <w:bookmarkEnd w:id="86"/>
    <w:bookmarkStart w:id="88"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w:t>
      </w:r>
      <w:r>
        <w:t xml:space="preserve">,</w:t>
      </w:r>
      <w:r>
        <w:t xml:space="preserve"> </w:t>
      </w:r>
      <w:r>
        <w:rPr>
          <w:i/>
          <w:iCs/>
        </w:rPr>
        <w:t xml:space="preserve">376</w:t>
      </w:r>
      <w:r>
        <w:t xml:space="preserve">(1837).</w:t>
      </w:r>
      <w:r>
        <w:t xml:space="preserve"> </w:t>
      </w:r>
      <w:hyperlink r:id="rId87">
        <w:r>
          <w:rPr>
            <w:rStyle w:val="Hyperlink"/>
          </w:rPr>
          <w:t xml:space="preserve">https://doi.org/10.1098/rstb.2021.0063</w:t>
        </w:r>
      </w:hyperlink>
    </w:p>
    <w:bookmarkEnd w:id="88"/>
    <w:bookmarkStart w:id="90" w:name="ref-strydom2026"/>
    <w:p>
      <w:pPr>
        <w:pStyle w:val="Bibliography"/>
      </w:pPr>
      <w:r>
        <w:t xml:space="preserve">Strydom, T., Dunhill, A. M., Dunne, J. A., Poisot, T., &amp; Beckerman, A. P. (2026). From metawebs to realised webs: A framework for ecological network representation under global change.</w:t>
      </w:r>
      <w:r>
        <w:t xml:space="preserve"> </w:t>
      </w:r>
      <w:r>
        <w:rPr>
          <w:i/>
          <w:iCs/>
        </w:rPr>
        <w:t xml:space="preserve">EcoEvoRxiv</w:t>
      </w:r>
      <w:r>
        <w:t xml:space="preserve">.</w:t>
      </w:r>
      <w:r>
        <w:t xml:space="preserve"> </w:t>
      </w:r>
      <w:hyperlink r:id="rId89">
        <w:r>
          <w:rPr>
            <w:rStyle w:val="Hyperlink"/>
          </w:rPr>
          <w:t xml:space="preserve">https://doi.org/10.32942/X2JW8K</w:t>
        </w:r>
      </w:hyperlink>
    </w:p>
    <w:bookmarkEnd w:id="90"/>
    <w:bookmarkStart w:id="92" w:name="ref-strydom2026b"/>
    <w:p>
      <w:pPr>
        <w:pStyle w:val="Bibliography"/>
      </w:pPr>
      <w:r>
        <w:t xml:space="preserve">Strydom, T., Karapunar, B., Dunne, J. A., Hull, P., Little, C. T. S., Pimiento, C., Ridgwell, A., Beckerman, A. P., &amp; Dunhill, A. M. (2026).</w:t>
      </w:r>
      <w:r>
        <w:t xml:space="preserve"> </w:t>
      </w:r>
      <w:r>
        <w:rPr>
          <w:i/>
          <w:iCs/>
        </w:rPr>
        <w:t xml:space="preserve">Are we mapping ecosystems or models? Framework choices dominate food web topology and extinction inferences</w:t>
      </w:r>
      <w:r>
        <w:t xml:space="preserve">.</w:t>
      </w:r>
      <w:r>
        <w:t xml:space="preserve"> </w:t>
      </w:r>
      <w:hyperlink r:id="rId91">
        <w:r>
          <w:rPr>
            <w:rStyle w:val="Hyperlink"/>
          </w:rPr>
          <w:t xml:space="preserve">https://ecoevorxiv.org/repository/view/13495/</w:t>
        </w:r>
      </w:hyperlink>
    </w:p>
    <w:bookmarkEnd w:id="92"/>
    <w:bookmarkStart w:id="94" w:name="ref-tang2014"/>
    <w:p>
      <w:pPr>
        <w:pStyle w:val="Bibliography"/>
      </w:pPr>
      <w:r>
        <w:t xml:space="preserve">Tang, S., Pawar, S., &amp; Allesina, S. (2014). Correlation between interaction strengths drives stability in large ecological networks.</w:t>
      </w:r>
      <w:r>
        <w:t xml:space="preserve"> </w:t>
      </w:r>
      <w:r>
        <w:rPr>
          <w:i/>
          <w:iCs/>
        </w:rPr>
        <w:t xml:space="preserve">Ecology Letters</w:t>
      </w:r>
      <w:r>
        <w:t xml:space="preserve">,</w:t>
      </w:r>
      <w:r>
        <w:t xml:space="preserve"> </w:t>
      </w:r>
      <w:r>
        <w:rPr>
          <w:i/>
          <w:iCs/>
        </w:rPr>
        <w:t xml:space="preserve">17</w:t>
      </w:r>
      <w:r>
        <w:t xml:space="preserve">(9), 1094–1100. https://doi.org/</w:t>
      </w:r>
      <w:hyperlink r:id="rId93">
        <w:r>
          <w:rPr>
            <w:rStyle w:val="Hyperlink"/>
          </w:rPr>
          <w:t xml:space="preserve">https://doi.org/10.1111/ele.12312</w:t>
        </w:r>
      </w:hyperlink>
    </w:p>
    <w:bookmarkEnd w:id="94"/>
    <w:bookmarkStart w:id="96"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95">
        <w:r>
          <w:rPr>
            <w:rStyle w:val="Hyperlink"/>
          </w:rPr>
          <w:t xml:space="preserve">https://doi.org/10.1038/35004572</w:t>
        </w:r>
      </w:hyperlink>
    </w:p>
    <w:bookmarkEnd w:id="96"/>
    <w:bookmarkStart w:id="98" w:name="ref-yodzis1981"/>
    <w:p>
      <w:pPr>
        <w:pStyle w:val="Bibliography"/>
      </w:pPr>
      <w:r>
        <w:t xml:space="preserve">Yodzis, P. (1981). The stability of real ecosystems.</w:t>
      </w:r>
      <w:r>
        <w:t xml:space="preserve"> </w:t>
      </w:r>
      <w:r>
        <w:rPr>
          <w:i/>
          <w:iCs/>
        </w:rPr>
        <w:t xml:space="preserve">Nature</w:t>
      </w:r>
      <w:r>
        <w:t xml:space="preserve">,</w:t>
      </w:r>
      <w:r>
        <w:t xml:space="preserve"> </w:t>
      </w:r>
      <w:r>
        <w:rPr>
          <w:i/>
          <w:iCs/>
        </w:rPr>
        <w:t xml:space="preserve">289</w:t>
      </w:r>
      <w:r>
        <w:t xml:space="preserve">(5799), 674–676.</w:t>
      </w:r>
      <w:r>
        <w:t xml:space="preserve"> </w:t>
      </w:r>
      <w:hyperlink r:id="rId97">
        <w:r>
          <w:rPr>
            <w:rStyle w:val="Hyperlink"/>
          </w:rPr>
          <w:t xml:space="preserve">https://doi.org/10.1038/289674a0</w:t>
        </w:r>
      </w:hyperlink>
    </w:p>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hyperlink" Id="rId58" Target="https://doi.org/10.1016/j.baae.2011.09.008" TargetMode="External" /><Relationship Type="http://schemas.openxmlformats.org/officeDocument/2006/relationships/hyperlink" Id="rId97" Target="https://doi.org/10.1038/289674a0" TargetMode="External" /><Relationship Type="http://schemas.openxmlformats.org/officeDocument/2006/relationships/hyperlink" Id="rId95"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83" Target="https://doi.org/10.1038/ncomms12718" TargetMode="External" /><Relationship Type="http://schemas.openxmlformats.org/officeDocument/2006/relationships/hyperlink" Id="rId77" Target="https://doi.org/10.1038/s41559-020-1099-4" TargetMode="External" /><Relationship Type="http://schemas.openxmlformats.org/officeDocument/2006/relationships/hyperlink" Id="rId73" Target="https://doi.org/10.1073/pnas.0710672105" TargetMode="External" /><Relationship Type="http://schemas.openxmlformats.org/officeDocument/2006/relationships/hyperlink" Id="rId79" Target="https://doi.org/10.1086/653667" TargetMode="External" /><Relationship Type="http://schemas.openxmlformats.org/officeDocument/2006/relationships/hyperlink" Id="rId87" Target="https://doi.org/10.1098/rstb.2021.0063" TargetMode="External" /><Relationship Type="http://schemas.openxmlformats.org/officeDocument/2006/relationships/hyperlink" Id="rId62" Target="https://doi.org/10.1101/2020.06.10.144949" TargetMode="External" /><Relationship Type="http://schemas.openxmlformats.org/officeDocument/2006/relationships/hyperlink" Id="rId75" Target="https://doi.org/10.1111/1365-2435.12799" TargetMode="External" /><Relationship Type="http://schemas.openxmlformats.org/officeDocument/2006/relationships/hyperlink" Id="rId60" Target="https://doi.org/10.1111/2041-210X.12713" TargetMode="External" /><Relationship Type="http://schemas.openxmlformats.org/officeDocument/2006/relationships/hyperlink" Id="rId65" Target="https://doi.org/10.1111/2041-210X.14497" TargetMode="External" /><Relationship Type="http://schemas.openxmlformats.org/officeDocument/2006/relationships/hyperlink" Id="rId67" Target="https://doi.org/10.1111/ele.12073" TargetMode="External" /><Relationship Type="http://schemas.openxmlformats.org/officeDocument/2006/relationships/hyperlink" Id="rId93" Target="https://doi.org/10.1111/ele.12312" TargetMode="External" /><Relationship Type="http://schemas.openxmlformats.org/officeDocument/2006/relationships/hyperlink" Id="rId85" Target="https://doi.org/10.1111/j.1461-0248.2009.01407.x" TargetMode="External" /><Relationship Type="http://schemas.openxmlformats.org/officeDocument/2006/relationships/hyperlink" Id="rId52" Target="https://doi.org/10.1111/oik.02176" TargetMode="External" /><Relationship Type="http://schemas.openxmlformats.org/officeDocument/2006/relationships/hyperlink" Id="rId81" Target="https://doi.org/10.1126/science.269.5228.1257" TargetMode="External" /><Relationship Type="http://schemas.openxmlformats.org/officeDocument/2006/relationships/hyperlink" Id="rId50" Target="https://doi.org/10.1371/journal.pcbi.1011458" TargetMode="External" /><Relationship Type="http://schemas.openxmlformats.org/officeDocument/2006/relationships/hyperlink" Id="rId71" Target="https://doi.org/10.1890/0012-9658(1997)078[0653:ATRFMT]2.0.CO;2" TargetMode="External" /><Relationship Type="http://schemas.openxmlformats.org/officeDocument/2006/relationships/hyperlink" Id="rId54" Target="https://doi.org/10.1890/0012-9658(2006)87[2411:CBRINF]2.0.CO;2" TargetMode="External" /><Relationship Type="http://schemas.openxmlformats.org/officeDocument/2006/relationships/hyperlink" Id="rId69" Target="https://doi.org/10.2307/j.ctvs32rq4" TargetMode="External" /><Relationship Type="http://schemas.openxmlformats.org/officeDocument/2006/relationships/hyperlink" Id="rId89" Target="https://doi.org/10.32942/X2JW8K" TargetMode="External" /><Relationship Type="http://schemas.openxmlformats.org/officeDocument/2006/relationships/hyperlink" Id="rId91" Target="https://ecoevorxiv.org/repository/view/13495/" TargetMode="External" /><Relationship Type="http://schemas.openxmlformats.org/officeDocument/2006/relationships/hyperlink" Id="rId56"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016/j.baae.2011.09.008" TargetMode="External" /><Relationship Type="http://schemas.openxmlformats.org/officeDocument/2006/relationships/hyperlink" Id="rId97" Target="https://doi.org/10.1038/289674a0" TargetMode="External" /><Relationship Type="http://schemas.openxmlformats.org/officeDocument/2006/relationships/hyperlink" Id="rId95"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83" Target="https://doi.org/10.1038/ncomms12718" TargetMode="External" /><Relationship Type="http://schemas.openxmlformats.org/officeDocument/2006/relationships/hyperlink" Id="rId77" Target="https://doi.org/10.1038/s41559-020-1099-4" TargetMode="External" /><Relationship Type="http://schemas.openxmlformats.org/officeDocument/2006/relationships/hyperlink" Id="rId73" Target="https://doi.org/10.1073/pnas.0710672105" TargetMode="External" /><Relationship Type="http://schemas.openxmlformats.org/officeDocument/2006/relationships/hyperlink" Id="rId79" Target="https://doi.org/10.1086/653667" TargetMode="External" /><Relationship Type="http://schemas.openxmlformats.org/officeDocument/2006/relationships/hyperlink" Id="rId87" Target="https://doi.org/10.1098/rstb.2021.0063" TargetMode="External" /><Relationship Type="http://schemas.openxmlformats.org/officeDocument/2006/relationships/hyperlink" Id="rId62" Target="https://doi.org/10.1101/2020.06.10.144949" TargetMode="External" /><Relationship Type="http://schemas.openxmlformats.org/officeDocument/2006/relationships/hyperlink" Id="rId75" Target="https://doi.org/10.1111/1365-2435.12799" TargetMode="External" /><Relationship Type="http://schemas.openxmlformats.org/officeDocument/2006/relationships/hyperlink" Id="rId60" Target="https://doi.org/10.1111/2041-210X.12713" TargetMode="External" /><Relationship Type="http://schemas.openxmlformats.org/officeDocument/2006/relationships/hyperlink" Id="rId65" Target="https://doi.org/10.1111/2041-210X.14497" TargetMode="External" /><Relationship Type="http://schemas.openxmlformats.org/officeDocument/2006/relationships/hyperlink" Id="rId67" Target="https://doi.org/10.1111/ele.12073" TargetMode="External" /><Relationship Type="http://schemas.openxmlformats.org/officeDocument/2006/relationships/hyperlink" Id="rId93" Target="https://doi.org/10.1111/ele.12312" TargetMode="External" /><Relationship Type="http://schemas.openxmlformats.org/officeDocument/2006/relationships/hyperlink" Id="rId85" Target="https://doi.org/10.1111/j.1461-0248.2009.01407.x" TargetMode="External" /><Relationship Type="http://schemas.openxmlformats.org/officeDocument/2006/relationships/hyperlink" Id="rId52" Target="https://doi.org/10.1111/oik.02176" TargetMode="External" /><Relationship Type="http://schemas.openxmlformats.org/officeDocument/2006/relationships/hyperlink" Id="rId81" Target="https://doi.org/10.1126/science.269.5228.1257" TargetMode="External" /><Relationship Type="http://schemas.openxmlformats.org/officeDocument/2006/relationships/hyperlink" Id="rId50" Target="https://doi.org/10.1371/journal.pcbi.1011458" TargetMode="External" /><Relationship Type="http://schemas.openxmlformats.org/officeDocument/2006/relationships/hyperlink" Id="rId71" Target="https://doi.org/10.1890/0012-9658(1997)078[0653:ATRFMT]2.0.CO;2" TargetMode="External" /><Relationship Type="http://schemas.openxmlformats.org/officeDocument/2006/relationships/hyperlink" Id="rId54" Target="https://doi.org/10.1890/0012-9658(2006)87[2411:CBRINF]2.0.CO;2" TargetMode="External" /><Relationship Type="http://schemas.openxmlformats.org/officeDocument/2006/relationships/hyperlink" Id="rId69" Target="https://doi.org/10.2307/j.ctvs32rq4" TargetMode="External" /><Relationship Type="http://schemas.openxmlformats.org/officeDocument/2006/relationships/hyperlink" Id="rId89" Target="https://doi.org/10.32942/X2JW8K" TargetMode="External" /><Relationship Type="http://schemas.openxmlformats.org/officeDocument/2006/relationships/hyperlink" Id="rId91" Target="https://ecoevorxiv.org/repository/view/13495/" TargetMode="External" /><Relationship Type="http://schemas.openxmlformats.org/officeDocument/2006/relationships/hyperlink" Id="rId56"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 everything a Niche model?</dc:title>
  <dc:creator>Tanya Strydom; Xiaoxiao Li; Laura Sophia Landon Blake; Andrew P. Beckerman; Dylan Z. Childs</dc:creator>
  <cp:keywords>food webs</cp:keywords>
  <dcterms:created xsi:type="dcterms:W3CDTF">2026-08-21T12:52:16Z</dcterms:created>
  <dcterms:modified xsi:type="dcterms:W3CDTF">2026-08-21T12:52:16Z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Food web ecology relies heavily on generative models to reconstruct trophic interactions, yet these models embody fundamentally different assumptions about how ecological networks are formed. Whether these alternative reconstruction frameworks provide interchangeable baselines for studying ecosystem dynamics remains largely unknown. Here, we compared seven food-web generative models spanning structural, statistical, and trait-based philosophies by embedding each within an identical bioenergetic simulation framework while controlling species pools and dynamical rules. Initial networks occupied distinct regions of multivariate topology space, demonstrating that reconstruction framework alone generates substantially different food-web architectures. Following bioenergetic simulations, however, realised networks converged towards a shared structural region through extinction-driven pruning of trophic interactions, indicating that ecological dynamics impose strong constraints on viable network topology. Despite this structural convergence, local stability properties remained strongly dependent on the original generative model. Reactivity and resilience differed consistently among reconstruction frameworks, whereas broader network-level stability metrics were explained primarily by realised species richness rather than model identity. These results demonstrate that generative models are not neutral representations of ecological communities but inferential priors that shape conclusions about ecosystem stability. While structural models may provide adequate approximations for broad topological or diversity patterns, mechanistic trait-based models are necessary for predicting transient dynamics and local stability. Our findings argue that food-web reconstruction should be matched explicitly to ecological inference rather than treated as a universal modelling baseline.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2026-08-21</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