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6.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 Food Web Reconstruction Frameworks Converge in Structure but Diverge in [something]</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2026-09-04</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has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 </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 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assumptions about network architecture that persist into predictions of ecosystem dynamics? Recent work has shown that applying different reconstruction frameworks to identical species pools produces markedly different food web topologies and inference about species extinctions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biomass equilibrium also converge, or do they retain a signature of the original generative model?</w:t>
      </w:r>
    </w:p>
    <w:bookmarkEnd w:id="9"/>
    <w:bookmarkStart w:id="17"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see</w:t>
      </w:r>
      <w:r>
        <w:t xml:space="preserve"> </w:t>
      </w:r>
      <w:hyperlink w:anchor="tbl-models">
        <w:r>
          <w:rPr>
            <w:rStyle w:val="Hyperlink"/>
          </w:rPr>
          <w:t xml:space="preserve">Table 1</w:t>
        </w:r>
      </w:hyperlink>
      <w:r>
        <w:t xml:space="preserve"> </w:t>
      </w:r>
      <w:r>
        <w:t xml:space="preserve">for more details. All simulations were implemented in Julia</w:t>
      </w:r>
      <w:r>
        <w:t xml:space="preserve"> </w:t>
      </w:r>
      <w:r>
        <w:t xml:space="preserve">(Bezanson et al., 2017)</w:t>
      </w:r>
      <w:r>
        <w:t xml:space="preserve"> </w:t>
      </w:r>
      <w:r>
        <w:t xml:space="preserve">and analyses in R</w:t>
      </w:r>
      <w:r>
        <w:t xml:space="preserve"> </w:t>
      </w:r>
      <w:r>
        <w:t xml:space="preserve">(R Core Team, 2024)</w:t>
      </w:r>
      <w:r>
        <w:t xml:space="preserve">.</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one-dimensional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maximise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 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p>
      <w:pPr>
        <w:pStyle w:val="BodyText"/>
      </w:pPr>
      <w:r>
        <w:t xml:space="preserve">To isolate model effects from input variation, all trait-based models were parameterised using an identical species pool at each replicate. Species richness was set to 10, 20, 40,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 This allows one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 Niche and Cascade networks were constructed using the target connectance and species richness.</w:t>
      </w:r>
    </w:p>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I can do a supp matt that breaks all the structural metrics down - I don’t think we need it here in the main text.</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rStyle w:val="VerbatimChar"/>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 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w:t>
      </w:r>
      <w:r>
        <w:t xml:space="preserve"> </w:t>
      </w:r>
      <m:oMath>
        <m:sSup>
          <m:e>
            <m:r>
              <m:t>10</m:t>
            </m:r>
          </m:e>
          <m:sup>
            <m:r>
              <m:rPr>
                <m:sty m:val="p"/>
              </m:rPr>
              <m:t>−</m:t>
            </m:r>
            <m:r>
              <m:t>6</m:t>
            </m:r>
          </m:sup>
        </m:sSup>
      </m:oMath>
      <w:r>
        <w:t xml:space="preserve">.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w:t>
      </w:r>
      <w:r>
        <w:t xml:space="preserve"> </w:t>
      </w:r>
      <w:r>
        <w:t xml:space="preserve">(Adams &amp; Collyer, 2009)</w:t>
      </w:r>
      <w:r>
        <w:t xml:space="preserve">, where each network was represented as a point in a multivariate topology space defined by the suite of structural network metrics [TABLE in SI].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were calculated for each network reconstruction model centroid to summarise their overall direction of change.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End w:id="17"/>
    <w:bookmarkStart w:id="41" w:name="results"/>
    <w:p>
      <w:pPr>
        <w:pStyle w:val="Heading1"/>
      </w:pPr>
      <w:r>
        <w:t xml:space="preserve">3. Results</w:t>
      </w:r>
    </w:p>
    <w:bookmarkStart w:id="22"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1" w:name="fig-PTA"/>
          <w:p>
            <w:pPr>
              <w:pStyle w:val="Compact"/>
              <w:jc w:val="center"/>
            </w:pPr>
            <w:r>
              <w:drawing>
                <wp:inline>
                  <wp:extent cx="5334000" cy="6400800"/>
                  <wp:effectExtent b="0" l="0" r="0" t="0"/>
                  <wp:docPr descr="" title="" id="19" name="Picture"/>
                  <a:graphic>
                    <a:graphicData uri="http://schemas.openxmlformats.org/drawingml/2006/picture">
                      <pic:pic>
                        <pic:nvPicPr>
                          <pic:cNvPr descr="figures/PTA.png" id="20" name="Picture"/>
                          <pic:cNvPicPr>
                            <a:picLocks noChangeArrowheads="1" noChangeAspect="1"/>
                          </pic:cNvPicPr>
                        </pic:nvPicPr>
                        <pic:blipFill>
                          <a:blip r:embed="rId1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1"/>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2"/>
    <w:bookmarkStart w:id="31"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being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6" w:name="fig-stability_endpnts"/>
          <w:p>
            <w:pPr>
              <w:pStyle w:val="Compact"/>
              <w:jc w:val="center"/>
            </w:pPr>
            <w:r>
              <w:drawing>
                <wp:inline>
                  <wp:extent cx="5334000" cy="3556000"/>
                  <wp:effectExtent b="0" l="0" r="0" t="0"/>
                  <wp:docPr descr="" title="" id="24" name="Picture"/>
                  <a:graphic>
                    <a:graphicData uri="http://schemas.openxmlformats.org/drawingml/2006/picture">
                      <pic:pic>
                        <pic:nvPicPr>
                          <pic:cNvPr descr="figures/stability_endpoint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6"/>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w:t>
      </w:r>
    </w:p>
    <w:tbl>
      <w:tblPr>
        <w:tblStyle w:val="Table"/>
        <w:tblW w:type="pct" w:w="5000"/>
        <w:tblLayout w:type="fixed"/>
        <w:tblLook w:firstRow="0" w:lastRow="0" w:firstColumn="0" w:lastColumn="0" w:noHBand="0" w:noVBand="0" w:val="0000"/>
      </w:tblPr>
      <w:tblGrid>
        <w:gridCol w:w="7920"/>
      </w:tblGrid>
      <w:tr>
        <w:tc>
          <w:tcPr/>
          <w:bookmarkStart w:id="30" w:name="fig-failed_pca"/>
          <w:p>
            <w:pPr>
              <w:pStyle w:val="Compact"/>
              <w:jc w:val="center"/>
            </w:pPr>
            <w:r>
              <w:drawing>
                <wp:inline>
                  <wp:extent cx="5334000" cy="3810000"/>
                  <wp:effectExtent b="0" l="0" r="0" t="0"/>
                  <wp:docPr descr="" title="" id="28" name="Picture"/>
                  <a:graphic>
                    <a:graphicData uri="http://schemas.openxmlformats.org/drawingml/2006/picture">
                      <pic:pic>
                        <pic:nvPicPr>
                          <pic:cNvPr descr="figures/PTA_failed_networks.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 into the PCA space. Pale arrows show the trajectory of each individual network, dark arrows the mean trajectory. Note we do not plot networks that failed due to solver issues, additionally we omit the Niche and Cascade models as they have no failed networks</w:t>
            </w:r>
          </w:p>
          <w:bookmarkEnd w:id="30"/>
        </w:tc>
      </w:tr>
    </w:tbl>
    <w:bookmarkEnd w:id="31"/>
    <w:bookmarkStart w:id="40"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5" w:name="fig-rel_contribution"/>
          <w:p>
            <w:pPr>
              <w:pStyle w:val="Compact"/>
              <w:jc w:val="center"/>
            </w:pPr>
            <w:r>
              <w:drawing>
                <wp:inline>
                  <wp:extent cx="5334000" cy="3333750"/>
                  <wp:effectExtent b="0" l="0" r="0" t="0"/>
                  <wp:docPr descr="" title="" id="33" name="Picture"/>
                  <a:graphic>
                    <a:graphicData uri="http://schemas.openxmlformats.org/drawingml/2006/picture">
                      <pic:pic>
                        <pic:nvPicPr>
                          <pic:cNvPr descr="figures/stability_effect_size_model_vs_richness.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5"/>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39" w:name="fig-emmeans"/>
          <w:p>
            <w:pPr>
              <w:pStyle w:val="Compact"/>
              <w:jc w:val="center"/>
            </w:pPr>
            <w:r>
              <w:drawing>
                <wp:inline>
                  <wp:extent cx="5334000" cy="4445000"/>
                  <wp:effectExtent b="0" l="0" r="0" t="0"/>
                  <wp:docPr descr="" title="" id="37" name="Picture"/>
                  <a:graphic>
                    <a:graphicData uri="http://schemas.openxmlformats.org/drawingml/2006/picture">
                      <pic:pic>
                        <pic:nvPicPr>
                          <pic:cNvPr descr="figures/stability_adjusted_model_means.png" id="38"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39"/>
        </w:tc>
      </w:tr>
    </w:tbl>
    <w:bookmarkEnd w:id="40"/>
    <w:bookmarkEnd w:id="41"/>
    <w:bookmarkStart w:id="45" w:name="discussion"/>
    <w:p>
      <w:pPr>
        <w:pStyle w:val="Heading1"/>
      </w:pPr>
      <w:r>
        <w:t xml:space="preserve">4. Discussion</w:t>
      </w:r>
    </w:p>
    <w:bookmarkStart w:id="42"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distribution of these smaller motifs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assumptions embedded in the reconstruction framework continue to influence stability despite structural convergence.</w:t>
      </w:r>
    </w:p>
    <w:bookmarkEnd w:id="42"/>
    <w:bookmarkStart w:id="43"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however, behaves differently.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w:t>
      </w:r>
      <w:r>
        <w:t xml:space="preserve"> </w:t>
      </w:r>
      <w:r>
        <w:rPr>
          <w:i/>
          <w:iCs/>
        </w:rPr>
        <w:t xml:space="preserve">post hoc</w:t>
      </w:r>
      <w:r>
        <w:t xml:space="preserve"> </w:t>
      </w:r>
      <w:r>
        <w:t xml:space="preserve">to satisfy the assumptions of the bioenergetic model</w:t>
      </w:r>
      <w:r>
        <w:t xml:space="preserve"> </w:t>
      </w:r>
      <w:r>
        <w:t xml:space="preserve">(Delmas et al., 2017)</w:t>
      </w:r>
      <w:r>
        <w:t xml:space="preserve">. In contrast, ADBM, ATN, and latent trait networks propagate body mass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3"/>
    <w:bookmarkStart w:id="44"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(Williams &amp; Martinez, 2000)</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 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4"/>
    <w:bookmarkEnd w:id="45"/>
    <w:bookmarkStart w:id="104" w:name="references"/>
    <w:p>
      <w:pPr>
        <w:pStyle w:val="Heading1"/>
      </w:pPr>
      <w:r>
        <w:t xml:space="preserve">References</w:t>
      </w:r>
    </w:p>
    <w:bookmarkStart w:id="103" w:name="refs"/>
    <w:bookmarkStart w:id="47" w:name="ref-adams2009"/>
    <w:p>
      <w:pPr>
        <w:pStyle w:val="Bibliography"/>
      </w:pPr>
      <w:r>
        <w:t xml:space="preserve">Adams, D. C., &amp; Collyer, M. L. (2009). A GENERAL FRAMEWORK FOR THE ANALYSIS OF PHENOTYPIC TRAJECTORIES IN EVOLUTIONARY STUDIES.</w:t>
      </w:r>
      <w:r>
        <w:t xml:space="preserve"> </w:t>
      </w:r>
      <w:r>
        <w:rPr>
          <w:i/>
          <w:iCs/>
        </w:rPr>
        <w:t xml:space="preserve">Evolution</w:t>
      </w:r>
      <w:r>
        <w:t xml:space="preserve">,</w:t>
      </w:r>
      <w:r>
        <w:t xml:space="preserve"> </w:t>
      </w:r>
      <w:r>
        <w:rPr>
          <w:i/>
          <w:iCs/>
        </w:rPr>
        <w:t xml:space="preserve">63</w:t>
      </w:r>
      <w:r>
        <w:t xml:space="preserve">(5), 1143–1154.</w:t>
      </w:r>
      <w:r>
        <w:t xml:space="preserve"> </w:t>
      </w:r>
      <w:hyperlink r:id="rId46">
        <w:r>
          <w:rPr>
            <w:rStyle w:val="Hyperlink"/>
          </w:rPr>
          <w:t xml:space="preserve">https://doi.org/10.1111/j.1558-5646.2009.00649.x</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ezanson2017"/>
    <w:p>
      <w:pPr>
        <w:pStyle w:val="Bibliography"/>
      </w:pPr>
      <w:r>
        <w:t xml:space="preserve">Bezanson, J., Edelman, A., Karpinski, S., &amp; Shah, V.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2">
        <w:r>
          <w:rPr>
            <w:rStyle w:val="Hyperlink"/>
          </w:rPr>
          <w:t xml:space="preserve">https://doi.org/10.1137/141000671</w:t>
        </w:r>
      </w:hyperlink>
    </w:p>
    <w:bookmarkEnd w:id="53"/>
    <w:bookmarkStart w:id="55"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4">
        <w:r>
          <w:rPr>
            <w:rStyle w:val="Hyperlink"/>
          </w:rPr>
          <w:t xml:space="preserve">https://doi.org/10.1111/oik.02176</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2">
        <w:r>
          <w:rPr>
            <w:rStyle w:val="Hyperlink"/>
          </w:rPr>
          <w:t xml:space="preserve">https://doi.org/10.1111/2041-210X.12713</w:t>
        </w:r>
      </w:hyperlink>
    </w:p>
    <w:bookmarkEnd w:id="63"/>
    <w:bookmarkStart w:id="6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4">
        <w:r>
          <w:rPr>
            <w:rStyle w:val="Hyperlink"/>
          </w:rPr>
          <w:t xml:space="preserve">https://doi.org/10.1101/2020.06.10.144949</w:t>
        </w:r>
      </w:hyperlink>
    </w:p>
    <w:bookmarkEnd w:id="65"/>
    <w:bookmarkStart w:id="66"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6"/>
    <w:bookmarkStart w:id="68"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7">
        <w:r>
          <w:rPr>
            <w:rStyle w:val="Hyperlink"/>
          </w:rPr>
          <w:t xml:space="preserve">https://doi.org/10.1111/2041-210X.14497</w:t>
        </w:r>
      </w:hyperlink>
    </w:p>
    <w:bookmarkEnd w:id="68"/>
    <w:bookmarkStart w:id="70"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9">
        <w:r>
          <w:rPr>
            <w:rStyle w:val="Hyperlink"/>
          </w:rPr>
          <w:t xml:space="preserve">https://doi.org/10.1111/ele.12073</w:t>
        </w:r>
      </w:hyperlink>
    </w:p>
    <w:bookmarkEnd w:id="70"/>
    <w:bookmarkStart w:id="72"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71">
        <w:r>
          <w:rPr>
            <w:rStyle w:val="Hyperlink"/>
          </w:rPr>
          <w:t xml:space="preserve">https://doi.org/10.2307/j.ctvs32rq4</w:t>
        </w:r>
      </w:hyperlink>
    </w:p>
    <w:bookmarkEnd w:id="72"/>
    <w:bookmarkStart w:id="74"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3">
        <w:r>
          <w:rPr>
            <w:rStyle w:val="Hyperlink"/>
          </w:rPr>
          <w:t xml:space="preserve">https://doi.org/10.1890/0012-9658(1997)078[0653:ATRFMT]2.0.CO;2</w:t>
        </w:r>
      </w:hyperlink>
    </w:p>
    <w:bookmarkEnd w:id="74"/>
    <w:bookmarkStart w:id="7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5">
        <w:r>
          <w:rPr>
            <w:rStyle w:val="Hyperlink"/>
          </w:rPr>
          <w:t xml:space="preserve">https://doi.org/10.1073/pnas.0710672105</w:t>
        </w:r>
      </w:hyperlink>
    </w:p>
    <w:bookmarkEnd w:id="76"/>
    <w:bookmarkStart w:id="78"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7">
        <w:r>
          <w:rPr>
            <w:rStyle w:val="Hyperlink"/>
          </w:rPr>
          <w:t xml:space="preserve">https://doi.org/10.1111/1365-2435.12799</w:t>
        </w:r>
      </w:hyperlink>
    </w:p>
    <w:bookmarkEnd w:id="78"/>
    <w:bookmarkStart w:id="8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1">
        <w:r>
          <w:rPr>
            <w:rStyle w:val="Hyperlink"/>
          </w:rPr>
          <w:t xml:space="preserve">https://doi.org/10.1086/653667</w:t>
        </w:r>
      </w:hyperlink>
    </w:p>
    <w:bookmarkEnd w:id="82"/>
    <w:bookmarkStart w:id="84"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3">
        <w:r>
          <w:rPr>
            <w:rStyle w:val="Hyperlink"/>
          </w:rPr>
          <w:t xml:space="preserve">https://doi.org/10.1126/science.269.5228.1257</w:t>
        </w:r>
      </w:hyperlink>
    </w:p>
    <w:bookmarkEnd w:id="84"/>
    <w:bookmarkStart w:id="8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5">
        <w:r>
          <w:rPr>
            <w:rStyle w:val="Hyperlink"/>
          </w:rPr>
          <w:t xml:space="preserve">https://doi.org/10.1038/ncomms12718</w:t>
        </w:r>
      </w:hyperlink>
    </w:p>
    <w:bookmarkEnd w:id="86"/>
    <w:bookmarkStart w:id="88"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7">
        <w:r>
          <w:rPr>
            <w:rStyle w:val="Hyperlink"/>
          </w:rPr>
          <w:t xml:space="preserve">https://doi.org/10.1111/j.1461-0248.2009.01407.x</w:t>
        </w:r>
      </w:hyperlink>
    </w:p>
    <w:bookmarkEnd w:id="88"/>
    <w:bookmarkStart w:id="9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9">
        <w:r>
          <w:rPr>
            <w:rStyle w:val="Hyperlink"/>
          </w:rPr>
          <w:t xml:space="preserve">https://doi.org/10.1098/rspb.2007.0571</w:t>
        </w:r>
      </w:hyperlink>
    </w:p>
    <w:bookmarkEnd w:id="90"/>
    <w:bookmarkStart w:id="9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91">
        <w:r>
          <w:rPr>
            <w:rStyle w:val="Hyperlink"/>
          </w:rPr>
          <w:t xml:space="preserve">https://doi.org/10.1098/rstb.2021.0063</w:t>
        </w:r>
      </w:hyperlink>
    </w:p>
    <w:bookmarkEnd w:id="92"/>
    <w:bookmarkStart w:id="94"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93">
        <w:r>
          <w:rPr>
            <w:rStyle w:val="Hyperlink"/>
          </w:rPr>
          <w:t xml:space="preserve">https://doi.org/10.32942/X2JW8K</w:t>
        </w:r>
      </w:hyperlink>
    </w:p>
    <w:bookmarkEnd w:id="94"/>
    <w:bookmarkStart w:id="96"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5">
        <w:r>
          <w:rPr>
            <w:rStyle w:val="Hyperlink"/>
          </w:rPr>
          <w:t xml:space="preserve">https://ecoevorxiv.org/repository/view/13495/</w:t>
        </w:r>
      </w:hyperlink>
    </w:p>
    <w:bookmarkEnd w:id="96"/>
    <w:bookmarkStart w:id="98"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7">
        <w:r>
          <w:rPr>
            <w:rStyle w:val="Hyperlink"/>
          </w:rPr>
          <w:t xml:space="preserve">https://doi.org/10.1111/ele.12312</w:t>
        </w:r>
      </w:hyperlink>
    </w:p>
    <w:bookmarkEnd w:id="98"/>
    <w:bookmarkStart w:id="10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9">
        <w:r>
          <w:rPr>
            <w:rStyle w:val="Hyperlink"/>
          </w:rPr>
          <w:t xml:space="preserve">https://doi.org/10.1038/35004572</w:t>
        </w:r>
      </w:hyperlink>
    </w:p>
    <w:bookmarkEnd w:id="100"/>
    <w:bookmarkStart w:id="102"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101">
        <w:r>
          <w:rPr>
            <w:rStyle w:val="Hyperlink"/>
          </w:rPr>
          <w:t xml:space="preserve">https://doi.org/10.1038/289674a0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 Food Web Reconstruction Frameworks Converge in Structure but Diverge in [something]</dc:title>
  <dc:creator>Tanya Strydom; Xiaoxiao Li; Laura Sophia Landon Blake; Andrew P. Beckerman; Dylan Z. Childs</dc:creator>
  <cp:keywords>food web reconstruction, bioenergetic dynamics, network stability, ecological networks, generative models, community persistence</cp:keywords>
  <dcterms:created xsi:type="dcterms:W3CDTF">2026-09-04T15:16:41Z</dcterms:created>
  <dcterms:modified xsi:type="dcterms:W3CDTF">2026-09-04T15:16:41Z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2026-09-04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