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8.png" ContentType="image/png"/>
  <Override PartName="/word/media/rId37.png" ContentType="image/png"/>
  <Override PartName="/word/media/rId3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Stability</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2026-08-25</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community stability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priors about community structure that persist into predictions of ecosystem dynamics? Recent work has shown that applying different reconstruction frameworks to identical species pools produces markedly different food web topologies and substantial turnover in inferred trophic interactions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community stability also converge, or do they retain a signature of the original generative model?</w:t>
      </w:r>
    </w:p>
    <w:bookmarkEnd w:id="9"/>
    <w:bookmarkStart w:id="18"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Start w:id="17"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7"/>
    <w:bookmarkEnd w:id="18"/>
    <w:bookmarkStart w:id="42" w:name="results"/>
    <w:p>
      <w:pPr>
        <w:pStyle w:val="Heading1"/>
      </w:pPr>
      <w:r>
        <w:t xml:space="preserve">3. Results</w:t>
      </w:r>
    </w:p>
    <w:bookmarkStart w:id="23"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apparent competition (S5),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2" w:name="fig-PTA"/>
          <w:p>
            <w:pPr>
              <w:pStyle w:val="Compact"/>
              <w:jc w:val="center"/>
            </w:pPr>
            <w:r>
              <w:drawing>
                <wp:inline>
                  <wp:extent cx="5334000" cy="6400800"/>
                  <wp:effectExtent b="0" l="0" r="0" t="0"/>
                  <wp:docPr descr="" title="" id="20" name="Picture"/>
                  <a:graphic>
                    <a:graphicData uri="http://schemas.openxmlformats.org/drawingml/2006/picture">
                      <pic:pic>
                        <pic:nvPicPr>
                          <pic:cNvPr descr="figures/PTA.png" id="21" name="Picture"/>
                          <pic:cNvPicPr>
                            <a:picLocks noChangeArrowheads="1" noChangeAspect="1"/>
                          </pic:cNvPicPr>
                        </pic:nvPicPr>
                        <pic:blipFill>
                          <a:blip r:embed="rId1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2"/>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Comparison of trajectory vectors demonstrated that most models exhibited small angular differences, indicating that ecological dynamics produced similar directions of topological change across reconstruction methods. Trajectory lengths varied across the 5 PCs ranged from with the Cascade models exhibiting the greatest overall restructuring and Random models the least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3"/>
    <w:bookmarkStart w:id="32"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7" w:name="fig-stability_endpnts"/>
          <w:p>
            <w:pPr>
              <w:pStyle w:val="Compact"/>
              <w:jc w:val="center"/>
            </w:pPr>
            <w:r>
              <w:drawing>
                <wp:inline>
                  <wp:extent cx="5334000" cy="3556000"/>
                  <wp:effectExtent b="0" l="0" r="0" t="0"/>
                  <wp:docPr descr="" title="" id="25" name="Picture"/>
                  <a:graphic>
                    <a:graphicData uri="http://schemas.openxmlformats.org/drawingml/2006/picture">
                      <pic:pic>
                        <pic:nvPicPr>
                          <pic:cNvPr descr="figures/stability_endpoint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7"/>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 for smaller networks is seems a bit more</w:t>
      </w:r>
      <w:r>
        <w:t xml:space="preserve"> </w:t>
      </w:r>
      <w:r>
        <w:t xml:space="preserve">‘random’</w:t>
      </w:r>
    </w:p>
    <w:tbl>
      <w:tblPr>
        <w:tblStyle w:val="Table"/>
        <w:tblW w:type="pct" w:w="5000"/>
        <w:tblLayout w:type="fixed"/>
        <w:tblLook w:firstRow="0" w:lastRow="0" w:firstColumn="0" w:lastColumn="0" w:noHBand="0" w:noVBand="0" w:val="0000"/>
      </w:tblPr>
      <w:tblGrid>
        <w:gridCol w:w="7920"/>
      </w:tblGrid>
      <w:tr>
        <w:tc>
          <w:tcPr/>
          <w:bookmarkStart w:id="31" w:name="fig-failed_pca"/>
          <w:p>
            <w:pPr>
              <w:pStyle w:val="Compact"/>
              <w:jc w:val="center"/>
            </w:pPr>
            <w:r>
              <w:drawing>
                <wp:inline>
                  <wp:extent cx="5334000" cy="3810000"/>
                  <wp:effectExtent b="0" l="0" r="0" t="0"/>
                  <wp:docPr descr="" title="" id="29" name="Picture"/>
                  <a:graphic>
                    <a:graphicData uri="http://schemas.openxmlformats.org/drawingml/2006/picture">
                      <pic:pic>
                        <pic:nvPicPr>
                          <pic:cNvPr descr="figures/PTA_failed_networks.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w:t>
            </w:r>
            <w:r>
              <w:t xml:space="preserve"> </w:t>
            </w:r>
            <w:r>
              <w:t xml:space="preserve">‘into’</w:t>
            </w:r>
            <w:r>
              <w:t xml:space="preserve"> </w:t>
            </w:r>
            <w:r>
              <w:t xml:space="preserve">the PCA space. Pale arrows show the trajectory of each individual network, dark arrows the mean trajectory. Note we do not plot networks that</w:t>
            </w:r>
            <w:r>
              <w:t xml:space="preserve"> </w:t>
            </w:r>
            <w:r>
              <w:t xml:space="preserve">‘failed’</w:t>
            </w:r>
            <w:r>
              <w:t xml:space="preserve"> </w:t>
            </w:r>
            <w:r>
              <w:t xml:space="preserve">due to solver issues, additionally we omit the Niche and Cascade models as they have no</w:t>
            </w:r>
            <w:r>
              <w:t xml:space="preserve"> </w:t>
            </w:r>
            <w:r>
              <w:t xml:space="preserve">‘failed’</w:t>
            </w:r>
            <w:r>
              <w:t xml:space="preserve"> </w:t>
            </w:r>
            <w:r>
              <w:t xml:space="preserve">networks</w:t>
            </w:r>
          </w:p>
          <w:bookmarkEnd w:id="31"/>
        </w:tc>
      </w:tr>
    </w:tbl>
    <w:bookmarkEnd w:id="32"/>
    <w:bookmarkStart w:id="41"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6" w:name="fig-rel_contribution"/>
          <w:p>
            <w:pPr>
              <w:pStyle w:val="Compact"/>
              <w:jc w:val="center"/>
            </w:pPr>
            <w:r>
              <w:drawing>
                <wp:inline>
                  <wp:extent cx="5334000" cy="3333750"/>
                  <wp:effectExtent b="0" l="0" r="0" t="0"/>
                  <wp:docPr descr="" title="" id="34" name="Picture"/>
                  <a:graphic>
                    <a:graphicData uri="http://schemas.openxmlformats.org/drawingml/2006/picture">
                      <pic:pic>
                        <pic:nvPicPr>
                          <pic:cNvPr descr="figures/stability_effect_size_model_vs_richness.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6"/>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0" w:name="fig-emmeans"/>
          <w:p>
            <w:pPr>
              <w:pStyle w:val="Compact"/>
              <w:jc w:val="center"/>
            </w:pPr>
            <w:r>
              <w:drawing>
                <wp:inline>
                  <wp:extent cx="5334000" cy="4445000"/>
                  <wp:effectExtent b="0" l="0" r="0" t="0"/>
                  <wp:docPr descr="" title="" id="38" name="Picture"/>
                  <a:graphic>
                    <a:graphicData uri="http://schemas.openxmlformats.org/drawingml/2006/picture">
                      <pic:pic>
                        <pic:nvPicPr>
                          <pic:cNvPr descr="figures/stability_adjusted_model_means.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40"/>
        </w:tc>
      </w:tr>
    </w:tbl>
    <w:bookmarkEnd w:id="41"/>
    <w:bookmarkEnd w:id="42"/>
    <w:bookmarkStart w:id="46" w:name="discussion"/>
    <w:p>
      <w:pPr>
        <w:pStyle w:val="Heading1"/>
      </w:pPr>
      <w:r>
        <w:t xml:space="preserve">4. Discussion</w:t>
      </w:r>
    </w:p>
    <w:bookmarkStart w:id="43"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apparent competition (S5) and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region of possible network architectures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historical assumptions embedded in the reconstruction framework continue to influence stability after structural convergence.</w:t>
      </w:r>
    </w:p>
    <w:bookmarkEnd w:id="43"/>
    <w:bookmarkStart w:id="44"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told a different story.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 post hoc to satisfy the assumptions of the bioenergetic model</w:t>
      </w:r>
      <w:r>
        <w:t xml:space="preserve"> </w:t>
      </w:r>
      <w:r>
        <w:t xml:space="preserve">(Delmas et al., 2017)</w:t>
      </w:r>
      <w:r>
        <w:t xml:space="preserve">. In contrast, ADBM, ATN, and latent trait networks propagate body-size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therefore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4"/>
    <w:bookmarkStart w:id="45"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t>
      </w:r>
      <w:r>
        <w:rPr>
          <w:b/>
          <w:bCs/>
        </w:rPr>
        <w:t xml:space="preserve">williams200?</w:t>
      </w:r>
      <w:r>
        <w:t xml:space="preserve">)</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historical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5"/>
    <w:bookmarkEnd w:id="46"/>
    <w:bookmarkStart w:id="99" w:name="references"/>
    <w:p>
      <w:pPr>
        <w:pStyle w:val="Heading1"/>
      </w:pPr>
      <w:r>
        <w:t xml:space="preserve">References</w:t>
      </w:r>
    </w:p>
    <w:bookmarkStart w:id="98" w:name="refs"/>
    <w:bookmarkStart w:id="48"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7">
        <w:r>
          <w:rPr>
            <w:rStyle w:val="Hyperlink"/>
          </w:rPr>
          <w:t xml:space="preserve">https://doi.org/10.1038/nature10832</w:t>
        </w:r>
      </w:hyperlink>
    </w:p>
    <w:bookmarkEnd w:id="48"/>
    <w:bookmarkStart w:id="50"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49">
        <w:r>
          <w:rPr>
            <w:rStyle w:val="Hyperlink"/>
          </w:rPr>
          <w:t xml:space="preserve">https://doi.org/10.1371/journal.pcbi.1011458</w:t>
        </w:r>
      </w:hyperlink>
    </w:p>
    <w:bookmarkEnd w:id="50"/>
    <w:bookmarkStart w:id="52"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1">
        <w:r>
          <w:rPr>
            <w:rStyle w:val="Hyperlink"/>
          </w:rPr>
          <w:t xml:space="preserve">https://doi.org/10.1111/oik.02176</w:t>
        </w:r>
      </w:hyperlink>
    </w:p>
    <w:bookmarkEnd w:id="52"/>
    <w:bookmarkStart w:id="54"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3">
        <w:r>
          <w:rPr>
            <w:rStyle w:val="Hyperlink"/>
          </w:rPr>
          <w:t xml:space="preserve">https://doi.org/10.1890/0012-9658(2006)87[2411:CBRINF]2.0.CO;2</w:t>
        </w:r>
      </w:hyperlink>
    </w:p>
    <w:bookmarkEnd w:id="54"/>
    <w:bookmarkStart w:id="56"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5">
        <w:r>
          <w:rPr>
            <w:rStyle w:val="Hyperlink"/>
          </w:rPr>
          <w:t xml:space="preserve">https://www.springer.com/gp/book/9783642837869</w:t>
        </w:r>
      </w:hyperlink>
    </w:p>
    <w:bookmarkEnd w:id="56"/>
    <w:bookmarkStart w:id="58"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7">
        <w:r>
          <w:rPr>
            <w:rStyle w:val="Hyperlink"/>
          </w:rPr>
          <w:t xml:space="preserve">https://doi.org/10.1016/j.baae.2011.09.008</w:t>
        </w:r>
      </w:hyperlink>
    </w:p>
    <w:bookmarkEnd w:id="58"/>
    <w:bookmarkStart w:id="60"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9">
        <w:r>
          <w:rPr>
            <w:rStyle w:val="Hyperlink"/>
          </w:rPr>
          <w:t xml:space="preserve">https://doi.org/10.1111/2041-210X.12713</w:t>
        </w:r>
      </w:hyperlink>
    </w:p>
    <w:bookmarkEnd w:id="60"/>
    <w:bookmarkStart w:id="62"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1">
        <w:r>
          <w:rPr>
            <w:rStyle w:val="Hyperlink"/>
          </w:rPr>
          <w:t xml:space="preserve">https://doi.org/10.1101/2020.06.10.144949</w:t>
        </w:r>
      </w:hyperlink>
    </w:p>
    <w:bookmarkEnd w:id="62"/>
    <w:bookmarkStart w:id="63"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3"/>
    <w:bookmarkStart w:id="65"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4">
        <w:r>
          <w:rPr>
            <w:rStyle w:val="Hyperlink"/>
          </w:rPr>
          <w:t xml:space="preserve">https://doi.org/10.1111/2041-210X.14497</w:t>
        </w:r>
      </w:hyperlink>
    </w:p>
    <w:bookmarkEnd w:id="65"/>
    <w:bookmarkStart w:id="67"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6">
        <w:r>
          <w:rPr>
            <w:rStyle w:val="Hyperlink"/>
          </w:rPr>
          <w:t xml:space="preserve">https://doi.org/10.1111/ele.12073</w:t>
        </w:r>
      </w:hyperlink>
    </w:p>
    <w:bookmarkEnd w:id="67"/>
    <w:bookmarkStart w:id="69"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68">
        <w:r>
          <w:rPr>
            <w:rStyle w:val="Hyperlink"/>
          </w:rPr>
          <w:t xml:space="preserve">https://doi.org/10.2307/j.ctvs32rq4</w:t>
        </w:r>
      </w:hyperlink>
    </w:p>
    <w:bookmarkEnd w:id="69"/>
    <w:bookmarkStart w:id="71"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0">
        <w:r>
          <w:rPr>
            <w:rStyle w:val="Hyperlink"/>
          </w:rPr>
          <w:t xml:space="preserve">https://doi.org/10.1890/0012-9658(1997)078[0653:ATRFMT]2.0.CO;2</w:t>
        </w:r>
      </w:hyperlink>
    </w:p>
    <w:bookmarkEnd w:id="71"/>
    <w:bookmarkStart w:id="73"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2">
        <w:r>
          <w:rPr>
            <w:rStyle w:val="Hyperlink"/>
          </w:rPr>
          <w:t xml:space="preserve">https://doi.org/10.1073/pnas.0710672105</w:t>
        </w:r>
      </w:hyperlink>
    </w:p>
    <w:bookmarkEnd w:id="73"/>
    <w:bookmarkStart w:id="75"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4">
        <w:r>
          <w:rPr>
            <w:rStyle w:val="Hyperlink"/>
          </w:rPr>
          <w:t xml:space="preserve">https://doi.org/10.1111/1365-2435.12799</w:t>
        </w:r>
      </w:hyperlink>
    </w:p>
    <w:bookmarkEnd w:id="75"/>
    <w:bookmarkStart w:id="77"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76">
        <w:r>
          <w:rPr>
            <w:rStyle w:val="Hyperlink"/>
          </w:rPr>
          <w:t xml:space="preserve">https://doi.org/10.1086/653667</w:t>
        </w:r>
      </w:hyperlink>
    </w:p>
    <w:bookmarkEnd w:id="77"/>
    <w:bookmarkStart w:id="79"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78">
        <w:r>
          <w:rPr>
            <w:rStyle w:val="Hyperlink"/>
          </w:rPr>
          <w:t xml:space="preserve">https://doi.org/10.1126/science.269.5228.1257</w:t>
        </w:r>
      </w:hyperlink>
    </w:p>
    <w:bookmarkEnd w:id="79"/>
    <w:bookmarkStart w:id="81"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0">
        <w:r>
          <w:rPr>
            <w:rStyle w:val="Hyperlink"/>
          </w:rPr>
          <w:t xml:space="preserve">https://doi.org/10.1038/ncomms12718</w:t>
        </w:r>
      </w:hyperlink>
    </w:p>
    <w:bookmarkEnd w:id="81"/>
    <w:bookmarkStart w:id="83"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2">
        <w:r>
          <w:rPr>
            <w:rStyle w:val="Hyperlink"/>
          </w:rPr>
          <w:t xml:space="preserve">https://doi.org/10.1111/j.1461-0248.2009.01407.x</w:t>
        </w:r>
      </w:hyperlink>
    </w:p>
    <w:bookmarkEnd w:id="83"/>
    <w:bookmarkStart w:id="85"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4">
        <w:r>
          <w:rPr>
            <w:rStyle w:val="Hyperlink"/>
          </w:rPr>
          <w:t xml:space="preserve">https://doi.org/10.1098/rspb.2007.0571</w:t>
        </w:r>
      </w:hyperlink>
    </w:p>
    <w:bookmarkEnd w:id="85"/>
    <w:bookmarkStart w:id="87"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86">
        <w:r>
          <w:rPr>
            <w:rStyle w:val="Hyperlink"/>
          </w:rPr>
          <w:t xml:space="preserve">https://doi.org/10.1098/rstb.2021.0063</w:t>
        </w:r>
      </w:hyperlink>
    </w:p>
    <w:bookmarkEnd w:id="87"/>
    <w:bookmarkStart w:id="89"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88">
        <w:r>
          <w:rPr>
            <w:rStyle w:val="Hyperlink"/>
          </w:rPr>
          <w:t xml:space="preserve">https://doi.org/10.32942/X2JW8K</w:t>
        </w:r>
      </w:hyperlink>
    </w:p>
    <w:bookmarkEnd w:id="89"/>
    <w:bookmarkStart w:id="91"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0">
        <w:r>
          <w:rPr>
            <w:rStyle w:val="Hyperlink"/>
          </w:rPr>
          <w:t xml:space="preserve">https://ecoevorxiv.org/repository/view/13495/</w:t>
        </w:r>
      </w:hyperlink>
    </w:p>
    <w:bookmarkEnd w:id="91"/>
    <w:bookmarkStart w:id="93"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2">
        <w:r>
          <w:rPr>
            <w:rStyle w:val="Hyperlink"/>
          </w:rPr>
          <w:t xml:space="preserve">https://doi.org/10.1111/ele.12312</w:t>
        </w:r>
      </w:hyperlink>
    </w:p>
    <w:bookmarkEnd w:id="93"/>
    <w:bookmarkStart w:id="95"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4">
        <w:r>
          <w:rPr>
            <w:rStyle w:val="Hyperlink"/>
          </w:rPr>
          <w:t xml:space="preserve">https://doi.org/10.1038/35004572</w:t>
        </w:r>
      </w:hyperlink>
    </w:p>
    <w:bookmarkEnd w:id="95"/>
    <w:bookmarkStart w:id="97"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96">
        <w:r>
          <w:rPr>
            <w:rStyle w:val="Hyperlink"/>
          </w:rPr>
          <w:t xml:space="preserve">https://doi.org/10.1038/289674a0</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hyperlink" Id="rId57" Target="https://doi.org/10.1016/j.baae.2011.09.008" TargetMode="External" /><Relationship Type="http://schemas.openxmlformats.org/officeDocument/2006/relationships/hyperlink" Id="rId96" Target="https://doi.org/10.1038/289674a0" TargetMode="External" /><Relationship Type="http://schemas.openxmlformats.org/officeDocument/2006/relationships/hyperlink" Id="rId94"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80" Target="https://doi.org/10.1038/ncomms12718" TargetMode="External" /><Relationship Type="http://schemas.openxmlformats.org/officeDocument/2006/relationships/hyperlink" Id="rId72" Target="https://doi.org/10.1073/pnas.0710672105" TargetMode="External" /><Relationship Type="http://schemas.openxmlformats.org/officeDocument/2006/relationships/hyperlink" Id="rId76" Target="https://doi.org/10.1086/653667" TargetMode="External" /><Relationship Type="http://schemas.openxmlformats.org/officeDocument/2006/relationships/hyperlink" Id="rId84" Target="https://doi.org/10.1098/rspb.2007.0571" TargetMode="External" /><Relationship Type="http://schemas.openxmlformats.org/officeDocument/2006/relationships/hyperlink" Id="rId86" Target="https://doi.org/10.1098/rstb.2021.0063" TargetMode="External" /><Relationship Type="http://schemas.openxmlformats.org/officeDocument/2006/relationships/hyperlink" Id="rId61" Target="https://doi.org/10.1101/2020.06.10.144949" TargetMode="External" /><Relationship Type="http://schemas.openxmlformats.org/officeDocument/2006/relationships/hyperlink" Id="rId74" Target="https://doi.org/10.1111/1365-2435.12799" TargetMode="External" /><Relationship Type="http://schemas.openxmlformats.org/officeDocument/2006/relationships/hyperlink" Id="rId59" Target="https://doi.org/10.1111/2041-210X.12713" TargetMode="External" /><Relationship Type="http://schemas.openxmlformats.org/officeDocument/2006/relationships/hyperlink" Id="rId64" Target="https://doi.org/10.1111/2041-210X.14497" TargetMode="External" /><Relationship Type="http://schemas.openxmlformats.org/officeDocument/2006/relationships/hyperlink" Id="rId66" Target="https://doi.org/10.1111/ele.12073" TargetMode="External" /><Relationship Type="http://schemas.openxmlformats.org/officeDocument/2006/relationships/hyperlink" Id="rId92" Target="https://doi.org/10.1111/ele.12312" TargetMode="External" /><Relationship Type="http://schemas.openxmlformats.org/officeDocument/2006/relationships/hyperlink" Id="rId82" Target="https://doi.org/10.1111/j.1461-0248.2009.01407.x" TargetMode="External" /><Relationship Type="http://schemas.openxmlformats.org/officeDocument/2006/relationships/hyperlink" Id="rId51" Target="https://doi.org/10.1111/oik.02176" TargetMode="External" /><Relationship Type="http://schemas.openxmlformats.org/officeDocument/2006/relationships/hyperlink" Id="rId78" Target="https://doi.org/10.1126/science.269.5228.1257" TargetMode="External" /><Relationship Type="http://schemas.openxmlformats.org/officeDocument/2006/relationships/hyperlink" Id="rId49" Target="https://doi.org/10.1371/journal.pcbi.1011458" TargetMode="External" /><Relationship Type="http://schemas.openxmlformats.org/officeDocument/2006/relationships/hyperlink" Id="rId70" Target="https://doi.org/10.1890/0012-9658(1997)078[0653:ATRFMT]2.0.CO;2" TargetMode="External" /><Relationship Type="http://schemas.openxmlformats.org/officeDocument/2006/relationships/hyperlink" Id="rId53" Target="https://doi.org/10.1890/0012-9658(2006)87[2411:CBRINF]2.0.CO;2" TargetMode="External" /><Relationship Type="http://schemas.openxmlformats.org/officeDocument/2006/relationships/hyperlink" Id="rId68" Target="https://doi.org/10.2307/j.ctvs32rq4" TargetMode="External" /><Relationship Type="http://schemas.openxmlformats.org/officeDocument/2006/relationships/hyperlink" Id="rId88" Target="https://doi.org/10.32942/X2JW8K" TargetMode="External" /><Relationship Type="http://schemas.openxmlformats.org/officeDocument/2006/relationships/hyperlink" Id="rId90" Target="https://ecoevorxiv.org/repository/view/13495/" TargetMode="External" /><Relationship Type="http://schemas.openxmlformats.org/officeDocument/2006/relationships/hyperlink" Id="rId5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baae.2011.09.008" TargetMode="External" /><Relationship Type="http://schemas.openxmlformats.org/officeDocument/2006/relationships/hyperlink" Id="rId96" Target="https://doi.org/10.1038/289674a0" TargetMode="External" /><Relationship Type="http://schemas.openxmlformats.org/officeDocument/2006/relationships/hyperlink" Id="rId94"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80" Target="https://doi.org/10.1038/ncomms12718" TargetMode="External" /><Relationship Type="http://schemas.openxmlformats.org/officeDocument/2006/relationships/hyperlink" Id="rId72" Target="https://doi.org/10.1073/pnas.0710672105" TargetMode="External" /><Relationship Type="http://schemas.openxmlformats.org/officeDocument/2006/relationships/hyperlink" Id="rId76" Target="https://doi.org/10.1086/653667" TargetMode="External" /><Relationship Type="http://schemas.openxmlformats.org/officeDocument/2006/relationships/hyperlink" Id="rId84" Target="https://doi.org/10.1098/rspb.2007.0571" TargetMode="External" /><Relationship Type="http://schemas.openxmlformats.org/officeDocument/2006/relationships/hyperlink" Id="rId86" Target="https://doi.org/10.1098/rstb.2021.0063" TargetMode="External" /><Relationship Type="http://schemas.openxmlformats.org/officeDocument/2006/relationships/hyperlink" Id="rId61" Target="https://doi.org/10.1101/2020.06.10.144949" TargetMode="External" /><Relationship Type="http://schemas.openxmlformats.org/officeDocument/2006/relationships/hyperlink" Id="rId74" Target="https://doi.org/10.1111/1365-2435.12799" TargetMode="External" /><Relationship Type="http://schemas.openxmlformats.org/officeDocument/2006/relationships/hyperlink" Id="rId59" Target="https://doi.org/10.1111/2041-210X.12713" TargetMode="External" /><Relationship Type="http://schemas.openxmlformats.org/officeDocument/2006/relationships/hyperlink" Id="rId64" Target="https://doi.org/10.1111/2041-210X.14497" TargetMode="External" /><Relationship Type="http://schemas.openxmlformats.org/officeDocument/2006/relationships/hyperlink" Id="rId66" Target="https://doi.org/10.1111/ele.12073" TargetMode="External" /><Relationship Type="http://schemas.openxmlformats.org/officeDocument/2006/relationships/hyperlink" Id="rId92" Target="https://doi.org/10.1111/ele.12312" TargetMode="External" /><Relationship Type="http://schemas.openxmlformats.org/officeDocument/2006/relationships/hyperlink" Id="rId82" Target="https://doi.org/10.1111/j.1461-0248.2009.01407.x" TargetMode="External" /><Relationship Type="http://schemas.openxmlformats.org/officeDocument/2006/relationships/hyperlink" Id="rId51" Target="https://doi.org/10.1111/oik.02176" TargetMode="External" /><Relationship Type="http://schemas.openxmlformats.org/officeDocument/2006/relationships/hyperlink" Id="rId78" Target="https://doi.org/10.1126/science.269.5228.1257" TargetMode="External" /><Relationship Type="http://schemas.openxmlformats.org/officeDocument/2006/relationships/hyperlink" Id="rId49" Target="https://doi.org/10.1371/journal.pcbi.1011458" TargetMode="External" /><Relationship Type="http://schemas.openxmlformats.org/officeDocument/2006/relationships/hyperlink" Id="rId70" Target="https://doi.org/10.1890/0012-9658(1997)078[0653:ATRFMT]2.0.CO;2" TargetMode="External" /><Relationship Type="http://schemas.openxmlformats.org/officeDocument/2006/relationships/hyperlink" Id="rId53" Target="https://doi.org/10.1890/0012-9658(2006)87[2411:CBRINF]2.0.CO;2" TargetMode="External" /><Relationship Type="http://schemas.openxmlformats.org/officeDocument/2006/relationships/hyperlink" Id="rId68" Target="https://doi.org/10.2307/j.ctvs32rq4" TargetMode="External" /><Relationship Type="http://schemas.openxmlformats.org/officeDocument/2006/relationships/hyperlink" Id="rId88" Target="https://doi.org/10.32942/X2JW8K" TargetMode="External" /><Relationship Type="http://schemas.openxmlformats.org/officeDocument/2006/relationships/hyperlink" Id="rId90" Target="https://ecoevorxiv.org/repository/view/13495/" TargetMode="External" /><Relationship Type="http://schemas.openxmlformats.org/officeDocument/2006/relationships/hyperlink" Id="rId5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Stability</dc:title>
  <dc:creator>Tanya Strydom; Xiaoxiao Li; Laura Sophia Landon Blake; Andrew P. Beckerman; Dylan Z. Childs</dc:creator>
  <cp:keywords>food web reconstruction, bioenergetic dynamics, network stability, ecological networks, generative models, community persistence</cp:keywords>
  <dcterms:created xsi:type="dcterms:W3CDTF">2026-08-25T12:09:53Z</dcterms:created>
  <dcterms:modified xsi:type="dcterms:W3CDTF">2026-08-25T12:09:53Z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community stability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2026-08-25</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