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2026-06-01</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Start w:id="15" w:name="methods"/>
    <w:p>
      <w:pPr>
        <w:pStyle w:val="Heading1"/>
      </w:pPr>
      <w:r>
        <w:t xml:space="preserve">1. Methods</w:t>
      </w:r>
    </w:p>
    <w:bookmarkStart w:id="10" w:name="network-generation"/>
    <w:p>
      <w:pPr>
        <w:pStyle w:val="Heading2"/>
      </w:pPr>
      <w:r>
        <w:t xml:space="preserve">1.1 Network generation</w:t>
      </w:r>
    </w:p>
    <w:p>
      <w:pPr>
        <w:pStyle w:val="FirstParagraph"/>
      </w:pPr>
      <w:r>
        <w:t xml:space="preserve">We generated food webs using six established generative models and a maximum entropy (MaxEnt) null model,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fixed (S=15),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 100 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These networks were subjected to the same acceptance criteria as other models.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bookmarkEnd w:id="10"/>
    <w:bookmarkStart w:id="11" w:name="network-structure"/>
    <w:p>
      <w:pPr>
        <w:pStyle w:val="Heading2"/>
      </w:pPr>
      <w:r>
        <w:t xml:space="preserve">1.2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1"/>
    <w:bookmarkStart w:id="12" w:name="dynamic-simulations"/>
    <w:p>
      <w:pPr>
        <w:pStyle w:val="Heading2"/>
      </w:pPr>
      <w:r>
        <w:t xml:space="preserve">1.3 Dynamic simulations</w:t>
      </w:r>
    </w:p>
    <w:p>
      <w:pPr>
        <w:pStyle w:val="FirstParagraph"/>
      </w:pPr>
      <w:r>
        <w:t xml:space="preserve">To evaluate the dynamical consequences of different generative models, all networks were subjected to a common bioenergetic simulation framework using EcologicalNetworksDynamics.jl.</w:t>
      </w:r>
    </w:p>
    <w:p>
      <w:pPr>
        <w:pStyle w:val="BodyText"/>
      </w:pPr>
      <w:r>
        <w:t xml:space="preserve">For trait-based models (ATN, ADBM, LTN), species body masses were taken from the generative netwroks and rescaled relative to the producer with the lowest body mass. These models were then parameterised with their corresponding body masses and stardard allometric scaling. For structual models (Niche, Cascade, MaxEnt, Random), where explicit trait information was not available, we assigned body masses using trophic scaling with a predator–prey body-mass ratio of 100, a value commonly used for aquatic food webs. Initial species biomasses were randomly assigned. Dynamics were simulated using a Type III functional response, with a Hill exponent of 2.</w:t>
      </w:r>
    </w:p>
    <w:p>
      <w:pPr>
        <w:pStyle w:val="BodyText"/>
      </w:pPr>
      <w:r>
        <w:t xml:space="preserve">Each network was simulated until a steady state was reached, with a minimum simulation time of 2000 time units and a maximum of 5000 time units. Equilibrium properties were calculated over the final 500 time units of each simulation. Species were considered extinct and removed when their biomass fell below 10−6. At equilibrium, both extinct species and disconnected species were removed, yielding the realised post-simulation network.</w:t>
      </w:r>
    </w:p>
    <w:bookmarkEnd w:id="12"/>
    <w:bookmarkStart w:id="13" w:name="post-simulation-analyses"/>
    <w:p>
      <w:pPr>
        <w:pStyle w:val="Heading2"/>
      </w:pPr>
      <w:r>
        <w:t xml:space="preserve">1.4 Post-simulation analyses</w:t>
      </w:r>
    </w:p>
    <w:p>
      <w:pPr>
        <w:pStyle w:val="FirstParagraph"/>
      </w:pPr>
      <w:r>
        <w:t xml:space="preserve">Post-simulation analyses quantified two complementary outcomes: community dynamics and realise network topology at equilibrium.</w:t>
      </w:r>
    </w:p>
    <w:p>
      <w:pPr>
        <w:pStyle w:val="BodyText"/>
      </w:pPr>
      <w:r>
        <w:t xml:space="preserve">For community dynamics, we focused on persistence (proportion of species surviving), total community biomass, maximum trophic level, diversity (Shannon, evenness), and local stability metrics (resilience and reactivity). Local stability metrics were calculated using EcoNetPostProcessing.jl.</w:t>
      </w:r>
    </w:p>
    <w:p>
      <w:pPr>
        <w:pStyle w:val="BodyText"/>
      </w:pPr>
      <w:r>
        <w:t xml:space="preserve">To assess how dynamics reshape network topology, we recalculated all structural metrics on the realised (post-extinction) network topology, enabling direct comparison between initial and emergent structure across models.</w:t>
      </w:r>
    </w:p>
    <w:bookmarkEnd w:id="13"/>
    <w:bookmarkStart w:id="14" w:name="experimental-design"/>
    <w:p>
      <w:pPr>
        <w:pStyle w:val="Heading2"/>
      </w:pPr>
      <w:r>
        <w:t xml:space="preserve">1.5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4"/>
    <w:bookmarkEnd w:id="15"/>
    <w:bookmarkStart w:id="20"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9" w:name="fig-structure"/>
          <w:p>
            <w:pPr>
              <w:pStyle w:val="Compact"/>
              <w:jc w:val="center"/>
            </w:pPr>
            <w:r>
              <w:drawing>
                <wp:inline>
                  <wp:extent cx="5334000" cy="4267199"/>
                  <wp:effectExtent b="0" l="0" r="0" t="0"/>
                  <wp:docPr descr="" title="" id="17" name="Picture"/>
                  <a:graphic>
                    <a:graphicData uri="http://schemas.openxmlformats.org/drawingml/2006/picture">
                      <pic:pic>
                        <pic:nvPicPr>
                          <pic:cNvPr descr="figures/lda.png" id="18" name="Picture"/>
                          <pic:cNvPicPr>
                            <a:picLocks noChangeArrowheads="1" noChangeAspect="1"/>
                          </pic:cNvPicPr>
                        </pic:nvPicPr>
                        <pic:blipFill>
                          <a:blip r:embed="rId16"/>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9"/>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20"/>
    <w:bookmarkStart w:id="21"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21"/>
    <w:bookmarkStart w:id="35" w:name="references"/>
    <w:p>
      <w:pPr>
        <w:pStyle w:val="Heading1"/>
      </w:pPr>
      <w:r>
        <w:t xml:space="preserve">References</w:t>
      </w:r>
    </w:p>
    <w:bookmarkStart w:id="34" w:name="refs"/>
    <w:bookmarkStart w:id="23"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22">
        <w:r>
          <w:rPr>
            <w:rStyle w:val="Hyperlink"/>
          </w:rPr>
          <w:t xml:space="preserve">https://doi.org/10.1371/journal.pcbi.1011458</w:t>
        </w:r>
      </w:hyperlink>
    </w:p>
    <w:bookmarkEnd w:id="23"/>
    <w:bookmarkStart w:id="2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4">
        <w:r>
          <w:rPr>
            <w:rStyle w:val="Hyperlink"/>
          </w:rPr>
          <w:t xml:space="preserve">https://doi.org/10.1890/0012-9658(2006)87[2411:CBRINF]2.0.CO;2</w:t>
        </w:r>
      </w:hyperlink>
    </w:p>
    <w:bookmarkEnd w:id="25"/>
    <w:bookmarkStart w:id="2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6">
        <w:r>
          <w:rPr>
            <w:rStyle w:val="Hyperlink"/>
          </w:rPr>
          <w:t xml:space="preserve">https://www.springer.com/gp/book/9783642837869</w:t>
        </w:r>
      </w:hyperlink>
    </w:p>
    <w:bookmarkEnd w:id="27"/>
    <w:bookmarkStart w:id="29"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8">
        <w:r>
          <w:rPr>
            <w:rStyle w:val="Hyperlink"/>
          </w:rPr>
          <w:t xml:space="preserve">https://doi.org/10.1073/pnas.0710672105</w:t>
        </w:r>
      </w:hyperlink>
    </w:p>
    <w:bookmarkEnd w:id="29"/>
    <w:bookmarkStart w:id="31"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30">
        <w:r>
          <w:rPr>
            <w:rStyle w:val="Hyperlink"/>
          </w:rPr>
          <w:t xml:space="preserve">https://doi.org/10.1086/653667</w:t>
        </w:r>
      </w:hyperlink>
    </w:p>
    <w:bookmarkEnd w:id="31"/>
    <w:bookmarkStart w:id="33"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32">
        <w:r>
          <w:rPr>
            <w:rStyle w:val="Hyperlink"/>
          </w:rPr>
          <w:t xml:space="preserve">https://doi.org/10.1038/35004572</w:t>
        </w:r>
      </w:hyperlink>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2026-06-01T12:28:16Z</dcterms:created>
  <dcterms:modified xsi:type="dcterms:W3CDTF">2026-06-01T12:28:16Z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2026-06-01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