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6.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Same structure, different stability: The lasting legacy of food web reconstruction</w:t>
      </w:r>
    </w:p>
    <w:p>
      <w:pPr>
        <w:pStyle w:val="Author"/>
      </w:pPr>
      <w:r>
        <w:t xml:space="preserve">Tanya Strydom</w:t>
      </w:r>
    </w:p>
    <w:p>
      <w:pPr>
        <w:pStyle w:val="Author"/>
      </w:pPr>
      <w:r>
        <w:t xml:space="preserve">Xiaoxiao Li</w:t>
      </w:r>
    </w:p>
    <w:p>
      <w:pPr>
        <w:pStyle w:val="Author"/>
      </w:pPr>
      <w:r>
        <w:t xml:space="preserve">Alain Danet</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2026-10-28</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w:t>
      </w:r>
    </w:p>
    <w:bookmarkStart w:id="9" w:name="introduction"/>
    <w:p>
      <w:pPr>
        <w:pStyle w:val="Heading1"/>
      </w:pPr>
      <w:r>
        <w:t xml:space="preserve">1. Introduction</w:t>
      </w:r>
    </w:p>
    <w:p>
      <w:pPr>
        <w:pStyle w:val="FirstParagraph"/>
      </w:pPr>
      <w:r>
        <w:t xml:space="preserve">For over two decades, community ecology has relied heavily on generative models to understand and reconstruct the structure of trophic networks. At the centre of this framework is the niche model. Introduced by</w:t>
      </w:r>
      <w:r>
        <w:t xml:space="preserve"> </w:t>
      </w:r>
      <w:r>
        <w:t xml:space="preserve">Williams &amp; Martinez (2000)</w:t>
      </w:r>
      <w:r>
        <w:t xml:space="preserve"> </w:t>
      </w:r>
      <w:r>
        <w:t xml:space="preserve">as a major advance over the strictly hierarchical Cascade model</w:t>
      </w:r>
      <w:r>
        <w:t xml:space="preserve"> </w:t>
      </w:r>
      <w:r>
        <w:t xml:space="preserve">(Cohen et al., 1990)</w:t>
      </w:r>
      <w:r>
        <w:t xml:space="preserve">, the Niche model demonstrated that relatively simple assembly rules could reproduce many emergent properties of empirical food webs, including realistic degree distributions, trophic guild proportions, and path lengths. This success has established the niche model as the default structural baseline for investigating macroecological patterns, robustness to primary extinctions, and the stability of ecological communities</w:t>
      </w:r>
      <w:r>
        <w:t xml:space="preserve"> </w:t>
      </w:r>
      <w:r>
        <w:t xml:space="preserve">(Allesina &amp; Tang, 2012; Curtsdotter et al., 2011)</w:t>
      </w:r>
      <w:r>
        <w:t xml:space="preserve">.</w:t>
      </w:r>
    </w:p>
    <w:p>
      <w:pPr>
        <w:pStyle w:val="BodyText"/>
      </w:pPr>
      <w:r>
        <w:t xml:space="preserve">The widespread use of the Niche model has also encouraged a broader assumption that different food web reconstruction methods provide interchangeable representations of ecological communities. However, generative models embody fundamentally different assumptions about how trophic interactions arise</w:t>
      </w:r>
      <w:r>
        <w:t xml:space="preserve"> </w:t>
      </w:r>
      <w:r>
        <w:t xml:space="preserve">(Strydom, Dunhill, et al., 2026)</w:t>
      </w:r>
      <w:r>
        <w:t xml:space="preserve">. Structural models operate from the network down, generating interactions according to statistical or topological rules. The Niche and Cascade models impose ordered feeding hierarchies along a latent niche axis, while maximum entropy (MaxEnt) models generate networks that satisfy macroscopic constraints while remaining maximally unstructured beyond those constraints</w:t>
      </w:r>
      <w:r>
        <w:t xml:space="preserve"> </w:t>
      </w:r>
      <w:r>
        <w:t xml:space="preserve">(Banville et al., 2023)</w:t>
      </w:r>
      <w:r>
        <w:t xml:space="preserve">. In contrast, mechanistic approaches operate from the species up, constructing networks from organismal traits and ecological processes. The Allometric Diet Breadth Model (ADBM) derives realised diets from optimal foraging and energetic profitability</w:t>
      </w:r>
      <w:r>
        <w:t xml:space="preserve"> </w:t>
      </w:r>
      <w:r>
        <w:t xml:space="preserve">(Petchey et al., 2008)</w:t>
      </w:r>
      <w:r>
        <w:t xml:space="preserve">, whereas the Allometric Trophic Network (ATN) framework constrains interactions through body-size scaling and metabolic theory</w:t>
      </w:r>
      <w:r>
        <w:t xml:space="preserve"> </w:t>
      </w:r>
      <w:r>
        <w:t xml:space="preserve">(Brose et al., 2006; Schneider et al., 2016)</w:t>
      </w:r>
      <w:r>
        <w:t xml:space="preserve">. Latent trait models occupy an intermediate position, inferring interactions statistically from underlying species traits without prescribing explicit feeding rules</w:t>
      </w:r>
      <w:r>
        <w:t xml:space="preserve"> </w:t>
      </w:r>
      <w:r>
        <w:t xml:space="preserve">(Rohr et al., 2010)</w:t>
      </w:r>
      <w:r>
        <w:t xml:space="preserve">.</w:t>
      </w:r>
    </w:p>
    <w:p>
      <w:pPr>
        <w:pStyle w:val="BodyText"/>
      </w:pPr>
      <w:r>
        <w:t xml:space="preserve">These contrasting modelling philosophies raise a fundamental question. Are they simply different routes to the same ecological inference, or do they encode different assumptions about network architecture that persist into predictions of ecosystem dynamics? Recent work has shown that applying different reconstruction frameworks to identical species pools produces markedly different food web topologies and inference about species extinctions</w:t>
      </w:r>
      <w:r>
        <w:t xml:space="preserve"> </w:t>
      </w:r>
      <w:r>
        <w:t xml:space="preserve">(Strydom, Karapunar, et al., 2026)</w:t>
      </w:r>
      <w:r>
        <w:t xml:space="preserve">. Because network architecture governs the pathways through which energy, biomass, and indirect effects propagate through communities</w:t>
      </w:r>
      <w:r>
        <w:t xml:space="preserve"> </w:t>
      </w:r>
      <w:r>
        <w:t xml:space="preserve">(Delmas et al., n.d.)</w:t>
      </w:r>
      <w:r>
        <w:t xml:space="preserve">, differences in reconstruction may have important consequences for ecological dynamics rather than representing alternative but equivalent descriptions of the same system.</w:t>
      </w:r>
    </w:p>
    <w:p>
      <w:pPr>
        <w:pStyle w:val="BodyText"/>
      </w:pPr>
      <w:r>
        <w:t xml:space="preserve">At the same time, empirical food webs exhibit surprisingly consistent local structural organisation despite large differences in species composition and ecosystem type, suggesting that ecological communities occupy a constrained region of possible network architectures rather than arbitrary combinations of interactions. This has motivated the idea that ecological dynamics selectively retain interaction structures that are compatible with persistence while filtering those that are not</w:t>
      </w:r>
      <w:r>
        <w:t xml:space="preserve"> </w:t>
      </w:r>
      <w:r>
        <w:t xml:space="preserve">(Stouffer et al., 2007; Stouffer &amp; Bascompte, 2010)</w:t>
      </w:r>
      <w:r>
        <w:t xml:space="preserve">. Whether this filtering is sufficiently strong to erase the structural differences introduced by alternative reconstruction frameworks remains unknown.</w:t>
      </w:r>
    </w:p>
    <w:p>
      <w:pPr>
        <w:pStyle w:val="BodyText"/>
      </w:pPr>
      <w:r>
        <w:t xml:space="preserve">Here, we test whether food web reconstruction frameworks function as benign structural templates or whether they fundamentally shape ecological inference. We generated food webs using seven models spanning structural, statistical, and trait-based philosophies and embedded each within an identical bioenergetic simulation framework while controlling species pools and dynamical rules. This design allows us to separate the effects of network construction from the effects of ecological dynamics and ask two questions: (i) do different reconstruction frameworks converge towards a common realised network structure under bioenergetic dynamics, and (ii) if structural convergence occurs, do predictions of biomass equilibrium also converge, or do they retain a signature of the original generative model?</w:t>
      </w:r>
    </w:p>
    <w:bookmarkEnd w:id="9"/>
    <w:bookmarkStart w:id="17"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see</w:t>
      </w:r>
      <w:r>
        <w:t xml:space="preserve"> </w:t>
      </w:r>
      <w:hyperlink w:anchor="tbl-models">
        <w:r>
          <w:rPr>
            <w:rStyle w:val="Hyperlink"/>
          </w:rPr>
          <w:t xml:space="preserve">Table 1</w:t>
        </w:r>
      </w:hyperlink>
      <w:r>
        <w:t xml:space="preserve"> </w:t>
      </w:r>
      <w:r>
        <w:t xml:space="preserve">for more details. All simulations were implemented in Julia</w:t>
      </w:r>
      <w:r>
        <w:t xml:space="preserve"> </w:t>
      </w:r>
      <w:r>
        <w:t xml:space="preserve">(Bezanson et al., 2017)</w:t>
      </w:r>
      <w:r>
        <w:t xml:space="preserve"> </w:t>
      </w:r>
      <w:r>
        <w:t xml:space="preserve">and analyses in R</w:t>
      </w:r>
      <w:r>
        <w:t xml:space="preserve"> </w:t>
      </w:r>
      <w:r>
        <w:t xml:space="preserve">(R Core Team, 2024)</w:t>
      </w:r>
      <w:r>
        <w:t xml:space="preserve">.</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one-dimensional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maximise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 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p>
      <w:pPr>
        <w:pStyle w:val="BodyText"/>
      </w:pPr>
      <w:r>
        <w:t xml:space="preserve">To isolate model effects from input variation, all trait-based models were parameterised using an identical species pool at each replicate. Species richness was set to 10, 20, 40,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 This allows one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 Niche and Cascade networks were constructed using the target connectance and species richness.</w:t>
      </w:r>
    </w:p>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I can do a supp matt that breaks all the structural metrics down - I don’t think we need it here in the main text.</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rStyle w:val="VerbatimChar"/>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 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w:t>
      </w:r>
      <w:r>
        <w:t xml:space="preserve"> </w:t>
      </w:r>
      <m:oMath>
        <m:sSup>
          <m:e>
            <m:r>
              <m:t>10</m:t>
            </m:r>
          </m:e>
          <m:sup>
            <m:r>
              <m:rPr>
                <m:sty m:val="p"/>
              </m:rPr>
              <m:t>−</m:t>
            </m:r>
            <m:r>
              <m:t>6</m:t>
            </m:r>
          </m:sup>
        </m:sSup>
      </m:oMath>
      <w:r>
        <w:t xml:space="preserve">.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w:t>
      </w:r>
      <w:r>
        <w:t xml:space="preserve"> </w:t>
      </w:r>
      <w:r>
        <w:t xml:space="preserve">(Adams &amp; Collyer, 2009)</w:t>
      </w:r>
      <w:r>
        <w:t xml:space="preserve">, where each network was represented as a point in a multivariate topology space defined by the suite of structural network metrics [TABLE in SI].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were calculated for each network reconstruction model centroid to summarise their overall direction of change.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 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End w:id="17"/>
    <w:bookmarkStart w:id="41" w:name="results"/>
    <w:p>
      <w:pPr>
        <w:pStyle w:val="Heading1"/>
      </w:pPr>
      <w:r>
        <w:t xml:space="preserve">3. Results</w:t>
      </w:r>
    </w:p>
    <w:bookmarkStart w:id="22"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 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tbl>
      <w:tblPr>
        <w:tblStyle w:val="Table"/>
        <w:tblW w:type="pct" w:w="5000"/>
        <w:tblLayout w:type="fixed"/>
        <w:tblLook w:firstRow="0" w:lastRow="0" w:firstColumn="0" w:lastColumn="0" w:noHBand="0" w:noVBand="0" w:val="0000"/>
      </w:tblPr>
      <w:tblGrid>
        <w:gridCol w:w="7920"/>
      </w:tblGrid>
      <w:tr>
        <w:tc>
          <w:tcPr/>
          <w:bookmarkStart w:id="21" w:name="fig-PTA"/>
          <w:p>
            <w:pPr>
              <w:pStyle w:val="Compact"/>
              <w:jc w:val="center"/>
            </w:pPr>
            <w:r>
              <w:drawing>
                <wp:inline>
                  <wp:extent cx="5334000" cy="6400800"/>
                  <wp:effectExtent b="0" l="0" r="0" t="0"/>
                  <wp:docPr descr="" title="" id="19" name="Picture"/>
                  <a:graphic>
                    <a:graphicData uri="http://schemas.openxmlformats.org/drawingml/2006/picture">
                      <pic:pic>
                        <pic:nvPicPr>
                          <pic:cNvPr descr="figures/PTA.png" id="20" name="Picture"/>
                          <pic:cNvPicPr>
                            <a:picLocks noChangeArrowheads="1" noChangeAspect="1"/>
                          </pic:cNvPicPr>
                        </pic:nvPicPr>
                        <pic:blipFill>
                          <a:blip r:embed="rId1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 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Displacement of model centroids as trajectory lengths over the first five principal component axes, points represent mean length (E) Mean Euclidean distance of networks to the centroid before and after simulations, providing a measure of convergence in network topology.</w:t>
            </w:r>
          </w:p>
          <w:bookmarkEnd w:id="21"/>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E). The mean Euclidean distance to the global realised-network centroid decreased following dynamic simulations for all models, suggesting that ecological dynamics drove networks towards a common structural endpoint despite differences in initial topology.</w:t>
      </w:r>
    </w:p>
    <w:bookmarkEnd w:id="22"/>
    <w:bookmarkStart w:id="31"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being able to reach an equilibrium state.</w:t>
      </w:r>
    </w:p>
    <w:tbl>
      <w:tblPr>
        <w:tblStyle w:val="Table"/>
        <w:tblW w:type="pct" w:w="5000"/>
        <w:tblLayout w:type="fixed"/>
        <w:tblLook w:firstRow="0" w:lastRow="0" w:firstColumn="0" w:lastColumn="0" w:noHBand="0" w:noVBand="0" w:val="0000"/>
      </w:tblPr>
      <w:tblGrid>
        <w:gridCol w:w="7920"/>
      </w:tblGrid>
      <w:tr>
        <w:tc>
          <w:tcPr/>
          <w:bookmarkStart w:id="26" w:name="fig-stability_endpnts"/>
          <w:p>
            <w:pPr>
              <w:pStyle w:val="Compact"/>
              <w:jc w:val="center"/>
            </w:pPr>
            <w:r>
              <w:drawing>
                <wp:inline>
                  <wp:extent cx="5334000" cy="3556000"/>
                  <wp:effectExtent b="0" l="0" r="0" t="0"/>
                  <wp:docPr descr="" title="" id="24" name="Picture"/>
                  <a:graphic>
                    <a:graphicData uri="http://schemas.openxmlformats.org/drawingml/2006/picture">
                      <pic:pic>
                        <pic:nvPicPr>
                          <pic:cNvPr descr="figures/stability_endpoints.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6"/>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w:t>
      </w:r>
    </w:p>
    <w:tbl>
      <w:tblPr>
        <w:tblStyle w:val="Table"/>
        <w:tblW w:type="pct" w:w="5000"/>
        <w:tblLayout w:type="fixed"/>
        <w:tblLook w:firstRow="0" w:lastRow="0" w:firstColumn="0" w:lastColumn="0" w:noHBand="0" w:noVBand="0" w:val="0000"/>
      </w:tblPr>
      <w:tblGrid>
        <w:gridCol w:w="7920"/>
      </w:tblGrid>
      <w:tr>
        <w:tc>
          <w:tcPr/>
          <w:bookmarkStart w:id="30" w:name="fig-failed_pca"/>
          <w:p>
            <w:pPr>
              <w:pStyle w:val="Compact"/>
              <w:jc w:val="center"/>
            </w:pPr>
            <w:r>
              <w:drawing>
                <wp:inline>
                  <wp:extent cx="5334000" cy="3810000"/>
                  <wp:effectExtent b="0" l="0" r="0" t="0"/>
                  <wp:docPr descr="" title="" id="28" name="Picture"/>
                  <a:graphic>
                    <a:graphicData uri="http://schemas.openxmlformats.org/drawingml/2006/picture">
                      <pic:pic>
                        <pic:nvPicPr>
                          <pic:cNvPr descr="figures/PTA_failed_networks.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 into the PCA space. Pale arrows show the trajectory of each individual network, dark arrows the mean trajectory. Note we do not plot networks that failed due to solver issues, additionally we omit the Niche and Cascade models as they have no failed networks</w:t>
            </w:r>
          </w:p>
          <w:bookmarkEnd w:id="30"/>
        </w:tc>
      </w:tr>
    </w:tbl>
    <w:bookmarkEnd w:id="31"/>
    <w:bookmarkStart w:id="40"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5" w:name="fig-rel_contribution"/>
          <w:p>
            <w:pPr>
              <w:pStyle w:val="Compact"/>
              <w:jc w:val="center"/>
            </w:pPr>
            <w:r>
              <w:drawing>
                <wp:inline>
                  <wp:extent cx="5334000" cy="3333750"/>
                  <wp:effectExtent b="0" l="0" r="0" t="0"/>
                  <wp:docPr descr="" title="" id="33" name="Picture"/>
                  <a:graphic>
                    <a:graphicData uri="http://schemas.openxmlformats.org/drawingml/2006/picture">
                      <pic:pic>
                        <pic:nvPicPr>
                          <pic:cNvPr descr="figures/stability_effect_size_model_vs_richness.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5"/>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39" w:name="fig-emmeans"/>
          <w:p>
            <w:pPr>
              <w:pStyle w:val="Compact"/>
              <w:jc w:val="center"/>
            </w:pPr>
            <w:r>
              <w:drawing>
                <wp:inline>
                  <wp:extent cx="5334000" cy="4445000"/>
                  <wp:effectExtent b="0" l="0" r="0" t="0"/>
                  <wp:docPr descr="" title="" id="37" name="Picture"/>
                  <a:graphic>
                    <a:graphicData uri="http://schemas.openxmlformats.org/drawingml/2006/picture">
                      <pic:pic>
                        <pic:nvPicPr>
                          <pic:cNvPr descr="figures/stability_adjusted_model_means.png" id="38" name="Picture"/>
                          <pic:cNvPicPr>
                            <a:picLocks noChangeArrowheads="1" noChangeAspect="1"/>
                          </pic:cNvPicPr>
                        </pic:nvPicPr>
                        <pic:blipFill>
                          <a:blip r:embed="rId36"/>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39"/>
        </w:tc>
      </w:tr>
    </w:tbl>
    <w:bookmarkEnd w:id="40"/>
    <w:bookmarkEnd w:id="41"/>
    <w:bookmarkStart w:id="45" w:name="discussion"/>
    <w:p>
      <w:pPr>
        <w:pStyle w:val="Heading1"/>
      </w:pPr>
      <w:r>
        <w:t xml:space="preserve">4. Discussion</w:t>
      </w:r>
    </w:p>
    <w:bookmarkStart w:id="42" w:name="X2b10198c36516ab4e4a8b4b84f3a32180f752d0"/>
    <w:p>
      <w:pPr>
        <w:pStyle w:val="Heading2"/>
      </w:pPr>
      <w:r>
        <w:t xml:space="preserve">4.1 Ecological dynamics constrain food web structure</w:t>
      </w:r>
    </w:p>
    <w:p>
      <w:pPr>
        <w:pStyle w:val="FirstParagraph"/>
      </w:pPr>
      <w:r>
        <w:t xml:space="preserve">One of the clearest results of this study is that ecological dynamics consistently reduced structural differences among food web reconstruction frameworks. Networks generated from fundamentally different structural, statistical, and trait-based assumptions began in distinct regions of multivariate topology space, yet their realised counterparts occupied a much narrower region following bioenergetic simulations. This convergence indicates that ecological dynamics impose strong constraints on viable food web architecture, regardless of how the initial network is assembled.</w:t>
      </w:r>
    </w:p>
    <w:p>
      <w:pPr>
        <w:pStyle w:val="BodyText"/>
      </w:pPr>
      <w:r>
        <w:t xml:space="preserve">Importantly, this convergence emerged without any opportunity for networks to rewire. Species interactions remained fixed throughout the simulations, meaning that all structural change resulted from species extinctions and the subsequent removal of trophic interactions. The realised networks therefore represent a filtered subset of the original architectures rather than newly assembled communities. In this sense, bioenergetic dynamics act as a selection process on network structure. Interactions that cannot be maintained under energetic and demographic constraints are systematically removed, while those compatible with persistence remain. This interpretation aligns closely with previous work demonstrating that secondary extinctions reshape food web structure through dynamic processes that cannot be captured by static robustness analyses alone</w:t>
      </w:r>
      <w:r>
        <w:t xml:space="preserve"> </w:t>
      </w:r>
      <w:r>
        <w:t xml:space="preserve">(Curtsdotter et al., 2011)</w:t>
      </w:r>
      <w:r>
        <w:t xml:space="preserve">.</w:t>
      </w:r>
    </w:p>
    <w:p>
      <w:pPr>
        <w:pStyle w:val="BodyText"/>
      </w:pPr>
      <w:r>
        <w:t xml:space="preserve">The dominant axis of structural change was associated with reductions in metrics describing indirect competitive interactions, particularly exploitative competition (S4). Rather than highlighting these motifs as special cases, we interpret them as evidence that ecological dynamics simplify portions of the network where indirect effects are concentrated. This interpretation is consistent with empirical studies showing that food webs exhibit conserved local interaction structure across ecosystems despite substantial differences in species composition, suggesting that persistent communities occupy a constrained distribution of these smaller motifs</w:t>
      </w:r>
      <w:r>
        <w:t xml:space="preserve"> </w:t>
      </w:r>
      <w:r>
        <w:t xml:space="preserve">(Stouffer et al., 2007; Stouffer &amp; Bascompte, 2010)</w:t>
      </w:r>
      <w:r>
        <w:t xml:space="preserve">. Our simulations extend this idea by demonstrating that similar structural organisation can emerge through extinction-driven filtering, even when networks originate from contrasting generative assumptions. Moreover, this extinction-driven pruning agrees with the observation that stable food webs are enriched for interaction configurations that persist under ecological dynamics, whereas structurally unstable configurations are selectively removed</w:t>
      </w:r>
      <w:r>
        <w:t xml:space="preserve"> </w:t>
      </w:r>
      <w:r>
        <w:t xml:space="preserve">(Borrelli, 2015)</w:t>
      </w:r>
      <w:r>
        <w:t xml:space="preserve">.</w:t>
      </w:r>
    </w:p>
    <w:p>
      <w:pPr>
        <w:pStyle w:val="BodyText"/>
      </w:pPr>
      <w:r>
        <w:t xml:space="preserve">The behaviour of the Random networks further illustrates the existence of a constrained structural domain for persistence. Randomly assembled networks were the least likely to reach equilibrium, particularly as species richness increased, yet those that did survive underwent relatively little structural reorganisation. Rather than converging through extensive pruning, these surviving networks appear to have been generated close to a dynamically feasible region of topology space by chance. This result echoes classic stability theory, which predicts that unconstrained random interaction matrices are overwhelmingly unstable unless they possess particular structural properties</w:t>
      </w:r>
      <w:r>
        <w:t xml:space="preserve"> </w:t>
      </w:r>
      <w:r>
        <w:t xml:space="preserve">(Allesina &amp; Tang, 2012; May, 1974)</w:t>
      </w:r>
      <w:r>
        <w:t xml:space="preserve">. Ecologically informed reconstruction models do not guarantee persistence, but they substantially increase the probability of generating networks within this feasible region because their assembly rules embed ecological constraints absent from purely random topology</w:t>
      </w:r>
      <w:r>
        <w:t xml:space="preserve"> </w:t>
      </w:r>
      <w:r>
        <w:t xml:space="preserve">(Dunne et al., 2002)</w:t>
      </w:r>
      <w:r>
        <w:t xml:space="preserve">.</w:t>
      </w:r>
    </w:p>
    <w:p>
      <w:pPr>
        <w:pStyle w:val="BodyText"/>
      </w:pPr>
      <w:r>
        <w:t xml:space="preserve">Together, these results suggest that convergence in topology is not evidence that generative models are interchangeable. Instead, ecological dynamics compress a diverse set of initial architectures into a narrower subset of structures compatible with persistence. The important question therefore becomes whether this shared realised topology also produces shared ecological dynamics, or whether the assumptions embedded in the reconstruction framework continue to influence stability despite structural convergence.</w:t>
      </w:r>
    </w:p>
    <w:bookmarkEnd w:id="42"/>
    <w:bookmarkStart w:id="43" w:name="Xcc5ce161ea02f4046346aa712ecff2fb9726fbf"/>
    <w:p>
      <w:pPr>
        <w:pStyle w:val="Heading2"/>
      </w:pPr>
      <w:r>
        <w:t xml:space="preserve">4.2 Structural convergence does not imply dynamical equivalence</w:t>
      </w:r>
    </w:p>
    <w:p>
      <w:pPr>
        <w:pStyle w:val="FirstParagraph"/>
      </w:pPr>
      <w:r>
        <w:t xml:space="preserve">Although ecological dynamics drove networks towards a shared region of topology space, this convergence did not produce equivalent predictions of community stability. Instead, we observed a clear separation between coarse dynamic properties, which were largely explained by realised species richness, and local dynamical properties, which remained strongly dependent on the original reconstruction framework. Structural convergence therefore represents only one dimension of ecological similarity; the dynamical consequences of those structures retain a signature of how the network was assembled.</w:t>
      </w:r>
    </w:p>
    <w:p>
      <w:pPr>
        <w:pStyle w:val="BodyText"/>
      </w:pPr>
      <w:r>
        <w:t xml:space="preserve">This distinction is most apparent when comparing network-level and local stability metrics. Shannon diversity of biomasses, interaction strength skewness, species persistence, and the Gini coefficient of consumption fluxes were explained predominantly by equilibrium richness rather than model identity. This agrees with longstanding ecological theory showing that many aggregate properties of communities emerge from biodiversity itself through biomass partitioning, portfolio effects, and the distribution of energy across trophic levels</w:t>
      </w:r>
      <w:r>
        <w:t xml:space="preserve"> </w:t>
      </w:r>
      <w:r>
        <w:t xml:space="preserve">(Loreau &amp; Mazancourt, 2013; Yodzis, 1981)</w:t>
      </w:r>
      <w:r>
        <w:t xml:space="preserve">. Once ecological dynamics had removed species and reduced networks to similar realised sizes, these macroscopic properties became remarkably insensitive to the initial reconstruction framework.</w:t>
      </w:r>
    </w:p>
    <w:p>
      <w:pPr>
        <w:pStyle w:val="BodyText"/>
      </w:pPr>
      <w:r>
        <w:t xml:space="preserve">Local stability, however, behaves differently. Reactivity was explained almost entirely by the generative model, while resilience remained strongly influenced by model identity even after accounting for realised richness. These metrics quantify how perturbations propagate through communities rather than simply whether communities persist, making them inherently sensitive to the organisation of interaction strengths within the Jacobian matrix</w:t>
      </w:r>
      <w:r>
        <w:t xml:space="preserve"> </w:t>
      </w:r>
      <w:r>
        <w:t xml:space="preserve">(Neubert &amp; Caswell, 1997; Tang et al., 2014)</w:t>
      </w:r>
      <w:r>
        <w:t xml:space="preserve">. Two networks with similar connectance, trophic structure, and species richness can therefore exhibit fundamentally different transient responses if the underlying energetic constraints that generated their interactions differ.</w:t>
      </w:r>
    </w:p>
    <w:p>
      <w:pPr>
        <w:pStyle w:val="BodyText"/>
      </w:pPr>
      <w:r>
        <w:t xml:space="preserve">The contrast between structural and trait-based models illustrates this point. Niche and Cascade networks consistently reached equilibrium, but this should not be interpreted as evidence that they provide the most biologically realistic representation of ecological persistence. Rather, these models inherit body masses only after network construction through a fixed predator-prey mass ratio, meaning that energetic structure is imposed</w:t>
      </w:r>
      <w:r>
        <w:t xml:space="preserve"> </w:t>
      </w:r>
      <w:r>
        <w:rPr>
          <w:i/>
          <w:iCs/>
        </w:rPr>
        <w:t xml:space="preserve">post hoc</w:t>
      </w:r>
      <w:r>
        <w:t xml:space="preserve"> </w:t>
      </w:r>
      <w:r>
        <w:t xml:space="preserve">to satisfy the assumptions of the bioenergetic model</w:t>
      </w:r>
      <w:r>
        <w:t xml:space="preserve"> </w:t>
      </w:r>
      <w:r>
        <w:t xml:space="preserve">(Delmas et al., 2017)</w:t>
      </w:r>
      <w:r>
        <w:t xml:space="preserve">. In contrast, ADBM, ATN, and latent trait networks propagate body mass distributions directly from the reconstruction process into the dynamical model. The resulting interaction strengths, attack rates, handling times, and metabolic rates remain coupled through the biological assumptions embedded in each framework</w:t>
      </w:r>
      <w:r>
        <w:t xml:space="preserve"> </w:t>
      </w:r>
      <w:r>
        <w:t xml:space="preserve">(Brose et al., 2006; Petchey et al., 2008; Schneider et al., 2016)</w:t>
      </w:r>
      <w:r>
        <w:t xml:space="preserve">.</w:t>
      </w:r>
    </w:p>
    <w:p>
      <w:pPr>
        <w:pStyle w:val="BodyText"/>
      </w:pPr>
      <w:r>
        <w:t xml:space="preserve">This difference helps explain the apparent paradox in our results. Trait-based models often supported fewer persistent species than structural models, yet they generated markedly different resilience and reactivity profiles. In particular, latent trait networks combined relatively high resilience with the strongest transient amplification of perturbations, while ADBM networks recovered rapidly despite lower overall persistence. This decoupling of asymptotic stability from transient dynamics has been recognised as a defining property of complex ecological communities where interaction strengths are structured rather than random</w:t>
      </w:r>
      <w:r>
        <w:t xml:space="preserve"> </w:t>
      </w:r>
      <w:r>
        <w:t xml:space="preserve">(Neubert &amp; Caswell, 1997; Tang et al., 2014)</w:t>
      </w:r>
      <w:r>
        <w:t xml:space="preserve">. Consequently, reproducing global food web topology is not sufficient for reproducing ecological dynamics.</w:t>
      </w:r>
    </w:p>
    <w:p>
      <w:pPr>
        <w:pStyle w:val="BodyText"/>
      </w:pPr>
      <w:r>
        <w:t xml:space="preserve">Our results suggest that structural convergence should not be interpreted as evidence that reconstruction frameworks become interchangeable after ecological dynamics. Instead, extinction-driven filtering removes many topological differences while preserving historically contingent differences in how energy flows through the community. The realised network may look similar, but its response to perturbation still reflects the assumptions embedded in the model used to generate it.</w:t>
      </w:r>
    </w:p>
    <w:bookmarkEnd w:id="43"/>
    <w:bookmarkStart w:id="44" w:name="what-makes-a-good-food-web-model"/>
    <w:p>
      <w:pPr>
        <w:pStyle w:val="Heading2"/>
      </w:pPr>
      <w:r>
        <w:t xml:space="preserve">4.3 What makes a good food web model?</w:t>
      </w:r>
    </w:p>
    <w:p>
      <w:pPr>
        <w:pStyle w:val="FirstParagraph"/>
      </w:pPr>
      <w:r>
        <w:t xml:space="preserve">The Niche model transformed food web ecology by demonstrating that simple assembly rules can reproduce the large-scale architecture of empirical trophic networks</w:t>
      </w:r>
      <w:r>
        <w:t xml:space="preserve"> </w:t>
      </w:r>
      <w:r>
        <w:t xml:space="preserve">(Williams &amp; Martinez, 2000)</w:t>
      </w:r>
      <w:r>
        <w:t xml:space="preserve">. Since then, structural generative models have become the default starting point for studies of robustness, extinction cascades, and ecosystem stability</w:t>
      </w:r>
      <w:r>
        <w:t xml:space="preserve"> </w:t>
      </w:r>
      <w:r>
        <w:t xml:space="preserve">(Allesina &amp; Tang, 2012; Curtsdotter et al., 2011)</w:t>
      </w:r>
      <w:r>
        <w:t xml:space="preserve">. Our results do not challenge the value of these models for describing food web topology. Instead, they demonstrate that reproducing network structure is not equivalent to reproducing ecological dynamics.</w:t>
      </w:r>
    </w:p>
    <w:p>
      <w:pPr>
        <w:pStyle w:val="BodyText"/>
      </w:pPr>
      <w:r>
        <w:t xml:space="preserve">The central implication of this study is that food web reconstruction frameworks should be viewed as an embedding of assumptions rather than interchangeable Null models. Each reconstruction framework encodes assumptions about the processes that generate trophic interactions, whether these assumptions arise from niche ordering, statistical constraints, body size scaling, or optimal foraging. Those assumptions influence the interaction strengths, energetic organisation, and transient dynamics that emerge once networks are embedded within a common dynamical framework. Ecological dynamics subsequently filter these initial structures towards a shared region of viable topology, but they do not erase the signature of how those networks were constructed.</w:t>
      </w:r>
    </w:p>
    <w:p>
      <w:pPr>
        <w:pStyle w:val="BodyText"/>
      </w:pPr>
      <w:r>
        <w:t xml:space="preserve">This distinction helps reconcile an apparent tension in the food web literature. Structural models have proven remarkably successful at reproducing global network statistics across ecosystems, while mechanistic models have been developed to explain the biological processes that generate those same interactions</w:t>
      </w:r>
      <w:r>
        <w:t xml:space="preserve"> </w:t>
      </w:r>
      <w:r>
        <w:t xml:space="preserve">(Banville et al., 2023; Brose et al., 2006; Petchey et al., 2008)</w:t>
      </w:r>
      <w:r>
        <w:t xml:space="preserve">. Our results suggest that these approaches answer different ecological questions rather than competing to identify a single</w:t>
      </w:r>
      <w:r>
        <w:t xml:space="preserve"> </w:t>
      </w:r>
      <w:r>
        <w:t xml:space="preserve">‘best’</w:t>
      </w:r>
      <w:r>
        <w:t xml:space="preserve"> </w:t>
      </w:r>
      <w:r>
        <w:t xml:space="preserve">food web model. For questions concerning broad topological organisation, biodiversity patterns, or realised species richness, structural and statistical models may provide appropriate and computationally efficient approximations. In contrast, questions concerning transient dynamics, perturbation responses, resilience, or extinction cascades require reconstruction frameworks that preserve the biological constraints governing interaction strengths and energy flow</w:t>
      </w:r>
      <w:r>
        <w:t xml:space="preserve"> </w:t>
      </w:r>
      <w:r>
        <w:t xml:space="preserve">(Delmas et al., 2017; Poisot et al., 2016; Schneider et al., 2016)</w:t>
      </w:r>
      <w:r>
        <w:t xml:space="preserve">.</w:t>
      </w:r>
    </w:p>
    <w:p>
      <w:pPr>
        <w:pStyle w:val="BodyText"/>
      </w:pPr>
      <w:r>
        <w:t xml:space="preserve">More broadly, these findings support a shift in how food web reconstruction is interpreted. Rather than asking whether one generative model best represents ecological communities, we should ask whether the assumptions embedded within a reconstruction framework are appropriate for the ecological inference being made. As ecological networks are increasingly reconstructed across space, time, and future environmental scenarios</w:t>
      </w:r>
      <w:r>
        <w:t xml:space="preserve"> </w:t>
      </w:r>
      <w:r>
        <w:t xml:space="preserve">(Strydom et al., 2021; Strydom, Dunhill, et al., 2026)</w:t>
      </w:r>
      <w:r>
        <w:t xml:space="preserve">, explicitly matching reconstruction models to inferential goals will become as important as matching dynamical models to ecological processes.</w:t>
      </w:r>
    </w:p>
    <w:p>
      <w:pPr>
        <w:pStyle w:val="BodyText"/>
      </w:pPr>
      <w:r>
        <w:t xml:space="preserve">Ultimately, not everything is a niche model. Different reconstruction frameworks can converge on similar realised network architectures while retaining fundamentally different predictions about how ecological communities respond to perturbation. The choice of generative model is therefore not simply a technical decision about network construction. It is an ecological hypothesis about how communities are assembled and how they persist.</w:t>
      </w:r>
    </w:p>
    <w:bookmarkEnd w:id="44"/>
    <w:bookmarkEnd w:id="45"/>
    <w:bookmarkStart w:id="104" w:name="references"/>
    <w:p>
      <w:pPr>
        <w:pStyle w:val="Heading1"/>
      </w:pPr>
      <w:r>
        <w:t xml:space="preserve">References</w:t>
      </w:r>
    </w:p>
    <w:bookmarkStart w:id="103" w:name="refs"/>
    <w:bookmarkStart w:id="47" w:name="ref-adams2009"/>
    <w:p>
      <w:pPr>
        <w:pStyle w:val="Bibliography"/>
      </w:pPr>
      <w:r>
        <w:t xml:space="preserve">Adams, D. C., &amp; Collyer, M. L. (2009). A GENERAL FRAMEWORK FOR THE ANALYSIS OF PHENOTYPIC TRAJECTORIES IN EVOLUTIONARY STUDIES.</w:t>
      </w:r>
      <w:r>
        <w:t xml:space="preserve"> </w:t>
      </w:r>
      <w:r>
        <w:rPr>
          <w:i/>
          <w:iCs/>
        </w:rPr>
        <w:t xml:space="preserve">Evolution</w:t>
      </w:r>
      <w:r>
        <w:t xml:space="preserve">,</w:t>
      </w:r>
      <w:r>
        <w:t xml:space="preserve"> </w:t>
      </w:r>
      <w:r>
        <w:rPr>
          <w:i/>
          <w:iCs/>
        </w:rPr>
        <w:t xml:space="preserve">63</w:t>
      </w:r>
      <w:r>
        <w:t xml:space="preserve">(5), 1143–1154.</w:t>
      </w:r>
      <w:r>
        <w:t xml:space="preserve"> </w:t>
      </w:r>
      <w:hyperlink r:id="rId46">
        <w:r>
          <w:rPr>
            <w:rStyle w:val="Hyperlink"/>
          </w:rPr>
          <w:t xml:space="preserve">https://doi.org/10.1111/j.1558-5646.2009.00649.x</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ezanson2017"/>
    <w:p>
      <w:pPr>
        <w:pStyle w:val="Bibliography"/>
      </w:pPr>
      <w:r>
        <w:t xml:space="preserve">Bezanson, J., Edelman, A., Karpinski, S., &amp; Shah, V.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2">
        <w:r>
          <w:rPr>
            <w:rStyle w:val="Hyperlink"/>
          </w:rPr>
          <w:t xml:space="preserve">https://doi.org/10.1137/141000671</w:t>
        </w:r>
      </w:hyperlink>
    </w:p>
    <w:bookmarkEnd w:id="53"/>
    <w:bookmarkStart w:id="55"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4">
        <w:r>
          <w:rPr>
            <w:rStyle w:val="Hyperlink"/>
          </w:rPr>
          <w:t xml:space="preserve">https://doi.org/10.1111/oik.02176</w:t>
        </w:r>
      </w:hyperlink>
    </w:p>
    <w:bookmarkEnd w:id="55"/>
    <w:bookmarkStart w:id="57"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6">
        <w:r>
          <w:rPr>
            <w:rStyle w:val="Hyperlink"/>
          </w:rPr>
          <w:t xml:space="preserve">https://doi.org/10.1890/0012-9658(2006)87[2411:CBRINF]2.0.CO;2</w:t>
        </w:r>
      </w:hyperlink>
    </w:p>
    <w:bookmarkEnd w:id="57"/>
    <w:bookmarkStart w:id="59"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8">
        <w:r>
          <w:rPr>
            <w:rStyle w:val="Hyperlink"/>
          </w:rPr>
          <w:t xml:space="preserve">https://www.springer.com/gp/book/9783642837869</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62">
        <w:r>
          <w:rPr>
            <w:rStyle w:val="Hyperlink"/>
          </w:rPr>
          <w:t xml:space="preserve">https://doi.org/10.1111/2041-210X.12713</w:t>
        </w:r>
      </w:hyperlink>
    </w:p>
    <w:bookmarkEnd w:id="63"/>
    <w:bookmarkStart w:id="65"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4">
        <w:r>
          <w:rPr>
            <w:rStyle w:val="Hyperlink"/>
          </w:rPr>
          <w:t xml:space="preserve">https://doi.org/10.1101/2020.06.10.144949</w:t>
        </w:r>
      </w:hyperlink>
    </w:p>
    <w:bookmarkEnd w:id="65"/>
    <w:bookmarkStart w:id="66"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6"/>
    <w:bookmarkStart w:id="68"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7">
        <w:r>
          <w:rPr>
            <w:rStyle w:val="Hyperlink"/>
          </w:rPr>
          <w:t xml:space="preserve">https://doi.org/10.1111/2041-210X.14497</w:t>
        </w:r>
      </w:hyperlink>
    </w:p>
    <w:bookmarkEnd w:id="68"/>
    <w:bookmarkStart w:id="70"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9">
        <w:r>
          <w:rPr>
            <w:rStyle w:val="Hyperlink"/>
          </w:rPr>
          <w:t xml:space="preserve">https://doi.org/10.1111/ele.12073</w:t>
        </w:r>
      </w:hyperlink>
    </w:p>
    <w:bookmarkEnd w:id="70"/>
    <w:bookmarkStart w:id="72"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71">
        <w:r>
          <w:rPr>
            <w:rStyle w:val="Hyperlink"/>
          </w:rPr>
          <w:t xml:space="preserve">https://doi.org/10.2307/j.ctvs32rq4</w:t>
        </w:r>
      </w:hyperlink>
    </w:p>
    <w:bookmarkEnd w:id="72"/>
    <w:bookmarkStart w:id="74"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3">
        <w:r>
          <w:rPr>
            <w:rStyle w:val="Hyperlink"/>
          </w:rPr>
          <w:t xml:space="preserve">https://doi.org/10.1890/0012-9658(1997)078[0653:ATRFMT]2.0.CO;2</w:t>
        </w:r>
      </w:hyperlink>
    </w:p>
    <w:bookmarkEnd w:id="74"/>
    <w:bookmarkStart w:id="76"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5">
        <w:r>
          <w:rPr>
            <w:rStyle w:val="Hyperlink"/>
          </w:rPr>
          <w:t xml:space="preserve">https://doi.org/10.1073/pnas.0710672105</w:t>
        </w:r>
      </w:hyperlink>
    </w:p>
    <w:bookmarkEnd w:id="76"/>
    <w:bookmarkStart w:id="78"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7">
        <w:r>
          <w:rPr>
            <w:rStyle w:val="Hyperlink"/>
          </w:rPr>
          <w:t xml:space="preserve">https://doi.org/10.1111/1365-2435.12799</w:t>
        </w:r>
      </w:hyperlink>
    </w:p>
    <w:bookmarkEnd w:id="78"/>
    <w:bookmarkStart w:id="8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9">
        <w:r>
          <w:rPr>
            <w:rStyle w:val="Hyperlink"/>
          </w:rPr>
          <w:t xml:space="preserve">https://www.R-project.org/</w:t>
        </w:r>
      </w:hyperlink>
    </w:p>
    <w:bookmarkEnd w:id="80"/>
    <w:bookmarkStart w:id="8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81">
        <w:r>
          <w:rPr>
            <w:rStyle w:val="Hyperlink"/>
          </w:rPr>
          <w:t xml:space="preserve">https://doi.org/10.1086/653667</w:t>
        </w:r>
      </w:hyperlink>
    </w:p>
    <w:bookmarkEnd w:id="82"/>
    <w:bookmarkStart w:id="84"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83">
        <w:r>
          <w:rPr>
            <w:rStyle w:val="Hyperlink"/>
          </w:rPr>
          <w:t xml:space="preserve">https://doi.org/10.1126/science.269.5228.1257</w:t>
        </w:r>
      </w:hyperlink>
    </w:p>
    <w:bookmarkEnd w:id="84"/>
    <w:bookmarkStart w:id="86"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5">
        <w:r>
          <w:rPr>
            <w:rStyle w:val="Hyperlink"/>
          </w:rPr>
          <w:t xml:space="preserve">https://doi.org/10.1038/ncomms12718</w:t>
        </w:r>
      </w:hyperlink>
    </w:p>
    <w:bookmarkEnd w:id="86"/>
    <w:bookmarkStart w:id="88"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7">
        <w:r>
          <w:rPr>
            <w:rStyle w:val="Hyperlink"/>
          </w:rPr>
          <w:t xml:space="preserve">https://doi.org/10.1111/j.1461-0248.2009.01407.x</w:t>
        </w:r>
      </w:hyperlink>
    </w:p>
    <w:bookmarkEnd w:id="88"/>
    <w:bookmarkStart w:id="9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89">
        <w:r>
          <w:rPr>
            <w:rStyle w:val="Hyperlink"/>
          </w:rPr>
          <w:t xml:space="preserve">https://doi.org/10.1098/rspb.2007.0571</w:t>
        </w:r>
      </w:hyperlink>
    </w:p>
    <w:bookmarkEnd w:id="90"/>
    <w:bookmarkStart w:id="9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91">
        <w:r>
          <w:rPr>
            <w:rStyle w:val="Hyperlink"/>
          </w:rPr>
          <w:t xml:space="preserve">https://doi.org/10.1098/rstb.2021.0063</w:t>
        </w:r>
      </w:hyperlink>
    </w:p>
    <w:bookmarkEnd w:id="92"/>
    <w:bookmarkStart w:id="94"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93">
        <w:r>
          <w:rPr>
            <w:rStyle w:val="Hyperlink"/>
          </w:rPr>
          <w:t xml:space="preserve">https://doi.org/10.32942/X2JW8K</w:t>
        </w:r>
      </w:hyperlink>
    </w:p>
    <w:bookmarkEnd w:id="94"/>
    <w:bookmarkStart w:id="96"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5">
        <w:r>
          <w:rPr>
            <w:rStyle w:val="Hyperlink"/>
          </w:rPr>
          <w:t xml:space="preserve">https://ecoevorxiv.org/repository/view/13495/</w:t>
        </w:r>
      </w:hyperlink>
    </w:p>
    <w:bookmarkEnd w:id="96"/>
    <w:bookmarkStart w:id="98"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7">
        <w:r>
          <w:rPr>
            <w:rStyle w:val="Hyperlink"/>
          </w:rPr>
          <w:t xml:space="preserve">https://doi.org/10.1111/ele.12312</w:t>
        </w:r>
      </w:hyperlink>
    </w:p>
    <w:bookmarkEnd w:id="98"/>
    <w:bookmarkStart w:id="10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9">
        <w:r>
          <w:rPr>
            <w:rStyle w:val="Hyperlink"/>
          </w:rPr>
          <w:t xml:space="preserve">https://doi.org/10.1038/35004572</w:t>
        </w:r>
      </w:hyperlink>
    </w:p>
    <w:bookmarkEnd w:id="100"/>
    <w:bookmarkStart w:id="102"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101">
        <w:r>
          <w:rPr>
            <w:rStyle w:val="Hyperlink"/>
          </w:rPr>
          <w:t xml:space="preserve">https://doi.org/10.1038/289674a0</w:t>
        </w:r>
      </w:hyperlink>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structure, different stability: The lasting legacy of food web reconstruction</dc:title>
  <dc:creator>Tanya Strydom; Xiaoxiao Li; Alain Danet; Laura Sophia Landon Blake; Andrew P. Beckerman; Dylan Z. Childs</dc:creator>
  <cp:keywords>food web reconstruction, bioenergetic dynamics, network stability, ecological networks, generative models, community persistence</cp:keywords>
  <dcterms:created xsi:type="dcterms:W3CDTF">2026-10-28T12:35:42Z</dcterms:created>
  <dcterms:modified xsi:type="dcterms:W3CDTF">2026-10-28T12:35:42Z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2026-10-28</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