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8.png" ContentType="image/png"/>
  <Override PartName="/word/media/rId37.png" ContentType="image/png"/>
  <Override PartName="/word/media/rId3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 Food Web Reconstruction Frameworks Converge in Structure but Diverge in Stability</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2026-08-24</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community stability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priors about community structure that persist into predictions of ecosystem dynamics? Recent work has shown that applying different reconstruction frameworks to identical species pools produces markedly different food web topologies and substantial turnover in inferred trophic interactions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community stability also converge, or do they retain a signature of the original generative model?</w:t>
      </w:r>
    </w:p>
    <w:bookmarkEnd w:id="9"/>
    <w:bookmarkStart w:id="18"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set to range between</w:t>
      </w:r>
      <w:r>
        <w:t xml:space="preserve"> </w:t>
      </w:r>
      <w:r>
        <w:rPr>
          <w:b/>
          <w:bCs/>
        </w:rPr>
        <w:t xml:space="preserve">XXX</w:t>
      </w:r>
      <w:r>
        <w:t xml:space="preserve">,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This could include a table that describes what the metrics</w:t>
      </w:r>
      <w:r>
        <w:t xml:space="preserve"> </w:t>
      </w:r>
      <w:r>
        <w:t xml:space="preserve">‘mean’</w:t>
      </w:r>
      <w:r>
        <w:t xml:space="preserve"> </w:t>
      </w:r>
      <w:r>
        <w:t xml:space="preserve">but maybe we can just lean on the</w:t>
      </w:r>
      <w:r>
        <w:t xml:space="preserve"> </w:t>
      </w:r>
      <w:r>
        <w:t xml:space="preserve">‘usual template’</w:t>
      </w:r>
      <w:r>
        <w:t xml:space="preserve">, maybe some of the feature selection stuff.</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i/>
          <w:iCs/>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br/>
      </w: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 10−6.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 [REF], where each network was represented as a point in a multivariate topology space defined by the suite of structural network metrics [TABLE].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(centroids) were calculated for each network reconstruction model to summarise their overall direction of change. Pairwise angular differences between trajectory vectors were then calculated using cosine similarity to quantify whether different reconstruction models exhibited similar directions of topological change, independent of the magnitude of displacement.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Start w:id="17" w:name="experimental-design"/>
    <w:p>
      <w:pPr>
        <w:pStyle w:val="Heading2"/>
      </w:pPr>
      <w:r>
        <w:t xml:space="preserve">2.5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7"/>
    <w:bookmarkEnd w:id="18"/>
    <w:bookmarkStart w:id="42" w:name="results"/>
    <w:p>
      <w:pPr>
        <w:pStyle w:val="Heading1"/>
      </w:pPr>
      <w:r>
        <w:t xml:space="preserve">3. Results</w:t>
      </w:r>
    </w:p>
    <w:bookmarkStart w:id="23"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apparent competition (S5),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p>
      <w:pPr>
        <w:pStyle w:val="BlockText"/>
      </w:pPr>
      <w:r>
        <w:t xml:space="preserve">Discussion point: There is a</w:t>
      </w:r>
      <w:r>
        <w:t xml:space="preserve"> </w:t>
      </w:r>
      <w:r>
        <w:t xml:space="preserve">‘selection’</w:t>
      </w:r>
      <w:r>
        <w:t xml:space="preserve"> </w:t>
      </w:r>
      <w:r>
        <w:t xml:space="preserve">for structure since we see networks moving towards a similar end point. Here we can see that its links and indirect interactions - probably resulting from the loss of species specifically associated with these motifs. Something about how although this is a</w:t>
      </w:r>
      <w:r>
        <w:t xml:space="preserve"> </w:t>
      </w:r>
      <w:r>
        <w:t xml:space="preserve">‘dynamic system’</w:t>
      </w:r>
      <w:r>
        <w:t xml:space="preserve"> </w:t>
      </w:r>
      <w:r>
        <w:t xml:space="preserve">we must remember that there is no rewiring happening so structural changes are all being driven by the loss of specific species (hence the link and motif changes)</w:t>
      </w:r>
    </w:p>
    <w:tbl>
      <w:tblPr>
        <w:tblStyle w:val="Table"/>
        <w:tblW w:type="pct" w:w="5000"/>
        <w:tblLayout w:type="fixed"/>
        <w:tblLook w:firstRow="0" w:lastRow="0" w:firstColumn="0" w:lastColumn="0" w:noHBand="0" w:noVBand="0" w:val="0000"/>
      </w:tblPr>
      <w:tblGrid>
        <w:gridCol w:w="7920"/>
      </w:tblGrid>
      <w:tr>
        <w:tc>
          <w:tcPr/>
          <w:bookmarkStart w:id="22" w:name="fig-PTA"/>
          <w:p>
            <w:pPr>
              <w:pStyle w:val="Compact"/>
              <w:jc w:val="center"/>
            </w:pPr>
            <w:r>
              <w:drawing>
                <wp:inline>
                  <wp:extent cx="5334000" cy="6400800"/>
                  <wp:effectExtent b="0" l="0" r="0" t="0"/>
                  <wp:docPr descr="" title="" id="20" name="Picture"/>
                  <a:graphic>
                    <a:graphicData uri="http://schemas.openxmlformats.org/drawingml/2006/picture">
                      <pic:pic>
                        <pic:nvPicPr>
                          <pic:cNvPr descr="figures/PTA.png" id="21" name="Picture"/>
                          <pic:cNvPicPr>
                            <a:picLocks noChangeArrowheads="1" noChangeAspect="1"/>
                          </pic:cNvPicPr>
                        </pic:nvPicPr>
                        <pic:blipFill>
                          <a:blip r:embed="rId1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90%[CHECK]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2"/>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lockText"/>
      </w:pPr>
      <w:r>
        <w:t xml:space="preserve">Discussion point: Given that this is associated with the two competition motifs (S4, S5) it links to the indirect effects component - and we are seeing a</w:t>
      </w:r>
      <w:r>
        <w:t xml:space="preserve"> </w:t>
      </w:r>
      <w:r>
        <w:t xml:space="preserve">‘pruning’</w:t>
      </w:r>
      <w:r>
        <w:t xml:space="preserve"> </w:t>
      </w:r>
      <w:r>
        <w:t xml:space="preserve">happening at these tri-trophic components/units. Which kind of agrees with the Curstdottir justification for dynamic extinctions and also Stouffer’s work about motifs and robustness(?) adjacent stuff.</w:t>
      </w:r>
    </w:p>
    <w:p>
      <w:pPr>
        <w:pStyle w:val="FirstParagraph"/>
      </w:pPr>
      <w:r>
        <w:t xml:space="preserve">Comparison of trajectory vectors demonstrated that most models exhibited small angular differences, indicating that ecological dynamics produced similar directions of topological change across reconstruction methods. Trajectory lengths varied across the 5 PCs ranged from with the Cascade models exhibiting the greatest overall restructuring and Random models the least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3"/>
    <w:bookmarkStart w:id="32"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able to reach an equilibrium state.</w:t>
      </w:r>
    </w:p>
    <w:p>
      <w:pPr>
        <w:pStyle w:val="BlockText"/>
      </w:pPr>
      <w:r>
        <w:t xml:space="preserve">Discussion point - few random models reach equilibrium but those that do do not change a lot - maybe this implies that there is an</w:t>
      </w:r>
      <w:r>
        <w:t xml:space="preserve"> </w:t>
      </w:r>
      <w:r>
        <w:t xml:space="preserve">‘optimal structure’</w:t>
      </w:r>
      <w:r>
        <w:t xml:space="preserve"> </w:t>
      </w:r>
      <w:r>
        <w:t xml:space="preserve">for those networks whereas niche and cascade (100% success) have a bit more</w:t>
      </w:r>
      <w:r>
        <w:t xml:space="preserve"> </w:t>
      </w:r>
      <w:r>
        <w:t xml:space="preserve">‘relaxed’</w:t>
      </w:r>
      <w:r>
        <w:t xml:space="preserve"> </w:t>
      </w:r>
      <w:r>
        <w:t xml:space="preserve">rules as to how far away you can to be from the</w:t>
      </w:r>
      <w:r>
        <w:t xml:space="preserve"> </w:t>
      </w:r>
      <w:r>
        <w:t xml:space="preserve">‘optimum’</w:t>
      </w:r>
    </w:p>
    <w:tbl>
      <w:tblPr>
        <w:tblStyle w:val="Table"/>
        <w:tblW w:type="pct" w:w="5000"/>
        <w:tblLayout w:type="fixed"/>
        <w:tblLook w:firstRow="0" w:lastRow="0" w:firstColumn="0" w:lastColumn="0" w:noHBand="0" w:noVBand="0" w:val="0000"/>
      </w:tblPr>
      <w:tblGrid>
        <w:gridCol w:w="7920"/>
      </w:tblGrid>
      <w:tr>
        <w:tc>
          <w:tcPr/>
          <w:bookmarkStart w:id="27" w:name="fig-stability_endpnts"/>
          <w:p>
            <w:pPr>
              <w:pStyle w:val="Compact"/>
              <w:jc w:val="center"/>
            </w:pPr>
            <w:r>
              <w:drawing>
                <wp:inline>
                  <wp:extent cx="5334000" cy="3556000"/>
                  <wp:effectExtent b="0" l="0" r="0" t="0"/>
                  <wp:docPr descr="" title="" id="25" name="Picture"/>
                  <a:graphic>
                    <a:graphicData uri="http://schemas.openxmlformats.org/drawingml/2006/picture">
                      <pic:pic>
                        <pic:nvPicPr>
                          <pic:cNvPr descr="figures/stability_endpoints.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7"/>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 for smaller networks is seems a bit more</w:t>
      </w:r>
      <w:r>
        <w:t xml:space="preserve"> </w:t>
      </w:r>
      <w:r>
        <w:t xml:space="preserve">‘random’</w:t>
      </w:r>
    </w:p>
    <w:p>
      <w:pPr>
        <w:pStyle w:val="BlockText"/>
      </w:pPr>
      <w:r>
        <w:t xml:space="preserve">Discussion point - if we look at the downsampling manuscript the data there seems to suggest that the END is very sensitive to the body size specification (and deviation from the predator prey) which might suggest that these networks collapse because of that. HOWEVER the large networks are the ones where we see instability (non-equilibrium) more than collapse suggesting that non-equilibrium is a product of richness and structural</w:t>
      </w:r>
      <w:r>
        <w:t xml:space="preserve"> </w:t>
      </w:r>
      <w:r>
        <w:t xml:space="preserve">‘deviation’</w:t>
      </w:r>
      <w:r>
        <w:t xml:space="preserve">. Worth pointing out that in general the failed networks are on the outer limits of the structure same (but not obviously so) which might suggest that these are also the networks that are more sensitive to the emergent property (body size) stuff? So structurally robust</w:t>
      </w:r>
      <w:r>
        <w:t xml:space="preserve"> </w:t>
      </w:r>
      <w:r>
        <w:t xml:space="preserve">‘zone’</w:t>
      </w:r>
      <w:r>
        <w:t xml:space="preserve"> </w:t>
      </w:r>
      <w:r>
        <w:t xml:space="preserve">and then as soon as you start moving away from that you become at risk of</w:t>
      </w:r>
      <w:r>
        <w:t xml:space="preserve"> </w:t>
      </w:r>
      <w:r>
        <w:t xml:space="preserve">‘instability’</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fig-failed_pca"/>
          <w:p>
            <w:pPr>
              <w:pStyle w:val="Compact"/>
              <w:jc w:val="center"/>
            </w:pPr>
            <w:r>
              <w:drawing>
                <wp:inline>
                  <wp:extent cx="5334000" cy="3810000"/>
                  <wp:effectExtent b="0" l="0" r="0" t="0"/>
                  <wp:docPr descr="" title="" id="29" name="Picture"/>
                  <a:graphic>
                    <a:graphicData uri="http://schemas.openxmlformats.org/drawingml/2006/picture">
                      <pic:pic>
                        <pic:nvPicPr>
                          <pic:cNvPr descr="figures/PTA_failed_networks.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w:t>
            </w:r>
            <w:r>
              <w:t xml:space="preserve"> </w:t>
            </w:r>
            <w:r>
              <w:t xml:space="preserve">‘into’</w:t>
            </w:r>
            <w:r>
              <w:t xml:space="preserve"> </w:t>
            </w:r>
            <w:r>
              <w:t xml:space="preserve">the PCA space. Pale arrows show the trajectory of each individual network, dark arrows the mean trajectory. Note we do not plot networks that</w:t>
            </w:r>
            <w:r>
              <w:t xml:space="preserve"> </w:t>
            </w:r>
            <w:r>
              <w:t xml:space="preserve">‘failed’</w:t>
            </w:r>
            <w:r>
              <w:t xml:space="preserve"> </w:t>
            </w:r>
            <w:r>
              <w:t xml:space="preserve">due to solver issues, additionally we omit the Niche and Cascade models as they have no</w:t>
            </w:r>
            <w:r>
              <w:t xml:space="preserve"> </w:t>
            </w:r>
            <w:r>
              <w:t xml:space="preserve">‘failed’</w:t>
            </w:r>
            <w:r>
              <w:t xml:space="preserve"> </w:t>
            </w:r>
            <w:r>
              <w:t xml:space="preserve">networks</w:t>
            </w:r>
          </w:p>
          <w:bookmarkEnd w:id="31"/>
        </w:tc>
      </w:tr>
    </w:tbl>
    <w:bookmarkEnd w:id="32"/>
    <w:bookmarkStart w:id="41"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6" w:name="fig-rel_contribution"/>
          <w:p>
            <w:pPr>
              <w:pStyle w:val="Compact"/>
              <w:jc w:val="center"/>
            </w:pPr>
            <w:r>
              <w:drawing>
                <wp:inline>
                  <wp:extent cx="5334000" cy="3333750"/>
                  <wp:effectExtent b="0" l="0" r="0" t="0"/>
                  <wp:docPr descr="" title="" id="34" name="Picture"/>
                  <a:graphic>
                    <a:graphicData uri="http://schemas.openxmlformats.org/drawingml/2006/picture">
                      <pic:pic>
                        <pic:nvPicPr>
                          <pic:cNvPr descr="figures/stability_effect_size_model_vs_richness.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6"/>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40" w:name="fig-emmeans"/>
          <w:p>
            <w:pPr>
              <w:pStyle w:val="Compact"/>
              <w:jc w:val="center"/>
            </w:pPr>
            <w:r>
              <w:drawing>
                <wp:inline>
                  <wp:extent cx="5334000" cy="4445000"/>
                  <wp:effectExtent b="0" l="0" r="0" t="0"/>
                  <wp:docPr descr="" title="" id="38" name="Picture"/>
                  <a:graphic>
                    <a:graphicData uri="http://schemas.openxmlformats.org/drawingml/2006/picture">
                      <pic:pic>
                        <pic:nvPicPr>
                          <pic:cNvPr descr="figures/stability_adjusted_model_means.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40"/>
        </w:tc>
      </w:tr>
    </w:tbl>
    <w:bookmarkEnd w:id="41"/>
    <w:bookmarkEnd w:id="42"/>
    <w:bookmarkStart w:id="46" w:name="discussion"/>
    <w:p>
      <w:pPr>
        <w:pStyle w:val="Heading1"/>
      </w:pPr>
      <w:r>
        <w:t xml:space="preserve">4. Discussion</w:t>
      </w:r>
    </w:p>
    <w:bookmarkStart w:id="43"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apparent competition (S5) and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region of possible network architectures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historical assumptions embedded in the reconstruction framework continue to influence stability after structural convergence.</w:t>
      </w:r>
    </w:p>
    <w:bookmarkEnd w:id="43"/>
    <w:bookmarkStart w:id="44"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told a different story.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 post hoc to satisfy the assumptions of the bioenergetic model</w:t>
      </w:r>
      <w:r>
        <w:t xml:space="preserve"> </w:t>
      </w:r>
      <w:r>
        <w:t xml:space="preserve">(Delmas et al., 2017)</w:t>
      </w:r>
      <w:r>
        <w:t xml:space="preserve">. In contrast, ADBM, ATN, and latent trait networks propagate body-size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therefore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4"/>
    <w:bookmarkStart w:id="45"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t>
      </w:r>
      <w:r>
        <w:rPr>
          <w:b/>
          <w:bCs/>
        </w:rPr>
        <w:t xml:space="preserve">williams200?</w:t>
      </w:r>
      <w:r>
        <w:t xml:space="preserve">)</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historical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5"/>
    <w:bookmarkEnd w:id="46"/>
    <w:bookmarkStart w:id="99" w:name="references"/>
    <w:p>
      <w:pPr>
        <w:pStyle w:val="Heading1"/>
      </w:pPr>
      <w:r>
        <w:t xml:space="preserve">References</w:t>
      </w:r>
    </w:p>
    <w:bookmarkStart w:id="98" w:name="refs"/>
    <w:bookmarkStart w:id="48"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7">
        <w:r>
          <w:rPr>
            <w:rStyle w:val="Hyperlink"/>
          </w:rPr>
          <w:t xml:space="preserve">https://doi.org/10.1038/nature10832</w:t>
        </w:r>
      </w:hyperlink>
    </w:p>
    <w:bookmarkEnd w:id="48"/>
    <w:bookmarkStart w:id="50"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49">
        <w:r>
          <w:rPr>
            <w:rStyle w:val="Hyperlink"/>
          </w:rPr>
          <w:t xml:space="preserve">https://doi.org/10.1371/journal.pcbi.1011458</w:t>
        </w:r>
      </w:hyperlink>
    </w:p>
    <w:bookmarkEnd w:id="50"/>
    <w:bookmarkStart w:id="52"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1">
        <w:r>
          <w:rPr>
            <w:rStyle w:val="Hyperlink"/>
          </w:rPr>
          <w:t xml:space="preserve">https://doi.org/10.1111/oik.02176</w:t>
        </w:r>
      </w:hyperlink>
    </w:p>
    <w:bookmarkEnd w:id="52"/>
    <w:bookmarkStart w:id="54"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3">
        <w:r>
          <w:rPr>
            <w:rStyle w:val="Hyperlink"/>
          </w:rPr>
          <w:t xml:space="preserve">https://doi.org/10.1890/0012-9658(2006)87[2411:CBRINF]2.0.CO;2</w:t>
        </w:r>
      </w:hyperlink>
    </w:p>
    <w:bookmarkEnd w:id="54"/>
    <w:bookmarkStart w:id="56"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5">
        <w:r>
          <w:rPr>
            <w:rStyle w:val="Hyperlink"/>
          </w:rPr>
          <w:t xml:space="preserve">https://www.springer.com/gp/book/9783642837869</w:t>
        </w:r>
      </w:hyperlink>
    </w:p>
    <w:bookmarkEnd w:id="56"/>
    <w:bookmarkStart w:id="58"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7">
        <w:r>
          <w:rPr>
            <w:rStyle w:val="Hyperlink"/>
          </w:rPr>
          <w:t xml:space="preserve">https://doi.org/10.1016/j.baae.2011.09.008</w:t>
        </w:r>
      </w:hyperlink>
    </w:p>
    <w:bookmarkEnd w:id="58"/>
    <w:bookmarkStart w:id="60"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9">
        <w:r>
          <w:rPr>
            <w:rStyle w:val="Hyperlink"/>
          </w:rPr>
          <w:t xml:space="preserve">https://doi.org/10.1111/2041-210X.12713</w:t>
        </w:r>
      </w:hyperlink>
    </w:p>
    <w:bookmarkEnd w:id="60"/>
    <w:bookmarkStart w:id="62"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1">
        <w:r>
          <w:rPr>
            <w:rStyle w:val="Hyperlink"/>
          </w:rPr>
          <w:t xml:space="preserve">https://doi.org/10.1101/2020.06.10.144949</w:t>
        </w:r>
      </w:hyperlink>
    </w:p>
    <w:bookmarkEnd w:id="62"/>
    <w:bookmarkStart w:id="63"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3"/>
    <w:bookmarkStart w:id="65"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4">
        <w:r>
          <w:rPr>
            <w:rStyle w:val="Hyperlink"/>
          </w:rPr>
          <w:t xml:space="preserve">https://doi.org/10.1111/2041-210X.14497</w:t>
        </w:r>
      </w:hyperlink>
    </w:p>
    <w:bookmarkEnd w:id="65"/>
    <w:bookmarkStart w:id="67"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6">
        <w:r>
          <w:rPr>
            <w:rStyle w:val="Hyperlink"/>
          </w:rPr>
          <w:t xml:space="preserve">https://doi.org/10.1111/ele.12073</w:t>
        </w:r>
      </w:hyperlink>
    </w:p>
    <w:bookmarkEnd w:id="67"/>
    <w:bookmarkStart w:id="69"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68">
        <w:r>
          <w:rPr>
            <w:rStyle w:val="Hyperlink"/>
          </w:rPr>
          <w:t xml:space="preserve">https://doi.org/10.2307/j.ctvs32rq4</w:t>
        </w:r>
      </w:hyperlink>
    </w:p>
    <w:bookmarkEnd w:id="69"/>
    <w:bookmarkStart w:id="71"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0">
        <w:r>
          <w:rPr>
            <w:rStyle w:val="Hyperlink"/>
          </w:rPr>
          <w:t xml:space="preserve">https://doi.org/10.1890/0012-9658(1997)078[0653:ATRFMT]2.0.CO;2</w:t>
        </w:r>
      </w:hyperlink>
    </w:p>
    <w:bookmarkEnd w:id="71"/>
    <w:bookmarkStart w:id="73"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2">
        <w:r>
          <w:rPr>
            <w:rStyle w:val="Hyperlink"/>
          </w:rPr>
          <w:t xml:space="preserve">https://doi.org/10.1073/pnas.0710672105</w:t>
        </w:r>
      </w:hyperlink>
    </w:p>
    <w:bookmarkEnd w:id="73"/>
    <w:bookmarkStart w:id="75"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4">
        <w:r>
          <w:rPr>
            <w:rStyle w:val="Hyperlink"/>
          </w:rPr>
          <w:t xml:space="preserve">https://doi.org/10.1111/1365-2435.12799</w:t>
        </w:r>
      </w:hyperlink>
    </w:p>
    <w:bookmarkEnd w:id="75"/>
    <w:bookmarkStart w:id="77"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76">
        <w:r>
          <w:rPr>
            <w:rStyle w:val="Hyperlink"/>
          </w:rPr>
          <w:t xml:space="preserve">https://doi.org/10.1086/653667</w:t>
        </w:r>
      </w:hyperlink>
    </w:p>
    <w:bookmarkEnd w:id="77"/>
    <w:bookmarkStart w:id="79"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78">
        <w:r>
          <w:rPr>
            <w:rStyle w:val="Hyperlink"/>
          </w:rPr>
          <w:t xml:space="preserve">https://doi.org/10.1126/science.269.5228.1257</w:t>
        </w:r>
      </w:hyperlink>
    </w:p>
    <w:bookmarkEnd w:id="79"/>
    <w:bookmarkStart w:id="81"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0">
        <w:r>
          <w:rPr>
            <w:rStyle w:val="Hyperlink"/>
          </w:rPr>
          <w:t xml:space="preserve">https://doi.org/10.1038/ncomms12718</w:t>
        </w:r>
      </w:hyperlink>
    </w:p>
    <w:bookmarkEnd w:id="81"/>
    <w:bookmarkStart w:id="83"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2">
        <w:r>
          <w:rPr>
            <w:rStyle w:val="Hyperlink"/>
          </w:rPr>
          <w:t xml:space="preserve">https://doi.org/10.1111/j.1461-0248.2009.01407.x</w:t>
        </w:r>
      </w:hyperlink>
    </w:p>
    <w:bookmarkEnd w:id="83"/>
    <w:bookmarkStart w:id="85"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4">
        <w:r>
          <w:rPr>
            <w:rStyle w:val="Hyperlink"/>
          </w:rPr>
          <w:t xml:space="preserve">https://doi.org/10.1098/rspb.2007.0571</w:t>
        </w:r>
      </w:hyperlink>
    </w:p>
    <w:bookmarkEnd w:id="85"/>
    <w:bookmarkStart w:id="87"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86">
        <w:r>
          <w:rPr>
            <w:rStyle w:val="Hyperlink"/>
          </w:rPr>
          <w:t xml:space="preserve">https://doi.org/10.1098/rstb.2021.0063</w:t>
        </w:r>
      </w:hyperlink>
    </w:p>
    <w:bookmarkEnd w:id="87"/>
    <w:bookmarkStart w:id="89"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88">
        <w:r>
          <w:rPr>
            <w:rStyle w:val="Hyperlink"/>
          </w:rPr>
          <w:t xml:space="preserve">https://doi.org/10.32942/X2JW8K</w:t>
        </w:r>
      </w:hyperlink>
    </w:p>
    <w:bookmarkEnd w:id="89"/>
    <w:bookmarkStart w:id="91"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0">
        <w:r>
          <w:rPr>
            <w:rStyle w:val="Hyperlink"/>
          </w:rPr>
          <w:t xml:space="preserve">https://ecoevorxiv.org/repository/view/13495/</w:t>
        </w:r>
      </w:hyperlink>
    </w:p>
    <w:bookmarkEnd w:id="91"/>
    <w:bookmarkStart w:id="93"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2">
        <w:r>
          <w:rPr>
            <w:rStyle w:val="Hyperlink"/>
          </w:rPr>
          <w:t xml:space="preserve">https://doi.org/10.1111/ele.12312</w:t>
        </w:r>
      </w:hyperlink>
    </w:p>
    <w:bookmarkEnd w:id="93"/>
    <w:bookmarkStart w:id="95"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4">
        <w:r>
          <w:rPr>
            <w:rStyle w:val="Hyperlink"/>
          </w:rPr>
          <w:t xml:space="preserve">https://doi.org/10.1038/35004572</w:t>
        </w:r>
      </w:hyperlink>
    </w:p>
    <w:bookmarkEnd w:id="95"/>
    <w:bookmarkStart w:id="97"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96">
        <w:r>
          <w:rPr>
            <w:rStyle w:val="Hyperlink"/>
          </w:rPr>
          <w:t xml:space="preserve">https://doi.org/10.1038/289674a0</w:t>
        </w:r>
      </w:hyperlink>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hyperlink" Id="rId57" Target="https://doi.org/10.1016/j.baae.2011.09.008" TargetMode="External" /><Relationship Type="http://schemas.openxmlformats.org/officeDocument/2006/relationships/hyperlink" Id="rId96" Target="https://doi.org/10.1038/289674a0" TargetMode="External" /><Relationship Type="http://schemas.openxmlformats.org/officeDocument/2006/relationships/hyperlink" Id="rId94" Target="https://doi.org/10.1038/35004572" TargetMode="External" /><Relationship Type="http://schemas.openxmlformats.org/officeDocument/2006/relationships/hyperlink" Id="rId47" Target="https://doi.org/10.1038/nature10832" TargetMode="External" /><Relationship Type="http://schemas.openxmlformats.org/officeDocument/2006/relationships/hyperlink" Id="rId80" Target="https://doi.org/10.1038/ncomms12718" TargetMode="External" /><Relationship Type="http://schemas.openxmlformats.org/officeDocument/2006/relationships/hyperlink" Id="rId72" Target="https://doi.org/10.1073/pnas.0710672105" TargetMode="External" /><Relationship Type="http://schemas.openxmlformats.org/officeDocument/2006/relationships/hyperlink" Id="rId76" Target="https://doi.org/10.1086/653667" TargetMode="External" /><Relationship Type="http://schemas.openxmlformats.org/officeDocument/2006/relationships/hyperlink" Id="rId84" Target="https://doi.org/10.1098/rspb.2007.0571" TargetMode="External" /><Relationship Type="http://schemas.openxmlformats.org/officeDocument/2006/relationships/hyperlink" Id="rId86" Target="https://doi.org/10.1098/rstb.2021.0063" TargetMode="External" /><Relationship Type="http://schemas.openxmlformats.org/officeDocument/2006/relationships/hyperlink" Id="rId61" Target="https://doi.org/10.1101/2020.06.10.144949" TargetMode="External" /><Relationship Type="http://schemas.openxmlformats.org/officeDocument/2006/relationships/hyperlink" Id="rId74" Target="https://doi.org/10.1111/1365-2435.12799" TargetMode="External" /><Relationship Type="http://schemas.openxmlformats.org/officeDocument/2006/relationships/hyperlink" Id="rId59" Target="https://doi.org/10.1111/2041-210X.12713" TargetMode="External" /><Relationship Type="http://schemas.openxmlformats.org/officeDocument/2006/relationships/hyperlink" Id="rId64" Target="https://doi.org/10.1111/2041-210X.14497" TargetMode="External" /><Relationship Type="http://schemas.openxmlformats.org/officeDocument/2006/relationships/hyperlink" Id="rId66" Target="https://doi.org/10.1111/ele.12073" TargetMode="External" /><Relationship Type="http://schemas.openxmlformats.org/officeDocument/2006/relationships/hyperlink" Id="rId92" Target="https://doi.org/10.1111/ele.12312" TargetMode="External" /><Relationship Type="http://schemas.openxmlformats.org/officeDocument/2006/relationships/hyperlink" Id="rId82" Target="https://doi.org/10.1111/j.1461-0248.2009.01407.x" TargetMode="External" /><Relationship Type="http://schemas.openxmlformats.org/officeDocument/2006/relationships/hyperlink" Id="rId51" Target="https://doi.org/10.1111/oik.02176" TargetMode="External" /><Relationship Type="http://schemas.openxmlformats.org/officeDocument/2006/relationships/hyperlink" Id="rId78" Target="https://doi.org/10.1126/science.269.5228.1257" TargetMode="External" /><Relationship Type="http://schemas.openxmlformats.org/officeDocument/2006/relationships/hyperlink" Id="rId49" Target="https://doi.org/10.1371/journal.pcbi.1011458" TargetMode="External" /><Relationship Type="http://schemas.openxmlformats.org/officeDocument/2006/relationships/hyperlink" Id="rId70" Target="https://doi.org/10.1890/0012-9658(1997)078[0653:ATRFMT]2.0.CO;2" TargetMode="External" /><Relationship Type="http://schemas.openxmlformats.org/officeDocument/2006/relationships/hyperlink" Id="rId53" Target="https://doi.org/10.1890/0012-9658(2006)87[2411:CBRINF]2.0.CO;2" TargetMode="External" /><Relationship Type="http://schemas.openxmlformats.org/officeDocument/2006/relationships/hyperlink" Id="rId68" Target="https://doi.org/10.2307/j.ctvs32rq4" TargetMode="External" /><Relationship Type="http://schemas.openxmlformats.org/officeDocument/2006/relationships/hyperlink" Id="rId88" Target="https://doi.org/10.32942/X2JW8K" TargetMode="External" /><Relationship Type="http://schemas.openxmlformats.org/officeDocument/2006/relationships/hyperlink" Id="rId90" Target="https://ecoevorxiv.org/repository/view/13495/" TargetMode="External" /><Relationship Type="http://schemas.openxmlformats.org/officeDocument/2006/relationships/hyperlink" Id="rId5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16/j.baae.2011.09.008" TargetMode="External" /><Relationship Type="http://schemas.openxmlformats.org/officeDocument/2006/relationships/hyperlink" Id="rId96" Target="https://doi.org/10.1038/289674a0" TargetMode="External" /><Relationship Type="http://schemas.openxmlformats.org/officeDocument/2006/relationships/hyperlink" Id="rId94" Target="https://doi.org/10.1038/35004572" TargetMode="External" /><Relationship Type="http://schemas.openxmlformats.org/officeDocument/2006/relationships/hyperlink" Id="rId47" Target="https://doi.org/10.1038/nature10832" TargetMode="External" /><Relationship Type="http://schemas.openxmlformats.org/officeDocument/2006/relationships/hyperlink" Id="rId80" Target="https://doi.org/10.1038/ncomms12718" TargetMode="External" /><Relationship Type="http://schemas.openxmlformats.org/officeDocument/2006/relationships/hyperlink" Id="rId72" Target="https://doi.org/10.1073/pnas.0710672105" TargetMode="External" /><Relationship Type="http://schemas.openxmlformats.org/officeDocument/2006/relationships/hyperlink" Id="rId76" Target="https://doi.org/10.1086/653667" TargetMode="External" /><Relationship Type="http://schemas.openxmlformats.org/officeDocument/2006/relationships/hyperlink" Id="rId84" Target="https://doi.org/10.1098/rspb.2007.0571" TargetMode="External" /><Relationship Type="http://schemas.openxmlformats.org/officeDocument/2006/relationships/hyperlink" Id="rId86" Target="https://doi.org/10.1098/rstb.2021.0063" TargetMode="External" /><Relationship Type="http://schemas.openxmlformats.org/officeDocument/2006/relationships/hyperlink" Id="rId61" Target="https://doi.org/10.1101/2020.06.10.144949" TargetMode="External" /><Relationship Type="http://schemas.openxmlformats.org/officeDocument/2006/relationships/hyperlink" Id="rId74" Target="https://doi.org/10.1111/1365-2435.12799" TargetMode="External" /><Relationship Type="http://schemas.openxmlformats.org/officeDocument/2006/relationships/hyperlink" Id="rId59" Target="https://doi.org/10.1111/2041-210X.12713" TargetMode="External" /><Relationship Type="http://schemas.openxmlformats.org/officeDocument/2006/relationships/hyperlink" Id="rId64" Target="https://doi.org/10.1111/2041-210X.14497" TargetMode="External" /><Relationship Type="http://schemas.openxmlformats.org/officeDocument/2006/relationships/hyperlink" Id="rId66" Target="https://doi.org/10.1111/ele.12073" TargetMode="External" /><Relationship Type="http://schemas.openxmlformats.org/officeDocument/2006/relationships/hyperlink" Id="rId92" Target="https://doi.org/10.1111/ele.12312" TargetMode="External" /><Relationship Type="http://schemas.openxmlformats.org/officeDocument/2006/relationships/hyperlink" Id="rId82" Target="https://doi.org/10.1111/j.1461-0248.2009.01407.x" TargetMode="External" /><Relationship Type="http://schemas.openxmlformats.org/officeDocument/2006/relationships/hyperlink" Id="rId51" Target="https://doi.org/10.1111/oik.02176" TargetMode="External" /><Relationship Type="http://schemas.openxmlformats.org/officeDocument/2006/relationships/hyperlink" Id="rId78" Target="https://doi.org/10.1126/science.269.5228.1257" TargetMode="External" /><Relationship Type="http://schemas.openxmlformats.org/officeDocument/2006/relationships/hyperlink" Id="rId49" Target="https://doi.org/10.1371/journal.pcbi.1011458" TargetMode="External" /><Relationship Type="http://schemas.openxmlformats.org/officeDocument/2006/relationships/hyperlink" Id="rId70" Target="https://doi.org/10.1890/0012-9658(1997)078[0653:ATRFMT]2.0.CO;2" TargetMode="External" /><Relationship Type="http://schemas.openxmlformats.org/officeDocument/2006/relationships/hyperlink" Id="rId53" Target="https://doi.org/10.1890/0012-9658(2006)87[2411:CBRINF]2.0.CO;2" TargetMode="External" /><Relationship Type="http://schemas.openxmlformats.org/officeDocument/2006/relationships/hyperlink" Id="rId68" Target="https://doi.org/10.2307/j.ctvs32rq4" TargetMode="External" /><Relationship Type="http://schemas.openxmlformats.org/officeDocument/2006/relationships/hyperlink" Id="rId88" Target="https://doi.org/10.32942/X2JW8K" TargetMode="External" /><Relationship Type="http://schemas.openxmlformats.org/officeDocument/2006/relationships/hyperlink" Id="rId90" Target="https://ecoevorxiv.org/repository/view/13495/" TargetMode="External" /><Relationship Type="http://schemas.openxmlformats.org/officeDocument/2006/relationships/hyperlink" Id="rId5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 Food Web Reconstruction Frameworks Converge in Structure but Diverge in Stability</dc:title>
  <dc:creator>Tanya Strydom; Xiaoxiao Li; Laura Sophia Landon Blake; Andrew P. Beckerman; Dylan Z. Childs</dc:creator>
  <cp:keywords>food web reconstruction, bioenergetic dynamics, network stability, ecological networks, generative models, community persistence</cp:keywords>
  <dcterms:created xsi:type="dcterms:W3CDTF">2026-08-24T11:51:41Z</dcterms:created>
  <dcterms:modified xsi:type="dcterms:W3CDTF">2026-08-24T11:51:41Z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community stability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2026-08-24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