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8.png" ContentType="image/png"/>
  <Override PartName="/word/media/rId37.png" ContentType="image/png"/>
  <Override PartName="/word/media/rId3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2026-08-19</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For over two decades, community ecology has relied heavily on static generative models as a means to understand the complexity of empirical trophic networks. At the center of this structural framework is the niche model. Introduced by</w:t>
      </w:r>
      <w:r>
        <w:t xml:space="preserve"> </w:t>
      </w:r>
      <w:r>
        <w:t xml:space="preserve">Williams &amp; Martinez (2000)</w:t>
      </w:r>
      <w:r>
        <w:t xml:space="preserve"> </w:t>
      </w:r>
      <w:r>
        <w:t xml:space="preserve">as a major advancement over the strictly hierarchical cascade model</w:t>
      </w:r>
      <w:r>
        <w:t xml:space="preserve"> </w:t>
      </w:r>
      <w:r>
        <w:t xml:space="preserve">(Cohen et al., 1990)</w:t>
      </w:r>
      <w:r>
        <w:t xml:space="preserve">, the niche model posits that complex food webs can be reproduced by mapping species onto a one-dimensional, continuous niche axis where consumers feed on a contiguous interval of prey. The simplicity of these rules has proven to be remarkably successful, being able to accurate replicate emergent topological properties of empirical networks (such as degree distributions, path lengths, and realistic proportions of trophic guilds</w:t>
      </w:r>
      <w:r>
        <w:t xml:space="preserve"> </w:t>
      </w:r>
      <w:r>
        <w:t xml:space="preserve">(Williams &amp; Martinez, 2000)</w:t>
      </w:r>
      <w:r>
        <w:t xml:space="preserve">). Consequently, the niche model has established itself as the default baseline for exploring the macro-ecological patterns of ecosystems, evaluating network robustness to primary extinctions, and parameterising Jacobian matrices to probe the boundaries of ecosystem stability</w:t>
      </w:r>
      <w:r>
        <w:t xml:space="preserve"> </w:t>
      </w:r>
      <w:r>
        <w:t xml:space="preserve">(Allesina &amp; Tang, 2012; Curtsdotter et al., 2011)</w:t>
      </w:r>
      <w:r>
        <w:t xml:space="preserve">.</w:t>
      </w:r>
    </w:p>
    <w:p>
      <w:pPr>
        <w:pStyle w:val="BodyText"/>
      </w:pPr>
      <w:r>
        <w:t xml:space="preserve">However, this widespread reliance on topological heuristics has obscured a fundamental philosophical divide between structural abstractions and the biological processes that realise real-world networks</w:t>
      </w:r>
      <w:r>
        <w:t xml:space="preserve"> </w:t>
      </w:r>
      <w:r>
        <w:t xml:space="preserve">(Strydom, Dunhill, et al., 2026)</w:t>
      </w:r>
      <w:r>
        <w:t xml:space="preserve">. Traditional structural models operate from the network down, prioritising the statistical distribution of links across a network without explicitly accounting for individual organismal traits or evolutionary constraints. In stark contrast, mechanical frameworks build interaction networks from the node up by determining the presence of links between nodes to build the network. For example, the Allometric Diet Breadth Model (ADBM) implements optimal foraging theory, asserting that a consumer’s realised diet is a deterministic outcome of energy maximization relative to handling times and encounter rates scaled to body mass</w:t>
      </w:r>
      <w:r>
        <w:t xml:space="preserve"> </w:t>
      </w:r>
      <w:r>
        <w:t xml:space="preserve">(Petchey et al., 2008)</w:t>
      </w:r>
      <w:r>
        <w:t xml:space="preserve">. Similarly, the Allometric Trophic Network (ATN) framework anchors interaction probabilities in consumer-resource body-mass ratios, treating metabolic scaling and physical size limits as the primary limitations of energy flux</w:t>
      </w:r>
      <w:r>
        <w:t xml:space="preserve"> </w:t>
      </w:r>
      <w:r>
        <w:t xml:space="preserve">(Brose et al., 2006; Schneider et al., 2016)</w:t>
      </w:r>
      <w:r>
        <w:t xml:space="preserve">. Occupying a distinct space between these mechanistic and phenomenological perspectives is the Maximum Entropy (MaxEnt) framework</w:t>
      </w:r>
      <w:r>
        <w:t xml:space="preserve"> </w:t>
      </w:r>
      <w:r>
        <w:t xml:space="preserve">(Banville et al., 2023)</w:t>
      </w:r>
      <w:r>
        <w:t xml:space="preserve">. While MaxEnt remains a structural approach free of explicit biological traits, its philosophical origins lie in statistical mechanics rather than an assumed ecological niche axis. By generating network configurations that maximise informational entropy subject only to macroscopic constraints (such as joint degree distributions), MaxEnt offers a fundamentally different null expectation for network architecture, unburdened by an underlying hierarchical template.</w:t>
      </w:r>
    </w:p>
    <w:p>
      <w:pPr>
        <w:pStyle w:val="BodyText"/>
      </w:pPr>
      <w:r>
        <w:t xml:space="preserve">This conceptual divergence raises a critical question for theoretical ecology: Do these distinct structural, statistical, and bioenergetic templates represent interchangeable starting points that ultimately lead to the same conclusions about community dynamics, or does the choice of network construction inherently bias our understanding of ecosystem stability? Recent work has demonstrated that different network construction methods using identical species pools generate vastly different topological signatures and display high interaction (link-based) differences</w:t>
      </w:r>
      <w:r>
        <w:t xml:space="preserve"> </w:t>
      </w:r>
      <w:r>
        <w:t xml:space="preserve">(Strydom, Karapunar, et al., 2026)</w:t>
      </w:r>
      <w:r>
        <w:t xml:space="preserve">. Because the choice of reconstruction framework influences realised network properties we cannot assume that dynamical predictions are immune to these initial structural assumptions. Indeed, network structure heavily coordinates how biomass is efficiently stored and distributed across trophic levels</w:t>
      </w:r>
      <w:r>
        <w:t xml:space="preserve"> </w:t>
      </w:r>
      <w:r>
        <w:t xml:space="preserve">(Delmas et al., n.d.)</w:t>
      </w:r>
      <w:r>
        <w:t xml:space="preserve">. If the structural template dictates a community’s emergent bioenergetic properties (such as its biomass top-heaviness) then the choice of generative model likely carries heavy, unexplored cascading consequences for long-term community dynamics.</w:t>
      </w:r>
    </w:p>
    <w:p>
      <w:pPr>
        <w:pStyle w:val="BodyText"/>
      </w:pPr>
      <w:r>
        <w:t xml:space="preserve">If the stability of ecological communities is governed primarily by coarse, systemic constraints on topology, then distinct generative models should yield functionally redundant dynamic behaviors and converge under the selective pressure of competitive exclusion. Conversely, if body-mass distributions and optimal foraging behaviors create unique, non-random structural dependencies that cannot be compressed onto a one-dimensional niche axis, defaulting to the niche model may systematically distort our predictions of community resilience and multi-trophic biodiversity loss. In this study, we systematically isolate the inferential consequences of these structural priors. By embedding networks generated from six distinct modelling philosophies (spanning purely structural, statistical, and trait-driven approaches) within an identical bioenergetic simulation framework, we evaluate whether our foundational models function as benign structural templates or if they fundamentally direct the trajectory of ecological inference.</w:t>
      </w:r>
    </w:p>
    <w:bookmarkEnd w:id="9"/>
    <w:bookmarkStart w:id="18"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This could include a table that describes what the metrics</w:t>
      </w:r>
      <w:r>
        <w:t xml:space="preserve"> </w:t>
      </w:r>
      <w:r>
        <w:t xml:space="preserve">‘mean’</w:t>
      </w:r>
      <w:r>
        <w:t xml:space="preserve"> </w:t>
      </w:r>
      <w:r>
        <w:t xml:space="preserve">but maybe we can just lean on the</w:t>
      </w:r>
      <w:r>
        <w:t xml:space="preserve"> </w:t>
      </w:r>
      <w:r>
        <w:t xml:space="preserve">‘usual template’</w:t>
      </w:r>
      <w:r>
        <w:t xml:space="preserve">, maybe some of the feature selection stuff.</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i/>
          <w:iCs/>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br/>
      </w: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 10−6.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Start w:id="17"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7"/>
    <w:bookmarkEnd w:id="18"/>
    <w:bookmarkStart w:id="42" w:name="results"/>
    <w:p>
      <w:pPr>
        <w:pStyle w:val="Heading1"/>
      </w:pPr>
      <w:r>
        <w:t xml:space="preserve">3. Results</w:t>
      </w:r>
    </w:p>
    <w:bookmarkStart w:id="23"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apparent competition (S5),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p>
      <w:pPr>
        <w:pStyle w:val="BlockText"/>
      </w:pPr>
      <w:r>
        <w:t xml:space="preserve">Discussion point: There is a</w:t>
      </w:r>
      <w:r>
        <w:t xml:space="preserve"> </w:t>
      </w:r>
      <w:r>
        <w:t xml:space="preserve">‘selection’</w:t>
      </w:r>
      <w:r>
        <w:t xml:space="preserve"> </w:t>
      </w:r>
      <w:r>
        <w:t xml:space="preserve">for structure since we see networks moving towards a similar end point. Here we can see that its links and indirect interactions - probably resulting from the loss of species specifically associated with these motifs. Something about how although this is a</w:t>
      </w:r>
      <w:r>
        <w:t xml:space="preserve"> </w:t>
      </w:r>
      <w:r>
        <w:t xml:space="preserve">‘dynamic system’</w:t>
      </w:r>
      <w:r>
        <w:t xml:space="preserve"> </w:t>
      </w:r>
      <w:r>
        <w:t xml:space="preserve">we must remember that there is no rewiring happening so structural changes are all being driven by the loss of specific species (hence the link and motif changes)</w:t>
      </w:r>
    </w:p>
    <w:tbl>
      <w:tblPr>
        <w:tblStyle w:val="Table"/>
        <w:tblW w:type="pct" w:w="5000"/>
        <w:tblLayout w:type="fixed"/>
        <w:tblLook w:firstRow="0" w:lastRow="0" w:firstColumn="0" w:lastColumn="0" w:noHBand="0" w:noVBand="0" w:val="0000"/>
      </w:tblPr>
      <w:tblGrid>
        <w:gridCol w:w="7920"/>
      </w:tblGrid>
      <w:tr>
        <w:tc>
          <w:tcPr/>
          <w:bookmarkStart w:id="22" w:name="fig-PTA"/>
          <w:p>
            <w:pPr>
              <w:pStyle w:val="Compact"/>
              <w:jc w:val="center"/>
            </w:pPr>
            <w:r>
              <w:drawing>
                <wp:inline>
                  <wp:extent cx="5334000" cy="6400800"/>
                  <wp:effectExtent b="0" l="0" r="0" t="0"/>
                  <wp:docPr descr="" title="" id="20" name="Picture"/>
                  <a:graphic>
                    <a:graphicData uri="http://schemas.openxmlformats.org/drawingml/2006/picture">
                      <pic:pic>
                        <pic:nvPicPr>
                          <pic:cNvPr descr="figures/PTA.png" id="21" name="Picture"/>
                          <pic:cNvPicPr>
                            <a:picLocks noChangeArrowheads="1" noChangeAspect="1"/>
                          </pic:cNvPicPr>
                        </pic:nvPicPr>
                        <pic:blipFill>
                          <a:blip r:embed="rId1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Component-wise displacement of model centroids along the first five principal component axes, highlighting the principal dimensions responsible for topological change. Black bounding boxes indicate the dimension with the greatest displacement (E) Mean Euclidean distance of networks to the overall network centroid before and after simulations, providing a measure of convergence in network topology.</w:t>
            </w:r>
          </w:p>
          <w:bookmarkEnd w:id="22"/>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lockText"/>
      </w:pPr>
      <w:r>
        <w:t xml:space="preserve">Discussion point: Given that this is associated with the two competition motifs (S4, S5) it links to the indirect effects component - and we are seeing a</w:t>
      </w:r>
      <w:r>
        <w:t xml:space="preserve"> </w:t>
      </w:r>
      <w:r>
        <w:t xml:space="preserve">‘pruning’</w:t>
      </w:r>
      <w:r>
        <w:t xml:space="preserve"> </w:t>
      </w:r>
      <w:r>
        <w:t xml:space="preserve">happening at these tri-trophic components/units. Which kind of agrees with the Curstdottir justification for dynamic extinctions and also Stouffer’s work about motifs and robustness(?) adjacent stuff.</w:t>
      </w:r>
    </w:p>
    <w:p>
      <w:pPr>
        <w:pStyle w:val="FirstParagraph"/>
      </w:pPr>
      <w:r>
        <w:t xml:space="preserve">Comparison of trajectory vectors demonstrated that most models exhibited small angular differences, indicating that ecological dynamics produced similar directions of topological change across reconstruction methods. Trajectory lengths varied across the 5 PCs ranged from with the Cascade models exhibiting the greatest overall restructuring and Random models the least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D). The mean Euclidean distance to the global realised-network centroid decreased following dynamic simulations for all models, suggesting that ecological dynamics drove networks towards a common structural endpoint despite differences in initial topology.</w:t>
      </w:r>
    </w:p>
    <w:bookmarkEnd w:id="23"/>
    <w:bookmarkStart w:id="32"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able to reach an equilibrium state.</w:t>
      </w:r>
    </w:p>
    <w:p>
      <w:pPr>
        <w:pStyle w:val="BlockText"/>
      </w:pPr>
      <w:r>
        <w:t xml:space="preserve">Discussion point - few random models reach equilibrium but those that do do not change a lot - maybe this implies that there is an</w:t>
      </w:r>
      <w:r>
        <w:t xml:space="preserve"> </w:t>
      </w:r>
      <w:r>
        <w:t xml:space="preserve">‘optimal structure’</w:t>
      </w:r>
      <w:r>
        <w:t xml:space="preserve"> </w:t>
      </w:r>
      <w:r>
        <w:t xml:space="preserve">for those networks whereas niche and cascade (100% success) have a bit more</w:t>
      </w:r>
      <w:r>
        <w:t xml:space="preserve"> </w:t>
      </w:r>
      <w:r>
        <w:t xml:space="preserve">‘relaxed’</w:t>
      </w:r>
      <w:r>
        <w:t xml:space="preserve"> </w:t>
      </w:r>
      <w:r>
        <w:t xml:space="preserve">rules as to how far away you can to be from the</w:t>
      </w:r>
      <w:r>
        <w:t xml:space="preserve"> </w:t>
      </w:r>
      <w:r>
        <w:t xml:space="preserve">‘optimum’</w:t>
      </w:r>
    </w:p>
    <w:tbl>
      <w:tblPr>
        <w:tblStyle w:val="Table"/>
        <w:tblW w:type="pct" w:w="5000"/>
        <w:tblLayout w:type="fixed"/>
        <w:tblLook w:firstRow="0" w:lastRow="0" w:firstColumn="0" w:lastColumn="0" w:noHBand="0" w:noVBand="0" w:val="0000"/>
      </w:tblPr>
      <w:tblGrid>
        <w:gridCol w:w="7920"/>
      </w:tblGrid>
      <w:tr>
        <w:tc>
          <w:tcPr/>
          <w:bookmarkStart w:id="27" w:name="fig-stability_endpnts"/>
          <w:p>
            <w:pPr>
              <w:pStyle w:val="Compact"/>
              <w:jc w:val="center"/>
            </w:pPr>
            <w:r>
              <w:drawing>
                <wp:inline>
                  <wp:extent cx="5334000" cy="3556000"/>
                  <wp:effectExtent b="0" l="0" r="0" t="0"/>
                  <wp:docPr descr="" title="" id="25" name="Picture"/>
                  <a:graphic>
                    <a:graphicData uri="http://schemas.openxmlformats.org/drawingml/2006/picture">
                      <pic:pic>
                        <pic:nvPicPr>
                          <pic:cNvPr descr="figures/stability_enpoint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7"/>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 for smaller networks is seems a bit more</w:t>
      </w:r>
      <w:r>
        <w:t xml:space="preserve"> </w:t>
      </w:r>
      <w:r>
        <w:t xml:space="preserve">‘random’</w:t>
      </w:r>
    </w:p>
    <w:p>
      <w:pPr>
        <w:pStyle w:val="BlockText"/>
      </w:pPr>
      <w:r>
        <w:t xml:space="preserve">Discussion point - if we look at the downsampling manuscript the data there seems to suggest that the END is very sensitive to the body size specification (and deviation from the predator prey) which might suggest that these networks collapse because of that. HOWEVER the large networks are the ones where we see instability (non-equilibrium) more than collapse suggesting that non-equilibrium is a product of richness and structural</w:t>
      </w:r>
      <w:r>
        <w:t xml:space="preserve"> </w:t>
      </w:r>
      <w:r>
        <w:t xml:space="preserve">‘deviation’</w:t>
      </w:r>
      <w:r>
        <w:t xml:space="preserve">. Worth pointing out that in general the failed networks are on the outer limits of the structure same (but not obviously so) which might suggest that these are also the networks that are more sensitive to the emergent property (body size) stuff? So structurally robust</w:t>
      </w:r>
      <w:r>
        <w:t xml:space="preserve"> </w:t>
      </w:r>
      <w:r>
        <w:t xml:space="preserve">‘zone’</w:t>
      </w:r>
      <w:r>
        <w:t xml:space="preserve"> </w:t>
      </w:r>
      <w:r>
        <w:t xml:space="preserve">and then as soon as you start moving away from that you become at risk of</w:t>
      </w:r>
      <w:r>
        <w:t xml:space="preserve"> </w:t>
      </w:r>
      <w:r>
        <w:t xml:space="preserve">‘instability’</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failed_pca"/>
          <w:p>
            <w:pPr>
              <w:pStyle w:val="Compact"/>
              <w:jc w:val="center"/>
            </w:pPr>
            <w:r>
              <w:drawing>
                <wp:inline>
                  <wp:extent cx="5334000" cy="3810000"/>
                  <wp:effectExtent b="0" l="0" r="0" t="0"/>
                  <wp:docPr descr="" title="" id="29" name="Picture"/>
                  <a:graphic>
                    <a:graphicData uri="http://schemas.openxmlformats.org/drawingml/2006/picture">
                      <pic:pic>
                        <pic:nvPicPr>
                          <pic:cNvPr descr="figures/PTA_failed_networks.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w:t>
            </w:r>
            <w:r>
              <w:t xml:space="preserve"> </w:t>
            </w:r>
            <w:r>
              <w:t xml:space="preserve">‘into’</w:t>
            </w:r>
            <w:r>
              <w:t xml:space="preserve"> </w:t>
            </w:r>
            <w:r>
              <w:t xml:space="preserve">the PCA space. Pale arrows show the trajectory of each individual network, dark arrows the mean trajectory. Note we do not plot networks that</w:t>
            </w:r>
            <w:r>
              <w:t xml:space="preserve"> </w:t>
            </w:r>
            <w:r>
              <w:t xml:space="preserve">‘failed’</w:t>
            </w:r>
            <w:r>
              <w:t xml:space="preserve"> </w:t>
            </w:r>
            <w:r>
              <w:t xml:space="preserve">due to solver issues, additionally we omit the Niche and Cascade models as they have no</w:t>
            </w:r>
            <w:r>
              <w:t xml:space="preserve"> </w:t>
            </w:r>
            <w:r>
              <w:t xml:space="preserve">‘failed’</w:t>
            </w:r>
            <w:r>
              <w:t xml:space="preserve"> </w:t>
            </w:r>
            <w:r>
              <w:t xml:space="preserve">networks</w:t>
            </w:r>
          </w:p>
          <w:bookmarkEnd w:id="31"/>
        </w:tc>
      </w:tr>
    </w:tbl>
    <w:bookmarkEnd w:id="32"/>
    <w:bookmarkStart w:id="41"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6" w:name="fig-rel_contribution"/>
          <w:p>
            <w:pPr>
              <w:pStyle w:val="Compact"/>
              <w:jc w:val="center"/>
            </w:pPr>
            <w:r>
              <w:drawing>
                <wp:inline>
                  <wp:extent cx="5334000" cy="3333750"/>
                  <wp:effectExtent b="0" l="0" r="0" t="0"/>
                  <wp:docPr descr="" title="" id="34" name="Picture"/>
                  <a:graphic>
                    <a:graphicData uri="http://schemas.openxmlformats.org/drawingml/2006/picture">
                      <pic:pic>
                        <pic:nvPicPr>
                          <pic:cNvPr descr="figures/stability_effect_size_model_vs_richness.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6"/>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40" w:name="fig-emmeans"/>
          <w:p>
            <w:pPr>
              <w:pStyle w:val="Compact"/>
              <w:jc w:val="center"/>
            </w:pPr>
            <w:r>
              <w:drawing>
                <wp:inline>
                  <wp:extent cx="5334000" cy="4445000"/>
                  <wp:effectExtent b="0" l="0" r="0" t="0"/>
                  <wp:docPr descr="" title="" id="38" name="Picture"/>
                  <a:graphic>
                    <a:graphicData uri="http://schemas.openxmlformats.org/drawingml/2006/picture">
                      <pic:pic>
                        <pic:nvPicPr>
                          <pic:cNvPr descr="figures/stability_adjusted_model_means.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40"/>
        </w:tc>
      </w:tr>
    </w:tbl>
    <w:bookmarkEnd w:id="41"/>
    <w:bookmarkEnd w:id="42"/>
    <w:bookmarkStart w:id="47" w:name="discussion"/>
    <w:p>
      <w:pPr>
        <w:pStyle w:val="Heading1"/>
      </w:pPr>
      <w:r>
        <w:t xml:space="preserve">4. Discussion</w:t>
      </w:r>
    </w:p>
    <w:bookmarkStart w:id="43" w:name="X4879a2eb9a4ddc028d1a39ad57801e79fab68c5"/>
    <w:p>
      <w:pPr>
        <w:pStyle w:val="Heading2"/>
      </w:pPr>
      <w:r>
        <w:t xml:space="preserve">4.1 Reconstruction is Not Neutral (or maybe it is)</w:t>
      </w:r>
    </w:p>
    <w:p>
      <w:pPr>
        <w:pStyle w:val="FirstParagraph"/>
      </w:pPr>
      <w:r>
        <w:t xml:space="preserve">Generative models dictate the baseline: While structural and statistical models operate top-down using topological rules or entropy maximisation, trait-based models (ADBM, ATN, LTM) construct networks</w:t>
      </w:r>
      <w:r>
        <w:t xml:space="preserve"> </w:t>
      </w:r>
      <w:r>
        <w:t xml:space="preserve">“bottom-up”</w:t>
      </w:r>
      <w:r>
        <w:t xml:space="preserve"> </w:t>
      </w:r>
      <w:r>
        <w:t xml:space="preserve">using body-mass ratios and energetic trade-offs. These fundamental differences mean that generative models act as non-neutral structural priors rather than interchangeable templates.</w:t>
      </w:r>
    </w:p>
    <w:p>
      <w:pPr>
        <w:pStyle w:val="BodyText"/>
      </w:pPr>
      <w:r>
        <w:t xml:space="preserve">This directional movement reflects a clear selection for specific structural attributes. Because our simulation framework lacked link-rewiring mechanisms, topological changes were driven entirely by extinctions. Dynamic simulations systematically pruned tri-trophic competition motifs (specifically apparent competition (</w:t>
      </w:r>
      <m:oMath>
        <m:r>
          <m:t>S</m:t>
        </m:r>
        <m:r>
          <m:t>5</m:t>
        </m:r>
      </m:oMath>
      <w:r>
        <w:t xml:space="preserve">) and direct competition (</w:t>
      </w:r>
      <m:oMath>
        <m:r>
          <m:t>S</m:t>
        </m:r>
        <m:r>
          <m:t>4</m:t>
        </m:r>
      </m:oMath>
      <w:r>
        <w:t xml:space="preserve">), and omnivory (</w:t>
      </w:r>
      <m:oMath>
        <m:r>
          <m:t>S</m:t>
        </m:r>
        <m:r>
          <m:t>2</m:t>
        </m:r>
      </m:oMath>
      <w:r>
        <w:t xml:space="preserve">)) to pull initially disparate network structures toward a shared, realized endpoint. This observed motif-pruning closely mirrors work demonstrating that exploitative and apparent competition motifs generate severe transient instabilities that trigger targeted extinctions in unconstrained networks</w:t>
      </w:r>
      <w:r>
        <w:t xml:space="preserve"> </w:t>
      </w:r>
      <w:r>
        <w:t xml:space="preserve">(Borrelli, 2015; Stouffer &amp; Bascompte, 2010)</w:t>
      </w:r>
      <w:r>
        <w:t xml:space="preserve">.</w:t>
      </w:r>
    </w:p>
    <w:p>
      <w:pPr>
        <w:pStyle w:val="BodyText"/>
      </w:pPr>
      <w:r>
        <w:t xml:space="preserve">The existence of a constrained</w:t>
      </w:r>
      <w:r>
        <w:t xml:space="preserve"> </w:t>
      </w:r>
      <w:r>
        <w:t xml:space="preserve">“optimal”</w:t>
      </w:r>
      <w:r>
        <w:t xml:space="preserve"> </w:t>
      </w:r>
      <w:r>
        <w:t xml:space="preserve">structural domain for stability is further highlighted by the behavior of Random networks. Random models exhibited the highest rate of dynamic collapse, particularly as initial network size increased. However, the rare Random webs that reached equilibrium underwent almost no topological reorganization post-simulation. As demonstrated by classic stability theory, unconstrained random matrices are overwhelmingly unstable unless they happen to possess specific non-random topologies, such as modularity or weak interaction loops</w:t>
      </w:r>
      <w:r>
        <w:t xml:space="preserve"> </w:t>
      </w:r>
      <w:r>
        <w:t xml:space="preserve">(Allesina &amp; Tang, 2012; May, 1974)</w:t>
      </w:r>
      <w:r>
        <w:t xml:space="preserve">. The surviving Random networks occupied this precise, narrow topological zone from the outset. Conversely, networks that failed to achieve steady-state dynamics tended to occupy the outer periphery of the initial structural PCA space. Deviating too far from viable topological bounds creates severe structural vulnerabilities that amplify community collapse as species richness scales</w:t>
      </w:r>
      <w:r>
        <w:t xml:space="preserve"> </w:t>
      </w:r>
      <w:r>
        <w:t xml:space="preserve">(Dunne et al., 2002)</w:t>
      </w:r>
    </w:p>
    <w:p>
      <w:pPr>
        <w:pStyle w:val="BlockText"/>
      </w:pPr>
      <w:r>
        <w:t xml:space="preserve">since Random models are not ecologically informed this implies there is</w:t>
      </w:r>
      <w:r>
        <w:t xml:space="preserve"> </w:t>
      </w:r>
      <w:r>
        <w:t xml:space="preserve">‘structural stability’</w:t>
      </w:r>
      <w:r>
        <w:t xml:space="preserve"> </w:t>
      </w:r>
      <w:r>
        <w:t xml:space="preserve">and then having ecology informed structure expands that zone into something like</w:t>
      </w:r>
      <w:r>
        <w:t xml:space="preserve"> </w:t>
      </w:r>
      <w:r>
        <w:t xml:space="preserve">‘ecological structural stability’</w:t>
      </w:r>
      <w:r>
        <w:t xml:space="preserve">; and then there comes the structural vs body size model differences???</w:t>
      </w:r>
    </w:p>
    <w:bookmarkEnd w:id="43"/>
    <w:bookmarkStart w:id="44" w:name="template-dependence"/>
    <w:p>
      <w:pPr>
        <w:pStyle w:val="Heading2"/>
      </w:pPr>
      <w:r>
        <w:t xml:space="preserve">4.2 Template Dependence</w:t>
      </w:r>
    </w:p>
    <w:p>
      <w:pPr>
        <w:pStyle w:val="FirstParagraph"/>
      </w:pPr>
      <w:r>
        <w:t xml:space="preserve">A central objective of this study was to resolve whether structural templates, such as the widely used Niche model, serve as universal baselines for theoretical ecology. Our results reveal a stark dichotomy: while Niche and Cascade models achieved a 100% equilibrium success rate regardless of network size, this resilience should not be confused with superior biological realism. As highlighted in critiques of purely topological models, the Niche model accurately reproduces macro-topological features like degree distributions and chain lengths but lacks explicit consumer-resource energetic trade-offs</w:t>
      </w:r>
      <w:r>
        <w:t xml:space="preserve"> </w:t>
      </w:r>
      <w:r>
        <w:t xml:space="preserve">Schneider et al. (2016)</w:t>
      </w:r>
      <w:r>
        <w:t xml:space="preserve">. Instead, the flawless survival rate of traditional structural models reflects cross-model compatibility rather than empirical plausibility. Because structural models do not explicitly include species body masses, masses were assigned post hoc based on trophic levels assuming a fixed 100:1 predator-prey body mass ratio. This artificial assignment aligns neatly with the underlying mathematical grammar and allometric scaling assumptions of the Bio-Energetic Food Web (BEFW) dynamic framework</w:t>
      </w:r>
      <w:r>
        <w:t xml:space="preserve"> </w:t>
      </w:r>
      <w:r>
        <w:t xml:space="preserve">(Delmas et al., 2017)</w:t>
      </w:r>
      <w:r>
        <w:t xml:space="preserve">. Consequently, dynamic simulations on structural webs may primarily measure how well a generative model’s topological heuristics conform to bioenergetic differential equations, rather than testing real-world ecological persistence.</w:t>
      </w:r>
    </w:p>
    <w:p>
      <w:pPr>
        <w:pStyle w:val="BodyText"/>
      </w:pPr>
      <w:r>
        <w:t xml:space="preserve">When explicit trait distributions and optimal foraging constraints are enforced (as in ADBM, ATN, and LTM), networks experience lower overall species persistence but reveal complex local dynamic behaviors. For instance, ADBM and LTM networks supported the highest asymptotic resilience (fastest return to equilibrium), yet LTM webs simultaneously exhibited the highest reactivity (strongest initial amplification of perturbations). This decoupling of short-term transient responses from long-term asymptotic stability is a recognized hallmark of non-orthogonal, size-structured communities</w:t>
      </w:r>
      <w:r>
        <w:t xml:space="preserve">(Neubert &amp; Caswell, 1997; Tang et al., 2014)</w:t>
      </w:r>
      <w:r>
        <w:t xml:space="preserve">. Structural models that collapse body-mass distributions onto a one-dimensional continuous niche axis inherently fail to capture these crucial transient dynamics.</w:t>
      </w:r>
    </w:p>
    <w:bookmarkEnd w:id="44"/>
    <w:bookmarkStart w:id="45" w:name="scale-dependent-behaviour"/>
    <w:p>
      <w:pPr>
        <w:pStyle w:val="Heading2"/>
      </w:pPr>
      <w:r>
        <w:t xml:space="preserve">4.3 Scale-Dependent Behaviour</w:t>
      </w:r>
    </w:p>
    <w:p>
      <w:pPr>
        <w:pStyle w:val="FirstParagraph"/>
      </w:pPr>
      <w:r>
        <w:t xml:space="preserve">Our analyses highlight a fundamental scale-dependent decoupling in ecological network robustness. At a coarse, macroscopic scale, ecological dynamics act as an equalizer - initial differences among reconstruction models compress into a shared topological space, significantly reducing each network’s Euclidean distance to a common realised centroid</w:t>
      </w:r>
      <w:r>
        <w:t xml:space="preserve"> </w:t>
      </w:r>
      <w:hyperlink w:anchor="fig-PTA">
        <w:r>
          <w:rPr>
            <w:rStyle w:val="Hyperlink"/>
          </w:rPr>
          <w:t xml:space="preserve">Figure 1</w:t>
        </w:r>
      </w:hyperlink>
      <w:r>
        <w:t xml:space="preserve">. However, at a fine-grained scale, individual dynamic stability properties remain deeply contingent on the underlying generative model</w:t>
      </w:r>
      <w:r>
        <w:t xml:space="preserve"> </w:t>
      </w:r>
      <w:hyperlink w:anchor="fig-emmeans">
        <w:r>
          <w:rPr>
            <w:rStyle w:val="Hyperlink"/>
          </w:rPr>
          <w:t xml:space="preserve">Figure 5</w:t>
        </w:r>
      </w:hyperlink>
      <w:r>
        <w:t xml:space="preserve">. Similar scale-dependent dynamics have been observed in experimental and theoretical communities, where high-level functional properties converge under strong selective filters while fine-scale interactions retain significant historical contingency</w:t>
      </w:r>
      <w:r>
        <w:t xml:space="preserve"> </w:t>
      </w:r>
      <w:r>
        <w:t xml:space="preserve">(Ratzke et al., 2020)</w:t>
      </w:r>
      <w:r>
        <w:t xml:space="preserve">.</w:t>
      </w:r>
    </w:p>
    <w:p>
      <w:pPr>
        <w:pStyle w:val="BodyText"/>
      </w:pPr>
      <w:r>
        <w:t xml:space="preserve">This scale dependence is further evidenced by the distinct drivers of network-level versus local stability metrics. Network-level stability metrics (Shannon diversity of biomasses, interaction strength skewness, species persistence, and the Gini coefficient of consumption fluxes) were overwhelmingly explained by equilibrium species richness rather than the initial generative model</w:t>
      </w:r>
      <w:r>
        <w:t xml:space="preserve"> </w:t>
      </w:r>
      <w:hyperlink w:anchor="fig-rel_contribution">
        <w:r>
          <w:rPr>
            <w:rStyle w:val="Hyperlink"/>
          </w:rPr>
          <w:t xml:space="preserve">Figure 4</w:t>
        </w:r>
      </w:hyperlink>
      <w:r>
        <w:t xml:space="preserve">. This agrees with macro-ecological theory establishing that portfolio effects, biomass partitioning, and flux distributions are predominantly driven by total diversity and pool size rather than fine-scale network architecture</w:t>
      </w:r>
      <w:r>
        <w:t xml:space="preserve"> </w:t>
      </w:r>
      <w:r>
        <w:t xml:space="preserve">(Loreau &amp; Mazancourt, 2013; Yodzis, 1981)</w:t>
      </w:r>
      <w:r>
        <w:t xml:space="preserve">.</w:t>
      </w:r>
    </w:p>
    <w:p>
      <w:pPr>
        <w:pStyle w:val="BodyText"/>
      </w:pPr>
      <w:r>
        <w:t xml:space="preserve">In sharp contrast, local dynamic stability was governed by the generative framework itself. Model identity explained almost all variation in system reactivity and exerted a larger effect size on asymptotic resilience than equilibrium species richness. Transient dynamics and local perturbation responses are highly sensitive to specific consumer attack rates, handling times, and metabolic scaling parameters—properties defined strictly by the generative trait rules rather than species counts</w:t>
      </w:r>
    </w:p>
    <w:bookmarkEnd w:id="45"/>
    <w:bookmarkStart w:id="46" w:name="implications-for-theory"/>
    <w:p>
      <w:pPr>
        <w:pStyle w:val="Heading2"/>
      </w:pPr>
      <w:r>
        <w:t xml:space="preserve">4.4 Implications for Theory</w:t>
      </w:r>
    </w:p>
    <w:p>
      <w:pPr>
        <w:pStyle w:val="FirstParagraph"/>
      </w:pPr>
      <w:r>
        <w:t xml:space="preserve">Theoretical ecology’s two-decade reliance on the Niche model as the default null baseline for community robustness and stability analyses requires careful re-examination</w:t>
      </w:r>
      <w:r>
        <w:t xml:space="preserve"> </w:t>
      </w:r>
      <w:r>
        <w:t xml:space="preserve">(Banville et al., 2023)</w:t>
      </w:r>
      <w:r>
        <w:t xml:space="preserve">. Phenomenological structural rules cannot serve as neutral baselines for dynamic questions because they omit the bioenergetic constraints that govern real-world ecosystem stability</w:t>
      </w:r>
      <w:r>
        <w:t xml:space="preserve"> </w:t>
      </w:r>
      <w:r>
        <w:t xml:space="preserve">(Strydom et al., 2021)</w:t>
      </w:r>
      <w:r>
        <w:t xml:space="preserve">.</w:t>
      </w:r>
    </w:p>
    <w:p>
      <w:pPr>
        <w:pStyle w:val="BodyText"/>
      </w:pPr>
      <w:r>
        <w:t xml:space="preserve">Rather than relying on a one-size-fits-all template, researchers must explicitly match their network reconstruction framework to their inferential goals</w:t>
      </w:r>
      <w:r>
        <w:t xml:space="preserve"> </w:t>
      </w:r>
      <w:r>
        <w:t xml:space="preserve">(Poisot et al., 2016)</w:t>
      </w:r>
      <w:r>
        <w:t xml:space="preserve">:</w:t>
      </w:r>
    </w:p>
    <w:p>
      <w:pPr>
        <w:numPr>
          <w:ilvl w:val="0"/>
          <w:numId w:val="1001"/>
        </w:numPr>
      </w:pPr>
      <w:r>
        <w:t xml:space="preserve">Macroscopic properties: When evaluating macro-scale patterns such as overall biomass diversity, species persistence, or broad topological convergence, traditional structural models or constrained MaxEnt frameworks may provide adequate, computationally efficient approximations.</w:t>
      </w:r>
    </w:p>
    <w:p>
      <w:pPr>
        <w:numPr>
          <w:ilvl w:val="0"/>
          <w:numId w:val="1001"/>
        </w:numPr>
      </w:pPr>
      <w:r>
        <w:t xml:space="preserve">Transient dynamics and stability: When probing local asymptotic resilience, transient reactivity, primary extinction cascades, or responses to environmental perturbations, mechanistic, trait-driven models (such as ADBM or ATN) are essential.</w:t>
      </w:r>
    </w:p>
    <w:p>
      <w:pPr>
        <w:pStyle w:val="FirstParagraph"/>
      </w:pPr>
      <w:r>
        <w:t xml:space="preserve">Ultimately, because initial structural assumptions fundamentally condition short-term transient responses and local stability, historical conclusions regarding food web robustness derived exclusively from Niche or Cascade templates must be re-evaluated through a bioenergetic lens.</w:t>
      </w:r>
    </w:p>
    <w:bookmarkEnd w:id="46"/>
    <w:bookmarkEnd w:id="47"/>
    <w:bookmarkStart w:id="100" w:name="references"/>
    <w:p>
      <w:pPr>
        <w:pStyle w:val="Heading1"/>
      </w:pPr>
      <w:r>
        <w:t xml:space="preserve">References</w:t>
      </w:r>
    </w:p>
    <w:bookmarkStart w:id="99"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2">
        <w:r>
          <w:rPr>
            <w:rStyle w:val="Hyperlink"/>
          </w:rPr>
          <w:t xml:space="preserve">https://doi.org/10.1111/oik.02176</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6">
        <w:r>
          <w:rPr>
            <w:rStyle w:val="Hyperlink"/>
          </w:rPr>
          <w:t xml:space="preserve">https://www.springer.com/gp/book/9783642837869</w:t>
        </w:r>
      </w:hyperlink>
    </w:p>
    <w:bookmarkEnd w:id="57"/>
    <w:bookmarkStart w:id="59"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8">
        <w:r>
          <w:rPr>
            <w:rStyle w:val="Hyperlink"/>
          </w:rPr>
          <w:t xml:space="preserve">https://doi.org/10.1016/j.baae.2011.09.008</w:t>
        </w:r>
      </w:hyperlink>
    </w:p>
    <w:bookmarkEnd w:id="59"/>
    <w:bookmarkStart w:id="61"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0">
        <w:r>
          <w:rPr>
            <w:rStyle w:val="Hyperlink"/>
          </w:rPr>
          <w:t xml:space="preserve">https://doi.org/10.1111/2041-210X.12713</w:t>
        </w:r>
      </w:hyperlink>
    </w:p>
    <w:bookmarkEnd w:id="61"/>
    <w:bookmarkStart w:id="63"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2">
        <w:r>
          <w:rPr>
            <w:rStyle w:val="Hyperlink"/>
          </w:rPr>
          <w:t xml:space="preserve">https://doi.org/10.1101/2020.06.10.144949</w:t>
        </w:r>
      </w:hyperlink>
    </w:p>
    <w:bookmarkEnd w:id="63"/>
    <w:bookmarkStart w:id="64"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4"/>
    <w:bookmarkStart w:id="66"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5">
        <w:r>
          <w:rPr>
            <w:rStyle w:val="Hyperlink"/>
          </w:rPr>
          <w:t xml:space="preserve">https://doi.org/10.1111/2041-210X.14497</w:t>
        </w:r>
      </w:hyperlink>
    </w:p>
    <w:bookmarkEnd w:id="66"/>
    <w:bookmarkStart w:id="68"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7">
        <w:r>
          <w:rPr>
            <w:rStyle w:val="Hyperlink"/>
          </w:rPr>
          <w:t xml:space="preserve">https://doi.org/10.1111/ele.12073</w:t>
        </w:r>
      </w:hyperlink>
    </w:p>
    <w:bookmarkEnd w:id="68"/>
    <w:bookmarkStart w:id="70"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69">
        <w:r>
          <w:rPr>
            <w:rStyle w:val="Hyperlink"/>
          </w:rPr>
          <w:t xml:space="preserve">https://doi.org/10.2307/j.ctvs32rq4</w:t>
        </w:r>
      </w:hyperlink>
    </w:p>
    <w:bookmarkEnd w:id="70"/>
    <w:bookmarkStart w:id="72"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1">
        <w:r>
          <w:rPr>
            <w:rStyle w:val="Hyperlink"/>
          </w:rPr>
          <w:t xml:space="preserve">https://doi.org/10.1890/0012-9658(1997)078[0653:ATRFMT]2.0.CO;2</w:t>
        </w:r>
      </w:hyperlink>
    </w:p>
    <w:bookmarkEnd w:id="72"/>
    <w:bookmarkStart w:id="7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3">
        <w:r>
          <w:rPr>
            <w:rStyle w:val="Hyperlink"/>
          </w:rPr>
          <w:t xml:space="preserve">https://doi.org/10.1073/pnas.0710672105</w:t>
        </w:r>
      </w:hyperlink>
    </w:p>
    <w:bookmarkEnd w:id="74"/>
    <w:bookmarkStart w:id="76"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5">
        <w:r>
          <w:rPr>
            <w:rStyle w:val="Hyperlink"/>
          </w:rPr>
          <w:t xml:space="preserve">https://doi.org/10.1111/1365-2435.12799</w:t>
        </w:r>
      </w:hyperlink>
    </w:p>
    <w:bookmarkEnd w:id="76"/>
    <w:bookmarkStart w:id="78" w:name="ref-ratzke2020"/>
    <w:p>
      <w:pPr>
        <w:pStyle w:val="Bibliography"/>
      </w:pPr>
      <w:r>
        <w:t xml:space="preserve">Ratzke, C., Barrere, J., &amp; Gore, J. (2020). Strength of species interactions determines biodiversity and stability in microbial communities.</w:t>
      </w:r>
      <w:r>
        <w:t xml:space="preserve"> </w:t>
      </w:r>
      <w:r>
        <w:rPr>
          <w:i/>
          <w:iCs/>
        </w:rPr>
        <w:t xml:space="preserve">Nature Ecology &amp; Evolution</w:t>
      </w:r>
      <w:r>
        <w:t xml:space="preserve">,</w:t>
      </w:r>
      <w:r>
        <w:t xml:space="preserve"> </w:t>
      </w:r>
      <w:r>
        <w:rPr>
          <w:i/>
          <w:iCs/>
        </w:rPr>
        <w:t xml:space="preserve">4</w:t>
      </w:r>
      <w:r>
        <w:t xml:space="preserve">(3), 376–383.</w:t>
      </w:r>
      <w:r>
        <w:t xml:space="preserve"> </w:t>
      </w:r>
      <w:hyperlink r:id="rId77">
        <w:r>
          <w:rPr>
            <w:rStyle w:val="Hyperlink"/>
          </w:rPr>
          <w:t xml:space="preserve">https://doi.org/10.1038/s41559-020-1099-4</w:t>
        </w:r>
      </w:hyperlink>
    </w:p>
    <w:bookmarkEnd w:id="78"/>
    <w:bookmarkStart w:id="80"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79">
        <w:r>
          <w:rPr>
            <w:rStyle w:val="Hyperlink"/>
          </w:rPr>
          <w:t xml:space="preserve">https://doi.org/10.1086/653667</w:t>
        </w:r>
      </w:hyperlink>
    </w:p>
    <w:bookmarkEnd w:id="80"/>
    <w:bookmarkStart w:id="82"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1">
        <w:r>
          <w:rPr>
            <w:rStyle w:val="Hyperlink"/>
          </w:rPr>
          <w:t xml:space="preserve">https://doi.org/10.1126/science.269.5228.1257</w:t>
        </w:r>
      </w:hyperlink>
    </w:p>
    <w:bookmarkEnd w:id="82"/>
    <w:bookmarkStart w:id="84"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3">
        <w:r>
          <w:rPr>
            <w:rStyle w:val="Hyperlink"/>
          </w:rPr>
          <w:t xml:space="preserve">https://doi.org/10.1038/ncomms12718</w:t>
        </w:r>
      </w:hyperlink>
    </w:p>
    <w:bookmarkEnd w:id="84"/>
    <w:bookmarkStart w:id="86"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5">
        <w:r>
          <w:rPr>
            <w:rStyle w:val="Hyperlink"/>
          </w:rPr>
          <w:t xml:space="preserve">https://doi.org/10.1111/j.1461-0248.2009.01407.x</w:t>
        </w:r>
      </w:hyperlink>
    </w:p>
    <w:bookmarkEnd w:id="86"/>
    <w:bookmarkStart w:id="8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87">
        <w:r>
          <w:rPr>
            <w:rStyle w:val="Hyperlink"/>
          </w:rPr>
          <w:t xml:space="preserve">https://doi.org/10.1098/rstb.2021.0063</w:t>
        </w:r>
      </w:hyperlink>
    </w:p>
    <w:bookmarkEnd w:id="88"/>
    <w:bookmarkStart w:id="90"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89">
        <w:r>
          <w:rPr>
            <w:rStyle w:val="Hyperlink"/>
          </w:rPr>
          <w:t xml:space="preserve">https://doi.org/10.32942/X2JW8K</w:t>
        </w:r>
      </w:hyperlink>
    </w:p>
    <w:bookmarkEnd w:id="90"/>
    <w:bookmarkStart w:id="92"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1">
        <w:r>
          <w:rPr>
            <w:rStyle w:val="Hyperlink"/>
          </w:rPr>
          <w:t xml:space="preserve">https://ecoevorxiv.org/repository/view/13495/</w:t>
        </w:r>
      </w:hyperlink>
    </w:p>
    <w:bookmarkEnd w:id="92"/>
    <w:bookmarkStart w:id="94"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3">
        <w:r>
          <w:rPr>
            <w:rStyle w:val="Hyperlink"/>
          </w:rPr>
          <w:t xml:space="preserve">https://doi.org/10.1111/ele.12312</w:t>
        </w:r>
      </w:hyperlink>
    </w:p>
    <w:bookmarkEnd w:id="94"/>
    <w:bookmarkStart w:id="96"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5">
        <w:r>
          <w:rPr>
            <w:rStyle w:val="Hyperlink"/>
          </w:rPr>
          <w:t xml:space="preserve">https://doi.org/10.1038/35004572</w:t>
        </w:r>
      </w:hyperlink>
    </w:p>
    <w:bookmarkEnd w:id="96"/>
    <w:bookmarkStart w:id="98"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97">
        <w:r>
          <w:rPr>
            <w:rStyle w:val="Hyperlink"/>
          </w:rPr>
          <w:t xml:space="preserve">https://doi.org/10.1038/289674a0</w:t>
        </w:r>
      </w:hyperlink>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hyperlink" Id="rId58" Target="https://doi.org/10.1016/j.baae.2011.09.008" TargetMode="External" /><Relationship Type="http://schemas.openxmlformats.org/officeDocument/2006/relationships/hyperlink" Id="rId97" Target="https://doi.org/10.1038/289674a0" TargetMode="External" /><Relationship Type="http://schemas.openxmlformats.org/officeDocument/2006/relationships/hyperlink" Id="rId9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3" Target="https://doi.org/10.1038/ncomms12718" TargetMode="External" /><Relationship Type="http://schemas.openxmlformats.org/officeDocument/2006/relationships/hyperlink" Id="rId77" Target="https://doi.org/10.1038/s41559-020-1099-4" TargetMode="External" /><Relationship Type="http://schemas.openxmlformats.org/officeDocument/2006/relationships/hyperlink" Id="rId73" Target="https://doi.org/10.1073/pnas.0710672105" TargetMode="External" /><Relationship Type="http://schemas.openxmlformats.org/officeDocument/2006/relationships/hyperlink" Id="rId79" Target="https://doi.org/10.1086/653667" TargetMode="External" /><Relationship Type="http://schemas.openxmlformats.org/officeDocument/2006/relationships/hyperlink" Id="rId87" Target="https://doi.org/10.1098/rstb.2021.0063" TargetMode="External" /><Relationship Type="http://schemas.openxmlformats.org/officeDocument/2006/relationships/hyperlink" Id="rId62" Target="https://doi.org/10.1101/2020.06.10.144949" TargetMode="External" /><Relationship Type="http://schemas.openxmlformats.org/officeDocument/2006/relationships/hyperlink" Id="rId75" Target="https://doi.org/10.1111/1365-2435.12799" TargetMode="External" /><Relationship Type="http://schemas.openxmlformats.org/officeDocument/2006/relationships/hyperlink" Id="rId60" Target="https://doi.org/10.1111/2041-210X.12713" TargetMode="External" /><Relationship Type="http://schemas.openxmlformats.org/officeDocument/2006/relationships/hyperlink" Id="rId65" Target="https://doi.org/10.1111/2041-210X.14497" TargetMode="External" /><Relationship Type="http://schemas.openxmlformats.org/officeDocument/2006/relationships/hyperlink" Id="rId67" Target="https://doi.org/10.1111/ele.12073" TargetMode="External" /><Relationship Type="http://schemas.openxmlformats.org/officeDocument/2006/relationships/hyperlink" Id="rId93" Target="https://doi.org/10.1111/ele.12312" TargetMode="External" /><Relationship Type="http://schemas.openxmlformats.org/officeDocument/2006/relationships/hyperlink" Id="rId85" Target="https://doi.org/10.1111/j.1461-0248.2009.01407.x" TargetMode="External" /><Relationship Type="http://schemas.openxmlformats.org/officeDocument/2006/relationships/hyperlink" Id="rId52" Target="https://doi.org/10.1111/oik.02176" TargetMode="External" /><Relationship Type="http://schemas.openxmlformats.org/officeDocument/2006/relationships/hyperlink" Id="rId81" Target="https://doi.org/10.1126/science.269.5228.1257" TargetMode="External" /><Relationship Type="http://schemas.openxmlformats.org/officeDocument/2006/relationships/hyperlink" Id="rId50" Target="https://doi.org/10.1371/journal.pcbi.1011458" TargetMode="External" /><Relationship Type="http://schemas.openxmlformats.org/officeDocument/2006/relationships/hyperlink" Id="rId71" Target="https://doi.org/10.1890/0012-9658(1997)078[0653:ATRFMT]2.0.CO;2" TargetMode="External" /><Relationship Type="http://schemas.openxmlformats.org/officeDocument/2006/relationships/hyperlink" Id="rId54" Target="https://doi.org/10.1890/0012-9658(2006)87[2411:CBRINF]2.0.CO;2" TargetMode="External" /><Relationship Type="http://schemas.openxmlformats.org/officeDocument/2006/relationships/hyperlink" Id="rId69" Target="https://doi.org/10.2307/j.ctvs32rq4" TargetMode="External" /><Relationship Type="http://schemas.openxmlformats.org/officeDocument/2006/relationships/hyperlink" Id="rId89" Target="https://doi.org/10.32942/X2JW8K" TargetMode="External" /><Relationship Type="http://schemas.openxmlformats.org/officeDocument/2006/relationships/hyperlink" Id="rId91" Target="https://ecoevorxiv.org/repository/view/13495/" TargetMode="External" /><Relationship Type="http://schemas.openxmlformats.org/officeDocument/2006/relationships/hyperlink" Id="rId5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j.baae.2011.09.008" TargetMode="External" /><Relationship Type="http://schemas.openxmlformats.org/officeDocument/2006/relationships/hyperlink" Id="rId97" Target="https://doi.org/10.1038/289674a0" TargetMode="External" /><Relationship Type="http://schemas.openxmlformats.org/officeDocument/2006/relationships/hyperlink" Id="rId9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3" Target="https://doi.org/10.1038/ncomms12718" TargetMode="External" /><Relationship Type="http://schemas.openxmlformats.org/officeDocument/2006/relationships/hyperlink" Id="rId77" Target="https://doi.org/10.1038/s41559-020-1099-4" TargetMode="External" /><Relationship Type="http://schemas.openxmlformats.org/officeDocument/2006/relationships/hyperlink" Id="rId73" Target="https://doi.org/10.1073/pnas.0710672105" TargetMode="External" /><Relationship Type="http://schemas.openxmlformats.org/officeDocument/2006/relationships/hyperlink" Id="rId79" Target="https://doi.org/10.1086/653667" TargetMode="External" /><Relationship Type="http://schemas.openxmlformats.org/officeDocument/2006/relationships/hyperlink" Id="rId87" Target="https://doi.org/10.1098/rstb.2021.0063" TargetMode="External" /><Relationship Type="http://schemas.openxmlformats.org/officeDocument/2006/relationships/hyperlink" Id="rId62" Target="https://doi.org/10.1101/2020.06.10.144949" TargetMode="External" /><Relationship Type="http://schemas.openxmlformats.org/officeDocument/2006/relationships/hyperlink" Id="rId75" Target="https://doi.org/10.1111/1365-2435.12799" TargetMode="External" /><Relationship Type="http://schemas.openxmlformats.org/officeDocument/2006/relationships/hyperlink" Id="rId60" Target="https://doi.org/10.1111/2041-210X.12713" TargetMode="External" /><Relationship Type="http://schemas.openxmlformats.org/officeDocument/2006/relationships/hyperlink" Id="rId65" Target="https://doi.org/10.1111/2041-210X.14497" TargetMode="External" /><Relationship Type="http://schemas.openxmlformats.org/officeDocument/2006/relationships/hyperlink" Id="rId67" Target="https://doi.org/10.1111/ele.12073" TargetMode="External" /><Relationship Type="http://schemas.openxmlformats.org/officeDocument/2006/relationships/hyperlink" Id="rId93" Target="https://doi.org/10.1111/ele.12312" TargetMode="External" /><Relationship Type="http://schemas.openxmlformats.org/officeDocument/2006/relationships/hyperlink" Id="rId85" Target="https://doi.org/10.1111/j.1461-0248.2009.01407.x" TargetMode="External" /><Relationship Type="http://schemas.openxmlformats.org/officeDocument/2006/relationships/hyperlink" Id="rId52" Target="https://doi.org/10.1111/oik.02176" TargetMode="External" /><Relationship Type="http://schemas.openxmlformats.org/officeDocument/2006/relationships/hyperlink" Id="rId81" Target="https://doi.org/10.1126/science.269.5228.1257" TargetMode="External" /><Relationship Type="http://schemas.openxmlformats.org/officeDocument/2006/relationships/hyperlink" Id="rId50" Target="https://doi.org/10.1371/journal.pcbi.1011458" TargetMode="External" /><Relationship Type="http://schemas.openxmlformats.org/officeDocument/2006/relationships/hyperlink" Id="rId71" Target="https://doi.org/10.1890/0012-9658(1997)078[0653:ATRFMT]2.0.CO;2" TargetMode="External" /><Relationship Type="http://schemas.openxmlformats.org/officeDocument/2006/relationships/hyperlink" Id="rId54" Target="https://doi.org/10.1890/0012-9658(2006)87[2411:CBRINF]2.0.CO;2" TargetMode="External" /><Relationship Type="http://schemas.openxmlformats.org/officeDocument/2006/relationships/hyperlink" Id="rId69" Target="https://doi.org/10.2307/j.ctvs32rq4" TargetMode="External" /><Relationship Type="http://schemas.openxmlformats.org/officeDocument/2006/relationships/hyperlink" Id="rId89" Target="https://doi.org/10.32942/X2JW8K" TargetMode="External" /><Relationship Type="http://schemas.openxmlformats.org/officeDocument/2006/relationships/hyperlink" Id="rId91" Target="https://ecoevorxiv.org/repository/view/13495/" TargetMode="External" /><Relationship Type="http://schemas.openxmlformats.org/officeDocument/2006/relationships/hyperlink" Id="rId5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Sophia Landon Blake; Andrew P. Beckerman; Dylan Z. Childs</dc:creator>
  <cp:keywords>food webs</cp:keywords>
  <dcterms:created xsi:type="dcterms:W3CDTF">2026-08-19T16:16:05Z</dcterms:created>
  <dcterms:modified xsi:type="dcterms:W3CDTF">2026-08-19T16:16:05Z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