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7.png" ContentType="image/png"/>
  <Override PartName="/word/media/rId33.png" ContentType="image/png"/>
  <Override PartName="/word/media/rId20.png" ContentType="image/png"/>
  <Override PartName="/word/media/rId24.png" ContentType="image/png"/>
  <Override PartName="/word/media/rId4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w:t>
      </w:r>
    </w:p>
    <w:p>
      <w:pPr>
        <w:pStyle w:val="Author"/>
      </w:pPr>
      <w:r>
        <w:t xml:space="preserve">Tanya Strydom</w:t>
      </w:r>
    </w:p>
    <w:p>
      <w:pPr>
        <w:pStyle w:val="Author"/>
      </w:pPr>
      <w:r>
        <w:t xml:space="preserve">Xiaoxiao Li</w:t>
      </w:r>
    </w:p>
    <w:p>
      <w:pPr>
        <w:pStyle w:val="Author"/>
      </w:pPr>
      <w:r>
        <w:t xml:space="preserve">Laura Sophia Landon Blake</w:t>
      </w:r>
    </w:p>
    <w:p>
      <w:pPr>
        <w:pStyle w:val="Author"/>
      </w:pPr>
      <w:r>
        <w:t xml:space="preserve">Andrew P. Beckerman</w:t>
      </w:r>
    </w:p>
    <w:p>
      <w:pPr>
        <w:pStyle w:val="Author"/>
      </w:pPr>
      <w:r>
        <w:t xml:space="preserve">Dylan Z. Childs</w:t>
      </w:r>
    </w:p>
    <w:p>
      <w:pPr>
        <w:pStyle w:val="Date"/>
      </w:pPr>
      <w:r>
        <w:t xml:space="preserve">2026-07-27</w:t>
      </w:r>
    </w:p>
    <w:p>
      <w:pPr>
        <w:pStyle w:val="AbstractTitle"/>
      </w:pPr>
      <w:r>
        <w:t xml:space="preserve">Abstract</w:t>
      </w:r>
    </w:p>
    <w:p>
      <w:pPr>
        <w:pStyle w:val="Abstract"/>
      </w:pPr>
      <w:r>
        <w:t xml:space="preserve">TODO</w:t>
      </w:r>
    </w:p>
    <w:bookmarkStart w:id="9" w:name="introduction"/>
    <w:p>
      <w:pPr>
        <w:pStyle w:val="Heading1"/>
      </w:pPr>
      <w:r>
        <w:t xml:space="preserve">1. Introduction</w:t>
      </w:r>
    </w:p>
    <w:p>
      <w:pPr>
        <w:pStyle w:val="FirstParagraph"/>
      </w:pPr>
      <w:r>
        <w:t xml:space="preserve">For over two decades, community ecology has relied heavily on static generative models as a means to understand the complexity of empirical trophic networks. At the center of this structural framework is the niche model. Introduced by</w:t>
      </w:r>
      <w:r>
        <w:t xml:space="preserve"> </w:t>
      </w:r>
      <w:r>
        <w:t xml:space="preserve">Williams &amp; Martinez (2000)</w:t>
      </w:r>
      <w:r>
        <w:t xml:space="preserve"> </w:t>
      </w:r>
      <w:r>
        <w:t xml:space="preserve">as a major advancement over the strictly hierarchical cascade model</w:t>
      </w:r>
      <w:r>
        <w:t xml:space="preserve"> </w:t>
      </w:r>
      <w:r>
        <w:t xml:space="preserve">(Cohen et al., 1990)</w:t>
      </w:r>
      <w:r>
        <w:t xml:space="preserve">, the niche model posits that complex food webs can be reproduced by mapping species onto a one-dimensional, continuous niche axis where consumers feed on a contiguous interval of prey. The simplicity of these rules has proven to be remarkably successful, being able to accurate replicate emergent topological properties of empirical networks (such as degree distributions, path lengths, and realistic proportions of trophic guilds</w:t>
      </w:r>
      <w:r>
        <w:t xml:space="preserve"> </w:t>
      </w:r>
      <w:r>
        <w:t xml:space="preserve">(Williams &amp; Martinez, 2000)</w:t>
      </w:r>
      <w:r>
        <w:t xml:space="preserve">). Consequently, the niche model has established itself as the default baseline for exploring the macro-ecological patterns of ecosystems, evaluating network robustness to primary extinctions, and parameterising Jacobian matrices to probe the boundaries of ecosystem stability</w:t>
      </w:r>
      <w:r>
        <w:t xml:space="preserve"> </w:t>
      </w:r>
      <w:r>
        <w:t xml:space="preserve">(Allesina &amp; Tang, 2012; Curtsdotter et al., 2011)</w:t>
      </w:r>
      <w:r>
        <w:t xml:space="preserve">.</w:t>
      </w:r>
    </w:p>
    <w:p>
      <w:pPr>
        <w:pStyle w:val="BodyText"/>
      </w:pPr>
      <w:r>
        <w:t xml:space="preserve">However, this widespread reliance on topological heuristics has obscured a fundamental philosophical divide between structural abstractions and the biological processes that realise real-world networks</w:t>
      </w:r>
      <w:r>
        <w:t xml:space="preserve"> </w:t>
      </w:r>
      <w:r>
        <w:t xml:space="preserve">(Strydom, Dunhill, et al., 2026)</w:t>
      </w:r>
      <w:r>
        <w:t xml:space="preserve">. Traditional structural models operate from the network down, prioritising the statistical distribution of links across a network without explicitly accounting for individual organismal traits or evolutionary constraints. In stark contrast, mechanical frameworks build interaction networks from the node up by determining the presence of links between nodes to build the network. For example, the Allometric Diet Breadth Model (ADBM) implements optimal foraging theory, asserting that a consumer’s realised diet is a deterministic outcome of energy maximization relative to handling times and encounter rates scaled to body mass</w:t>
      </w:r>
      <w:r>
        <w:t xml:space="preserve"> </w:t>
      </w:r>
      <w:r>
        <w:t xml:space="preserve">(Petchey et al., 2008)</w:t>
      </w:r>
      <w:r>
        <w:t xml:space="preserve">. Similarly, the Allometric Trophic Network (ATN) framework anchors interaction probabilities in consumer-resource body-mass ratios, treating metabolic scaling and physical size limits as the primary limitations of energy flux</w:t>
      </w:r>
      <w:r>
        <w:t xml:space="preserve"> </w:t>
      </w:r>
      <w:r>
        <w:t xml:space="preserve">(Brose et al., 2006; Schneider et al., 2016)</w:t>
      </w:r>
      <w:r>
        <w:t xml:space="preserve">. Occupying a distinct space between these mechanistic and phenomenological perspectives is the Maximum Entropy (MaxEnt) framework</w:t>
      </w:r>
      <w:r>
        <w:t xml:space="preserve"> </w:t>
      </w:r>
      <w:r>
        <w:t xml:space="preserve">(Banville et al., 2023)</w:t>
      </w:r>
      <w:r>
        <w:t xml:space="preserve">. While MaxEnt remains a structural approach free of explicit biological traits, its philosophical origins lie in statistical mechanics rather than an assumed ecological niche axis. By generating network configurations that maximise informational entropy subject only to macroscopic constraints (such as joint degree distributions), MaxEnt offers a fundamentally different null expectation for network architecture, unburdened by an underlying hierarchical template.</w:t>
      </w:r>
    </w:p>
    <w:p>
      <w:pPr>
        <w:pStyle w:val="BodyText"/>
      </w:pPr>
      <w:r>
        <w:t xml:space="preserve">This conceptual divergence raises a critical question for theoretical ecology: Do these distinct structural, statistical, and bioenergetic templates represent interchangeable starting points that ultimately lead to the same conclusions about community dynamics, or does the choice of network construction inherently bias our understanding of ecosystem stability? Recent work has demonstrated that different network construction methods using identical species pools generate vastly different topological signatures and display high interaction (link-based) differences</w:t>
      </w:r>
      <w:r>
        <w:t xml:space="preserve"> </w:t>
      </w:r>
      <w:r>
        <w:t xml:space="preserve">(Strydom, Karapunar, et al., 2026)</w:t>
      </w:r>
      <w:r>
        <w:t xml:space="preserve">. Because the choice of reconstruction framework influences realised network properties we cannot assume that dynamical predictions are immune to these initial structural assumptions. Indeed, network structure heavily coordinates how biomass is efficiently stored and distributed across trophic levels</w:t>
      </w:r>
      <w:r>
        <w:t xml:space="preserve"> </w:t>
      </w:r>
      <w:r>
        <w:t xml:space="preserve">(Delmas et al., n.d.)</w:t>
      </w:r>
      <w:r>
        <w:t xml:space="preserve">. If the structural template dictates a community’s emergent bioenergetic properties (such as its biomass top-heaviness) then the choice of generative model likely carries heavy, unexplored cascading consequences for long-term community dynamics.</w:t>
      </w:r>
    </w:p>
    <w:p>
      <w:pPr>
        <w:pStyle w:val="BodyText"/>
      </w:pPr>
      <w:r>
        <w:t xml:space="preserve">If the stability of ecological communities is governed primarily by coarse, systemic constraints on topology, then distinct generative models should yield functionally redundant dynamic behaviors and converge under the selective pressure of competitive exclusion. Conversely, if body-mass distributions and optimal foraging behaviors create unique, non-random structural dependencies that cannot be compressed onto a one-dimensional niche axis, defaulting to the niche model may systematically distort our predictions of community resilience and multi-trophic biodiversity loss. In this study, we systematically isolate the inferential consequences of these structural priors. By embedding networks generated from six distinct modelling philosophies (spanning purely structural, statistical, and trait-driven approaches) within an identical bioenergetic simulation framework, we evaluate whether our foundational models function as benign structural templates or if they fundamentally direct the trajectory of ecological inference.</w:t>
      </w:r>
    </w:p>
    <w:bookmarkEnd w:id="9"/>
    <w:bookmarkStart w:id="19" w:name="methods"/>
    <w:p>
      <w:pPr>
        <w:pStyle w:val="Heading1"/>
      </w:pPr>
      <w:r>
        <w:t xml:space="preserve">2. Methods</w:t>
      </w:r>
    </w:p>
    <w:bookmarkStart w:id="11" w:name="network-generation"/>
    <w:p>
      <w:pPr>
        <w:pStyle w:val="Heading2"/>
      </w:pPr>
      <w:r>
        <w:t xml:space="preserve">2.1 Network generation</w:t>
      </w:r>
    </w:p>
    <w:p>
      <w:pPr>
        <w:pStyle w:val="FirstParagraph"/>
      </w:pPr>
      <w:r>
        <w:t xml:space="preserve">We generated food webs using six established generative models, spanning structural (Niche, Cascade, Random, MaxEnt) and trait-based approaches (Latent Trait Model, Allometric Trophic Network, Allometric Diet Breadth Model). All simulations were implemented in Julia using FoodWebTools and custom extensions.</w:t>
      </w:r>
    </w:p>
    <w:p>
      <w:pPr>
        <w:pStyle w:val="BodyText"/>
      </w:pPr>
      <w:r>
        <w:t xml:space="preserve">To isolate model effects from input variation, all trait-based models were parameterised using an identical species pool at each replicate. Species richness was set to range between</w:t>
      </w:r>
      <w:r>
        <w:t xml:space="preserve"> </w:t>
      </w:r>
      <w:r>
        <w:rPr>
          <w:b/>
          <w:bCs/>
        </w:rPr>
        <w:t xml:space="preserve">XXX</w:t>
      </w:r>
      <w:r>
        <w:t xml:space="preserve">,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 where relevant.</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w:t>
      </w:r>
      <w:r>
        <w:t xml:space="preserve"> </w:t>
      </w:r>
      <w:r>
        <w:rPr>
          <w:b/>
          <w:bCs/>
        </w:rPr>
        <w:t xml:space="preserve">100</w:t>
      </w:r>
      <w:r>
        <w:t xml:space="preserve"> </w:t>
      </w:r>
      <w:r>
        <w:t xml:space="preserve">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For each network, we recorded the adjacency matrix, model identity, input parameters, emergent structural properties, and (where applicable) species traits.</w:t>
      </w:r>
    </w:p>
    <w:tbl>
      <w:tblPr>
        <w:tblStyle w:val="Table"/>
        <w:tblW w:type="pct" w:w="5000"/>
        <w:tblLayout w:type="fixed"/>
        <w:tblLook w:firstRow="0" w:lastRow="0" w:firstColumn="0" w:lastColumn="0" w:noHBand="0" w:noVBand="0" w:val="0000"/>
      </w:tblPr>
      <w:tblGrid>
        <w:gridCol w:w="7920"/>
      </w:tblGrid>
      <w:tr>
        <w:tc>
          <w:tcPr/>
          <w:bookmarkStart w:id="10"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952"/>
              <w:gridCol w:w="1952"/>
              <w:gridCol w:w="1952"/>
              <w:gridCol w:w="2061"/>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1D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maximize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 / Dynamic</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 / Dynamic</w:t>
                  </w:r>
                </w:p>
              </w:tc>
              <w:tc>
                <w:tcPr/>
                <w:p>
                  <w:pPr>
                    <w:pStyle w:val="Compact"/>
                    <w:jc w:val="center"/>
                  </w:pPr>
                  <w:r>
                    <w:t xml:space="preserve">Body mass</w:t>
                  </w:r>
                </w:p>
              </w:tc>
              <w:tc>
                <w:tcPr/>
                <w:p>
                  <w:pPr>
                    <w:pStyle w:val="Compact"/>
                    <w:jc w:val="center"/>
                  </w:pPr>
                  <w:r>
                    <w:t xml:space="preserve">Interactions constrained by body-mass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 / Dynamic</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10"/>
          <w:p/>
        </w:tc>
      </w:tr>
    </w:tbl>
    <w:bookmarkEnd w:id="11"/>
    <w:bookmarkStart w:id="12" w:name="network-structure"/>
    <w:p>
      <w:pPr>
        <w:pStyle w:val="Heading2"/>
      </w:pPr>
      <w:r>
        <w:t xml:space="preserve">2.2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p>
      <w:pPr>
        <w:pStyle w:val="BlockText"/>
      </w:pPr>
      <w:r>
        <w:t xml:space="preserve">This could include a table that describes what the metrics</w:t>
      </w:r>
      <w:r>
        <w:t xml:space="preserve"> </w:t>
      </w:r>
      <w:r>
        <w:t xml:space="preserve">‘mean’</w:t>
      </w:r>
      <w:r>
        <w:t xml:space="preserve"> </w:t>
      </w:r>
      <w:r>
        <w:t xml:space="preserve">but maybe we can just lean on the</w:t>
      </w:r>
      <w:r>
        <w:t xml:space="preserve"> </w:t>
      </w:r>
      <w:r>
        <w:t xml:space="preserve">‘usual template’</w:t>
      </w:r>
      <w:r>
        <w:t xml:space="preserve">, maybe some of the feature selection stuff.</w:t>
      </w:r>
    </w:p>
    <w:bookmarkEnd w:id="12"/>
    <w:bookmarkStart w:id="13" w:name="dynamic-simulations"/>
    <w:p>
      <w:pPr>
        <w:pStyle w:val="Heading2"/>
      </w:pPr>
      <w:r>
        <w:t xml:space="preserve">2.3 Dynamic simulations</w:t>
      </w:r>
    </w:p>
    <w:p>
      <w:pPr>
        <w:pStyle w:val="FirstParagraph"/>
      </w:pPr>
      <w:r>
        <w:t xml:space="preserve">To evaluate the dynamical consequences of different generative models, we simulated each network using the bio-energetic food web dynamic model implemented in</w:t>
      </w:r>
      <w:r>
        <w:t xml:space="preserve"> </w:t>
      </w:r>
      <w:r>
        <w:rPr>
          <w:i/>
          <w:iCs/>
        </w:rPr>
        <w:t xml:space="preserve">EcologicalNetworksDynamics.jl</w:t>
      </w:r>
      <w:r>
        <w:t xml:space="preserve"> </w:t>
      </w:r>
      <w:r>
        <w:t xml:space="preserve">(Lajaaiti et al., 2025)</w:t>
      </w:r>
      <w:r>
        <w:t xml:space="preserve">. A key feature of the bio-energetic model is the allometric scaling of metabolism, growth and foraging rates with body mass. For trait-based models (ATN, ADBM, LTN), species body masses were taken from the generative networks and rescaled relative to the producer with the lowest body mass. For structural models (Niche, Cascade, MaxEnt, Random), which did not include body mass information, body masses were assigned from species trophic levels assuming apredator–prey body-mass ratio of 100.</w:t>
      </w:r>
    </w:p>
    <w:p>
      <w:pPr>
        <w:pStyle w:val="BodyText"/>
      </w:pPr>
      <w:r>
        <w:t xml:space="preserve">For a consumer species</w:t>
      </w:r>
      <w:r>
        <w:t xml:space="preserve"> </w:t>
      </w:r>
      <m:oMath>
        <m:r>
          <m:t>i</m:t>
        </m:r>
      </m:oMath>
      <w:r>
        <w:t xml:space="preserve">, biomass dynamics were determined by gains from feeding, losses to predators, and metabolic maintenance, which is expressed as:</w:t>
      </w:r>
    </w:p>
    <w:p>
      <w:pPr>
        <w:pStyle w:val="BodyText"/>
      </w:pPr>
      <m:oMathPara>
        <m:oMathParaPr>
          <m:jc m:val="center"/>
        </m:oMathParaPr>
        <m:oMath>
          <m:f>
            <m:fPr>
              <m:type m:val="bar"/>
            </m:fPr>
            <m:num>
              <m:r>
                <m:t>d</m:t>
              </m:r>
              <m:sSub>
                <m:e>
                  <m:r>
                    <m:t>B</m:t>
                  </m:r>
                </m:e>
                <m:sub>
                  <m:r>
                    <m:t>i</m:t>
                  </m:r>
                </m:sub>
              </m:sSub>
            </m:num>
            <m:den>
              <m:r>
                <m:t>d</m:t>
              </m:r>
              <m:r>
                <m:t>t</m:t>
              </m:r>
            </m:den>
          </m:f>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e</m:t>
                  </m:r>
                </m:e>
                <m:sub>
                  <m:r>
                    <m:t>i</m:t>
                  </m:r>
                  <m:r>
                    <m:t>j</m:t>
                  </m:r>
                </m:sub>
              </m:sSub>
            </m:e>
          </m:nary>
          <m:sSub>
            <m:e>
              <m:r>
                <m:t>B</m:t>
              </m:r>
            </m:e>
            <m:sub>
              <m:r>
                <m:t>i</m:t>
              </m:r>
            </m:sub>
          </m:sSub>
          <m:sSub>
            <m:e>
              <m:r>
                <m:t>F</m:t>
              </m:r>
            </m:e>
            <m:sub>
              <m:r>
                <m:t>i</m:t>
              </m:r>
              <m:r>
                <m:t>j</m:t>
              </m:r>
            </m:sub>
          </m:sSub>
          <m:r>
            <m:rPr>
              <m:sty m:val="p"/>
            </m:rPr>
            <m:t>−</m:t>
          </m:r>
          <m:nary>
            <m:naryPr>
              <m:chr m:val="∑"/>
              <m:limLoc m:val="undOvr"/>
              <m:subHide m:val="off"/>
              <m:supHide m:val="on"/>
            </m:naryPr>
            <m:sub>
              <m:r>
                <m:t>j</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i</m:t>
              </m:r>
              <m:r>
                <m:rPr>
                  <m:sty m:val="p"/>
                </m:rPr>
                <m:t>)</m:t>
              </m:r>
            </m:sub>
            <m:sup>
              <m:r>
                <m:t>​</m:t>
              </m:r>
            </m:sup>
            <m:e>
              <m:sSub>
                <m:e>
                  <m:r>
                    <m:t>B</m:t>
                  </m:r>
                </m:e>
                <m:sub>
                  <m:r>
                    <m:t>j</m:t>
                  </m:r>
                </m:sub>
              </m:sSub>
            </m:e>
          </m:nary>
          <m:sSub>
            <m:e>
              <m:r>
                <m:t>F</m:t>
              </m:r>
            </m:e>
            <m:sub>
              <m:r>
                <m:t>j</m:t>
              </m:r>
              <m:r>
                <m:t>i</m:t>
              </m:r>
            </m:sub>
          </m:sSub>
          <m:r>
            <m:rPr>
              <m:sty m:val="p"/>
            </m:rPr>
            <m:t>−</m:t>
          </m:r>
          <m:sSub>
            <m:e>
              <m:r>
                <m:t>x</m:t>
              </m:r>
            </m:e>
            <m:sub>
              <m:r>
                <m:t>i</m:t>
              </m:r>
            </m:sub>
          </m:sSub>
          <m:sSub>
            <m:e>
              <m:r>
                <m:t>B</m:t>
              </m:r>
            </m:e>
            <m:sub>
              <m:r>
                <m:t>i</m:t>
              </m:r>
            </m:sub>
          </m:sSub>
        </m:oMath>
      </m:oMathPara>
    </w:p>
    <w:p>
      <w:pPr>
        <w:pStyle w:val="FirstParagraph"/>
      </w:pPr>
      <w:r>
        <w:t xml:space="preserve">where</w:t>
      </w:r>
      <w:r>
        <w:t xml:space="preserve"> </w:t>
      </w:r>
      <m:oMath>
        <m:sSub>
          <m:e>
            <m:r>
              <m:t>B</m:t>
            </m:r>
          </m:e>
          <m:sub>
            <m:r>
              <m:t>i</m:t>
            </m:r>
          </m:sub>
        </m:sSub>
      </m:oMath>
      <w:r>
        <w:t xml:space="preserve"> </w:t>
      </w:r>
      <w:r>
        <w:t xml:space="preserve">is the biomass of consumer</w:t>
      </w:r>
      <w:r>
        <w:t xml:space="preserve"> </w:t>
      </w:r>
      <m:oMath>
        <m:r>
          <m:t>i</m:t>
        </m:r>
      </m:oMath>
      <w:r>
        <w:t xml:space="preserve">,</w:t>
      </w:r>
      <w:r>
        <w:t xml:space="preserve"> </w:t>
      </w:r>
      <m:oMath>
        <m:sSub>
          <m:e>
            <m:r>
              <m:t>e</m:t>
            </m:r>
          </m:e>
          <m:sub>
            <m:r>
              <m:t>i</m:t>
            </m:r>
            <m:r>
              <m:t>j</m:t>
            </m:r>
          </m:sub>
        </m:sSub>
      </m:oMath>
      <w:r>
        <w:t xml:space="preserve"> </w:t>
      </w:r>
      <w:r>
        <w:t xml:space="preserve">is its assimilation efficiency when feeding on prey</w:t>
      </w:r>
      <w:r>
        <w:t xml:space="preserve"> </w:t>
      </w:r>
      <w:r>
        <w:rPr>
          <w:i/>
          <w:iCs/>
        </w:rPr>
        <w:t xml:space="preserve">j</w:t>
      </w:r>
      <w:r>
        <w:t xml:space="preserve">,</w:t>
      </w:r>
      <w:r>
        <w:t xml:space="preserve"> </w:t>
      </w:r>
      <m:oMath>
        <m:sSub>
          <m:e>
            <m:r>
              <m:t>x</m:t>
            </m:r>
          </m:e>
          <m:sub>
            <m:r>
              <m:t>i</m:t>
            </m:r>
          </m:sub>
        </m:sSub>
      </m:oMath>
      <w:r>
        <w:t xml:space="preserve"> </w:t>
      </w:r>
      <w:r>
        <w:t xml:space="preserve">is its metabolic rate scaled with body mass, and</w:t>
      </w:r>
      <w:r>
        <w:t xml:space="preserve"> </w:t>
      </w:r>
      <m:oMath>
        <m:sSub>
          <m:e>
            <m:r>
              <m:t>F</m:t>
            </m:r>
          </m:e>
          <m:sub>
            <m:r>
              <m:t>i</m:t>
            </m:r>
            <m:r>
              <m:t>j</m:t>
            </m:r>
          </m:sub>
        </m:sSub>
      </m:oMath>
      <w:r>
        <w:t xml:space="preserve"> </w:t>
      </w:r>
      <w:r>
        <w:t xml:space="preserve">is the functional response of consumer</w:t>
      </w:r>
      <w:r>
        <w:t xml:space="preserve"> </w:t>
      </w:r>
      <w:r>
        <w:rPr>
          <w:i/>
          <w:iCs/>
        </w:rPr>
        <w:t xml:space="preserve">i</w:t>
      </w:r>
      <w:r>
        <w:t xml:space="preserve"> </w:t>
      </w:r>
      <w:r>
        <w:t xml:space="preserve">feeding on prey</w:t>
      </w:r>
      <w:r>
        <w:t xml:space="preserve"> </w:t>
      </w:r>
      <w:r>
        <w:rPr>
          <w:i/>
          <w:iCs/>
        </w:rPr>
        <w:t xml:space="preserve">j</w:t>
      </w:r>
      <w:r>
        <w:t xml:space="preserve">, defined as</w:t>
      </w:r>
    </w:p>
    <w:p>
      <w:pPr>
        <w:pStyle w:val="BodyText"/>
      </w:pPr>
      <m:oMathPara>
        <m:oMathParaPr>
          <m:jc m:val="center"/>
        </m:oMathParaPr>
        <m:oMath>
          <m:sSub>
            <m:e>
              <m:r>
                <m:t>F</m:t>
              </m:r>
            </m:e>
            <m:sub>
              <m:r>
                <m:t>i</m:t>
              </m:r>
              <m:r>
                <m:t>j</m:t>
              </m:r>
            </m:sub>
          </m:sSub>
          <m:r>
            <m:rPr>
              <m:sty m:val="p"/>
            </m:rPr>
            <m:t>=</m:t>
          </m:r>
          <m:f>
            <m:fPr>
              <m:type m:val="bar"/>
            </m:fPr>
            <m:num>
              <m:sSub>
                <m:e>
                  <m:r>
                    <m:t>ω</m:t>
                  </m:r>
                </m:e>
                <m:sub>
                  <m:r>
                    <m:t>i</m:t>
                  </m:r>
                </m:sub>
              </m:sSub>
              <m:sSub>
                <m:e>
                  <m:r>
                    <m:t>a</m:t>
                  </m:r>
                </m:e>
                <m:sub>
                  <m:r>
                    <m:t>i</m:t>
                  </m:r>
                  <m:r>
                    <m:t>j</m:t>
                  </m:r>
                </m:sub>
              </m:sSub>
              <m:sSubSup>
                <m:e>
                  <m:r>
                    <m:t>B</m:t>
                  </m:r>
                </m:e>
                <m:sub>
                  <m:r>
                    <m:t>j</m:t>
                  </m:r>
                </m:sub>
                <m:sup>
                  <m:r>
                    <m:t>h</m:t>
                  </m:r>
                </m:sup>
              </m:sSubSup>
            </m:num>
            <m:den>
              <m:sSub>
                <m:e>
                  <m:r>
                    <m:t>M</m:t>
                  </m:r>
                </m:e>
                <m:sub>
                  <m:r>
                    <m:t>i</m:t>
                  </m:r>
                </m:sub>
              </m:sSub>
              <m:d>
                <m:dPr>
                  <m:begChr m:val="("/>
                  <m:sepChr m:val=""/>
                  <m:endChr m:val=")"/>
                  <m:grow/>
                </m:dPr>
                <m:e>
                  <m:r>
                    <m:t>1</m:t>
                  </m:r>
                  <m:r>
                    <m:rPr>
                      <m:sty m:val="p"/>
                    </m:rPr>
                    <m:t>+</m:t>
                  </m:r>
                  <m:nary>
                    <m:naryPr>
                      <m:chr m:val="∑"/>
                      <m:limLoc m:val="undOvr"/>
                      <m:subHide m:val="off"/>
                      <m:supHide m:val="on"/>
                    </m:naryPr>
                    <m:sub>
                      <m:r>
                        <m:t>k</m:t>
                      </m:r>
                      <m:r>
                        <m:rPr>
                          <m:sty m:val="p"/>
                        </m:rPr>
                        <m:t>∈</m:t>
                      </m:r>
                      <m:r>
                        <m:rPr>
                          <m:sty m:val="p"/>
                        </m:rPr>
                        <m:t>p</m:t>
                      </m:r>
                      <m:r>
                        <m:rPr>
                          <m:sty m:val="p"/>
                        </m:rPr>
                        <m:t>r</m:t>
                      </m:r>
                      <m:r>
                        <m:rPr>
                          <m:sty m:val="p"/>
                        </m:rPr>
                        <m:t>e</m:t>
                      </m:r>
                      <m:r>
                        <m:rPr>
                          <m:sty m:val="p"/>
                        </m:rPr>
                        <m:t>y</m:t>
                      </m:r>
                      <m:r>
                        <m:rPr>
                          <m:sty m:val="p"/>
                        </m:rPr>
                        <m:t>(</m:t>
                      </m:r>
                      <m:r>
                        <m:t>i</m:t>
                      </m:r>
                      <m:r>
                        <m:rPr>
                          <m:sty m:val="p"/>
                        </m:rPr>
                        <m:t>)</m:t>
                      </m:r>
                    </m:sub>
                    <m:sup>
                      <m:r>
                        <m:t>​</m:t>
                      </m:r>
                    </m:sup>
                    <m:e>
                      <m:sSub>
                        <m:e>
                          <m:r>
                            <m:t>ω</m:t>
                          </m:r>
                        </m:e>
                        <m:sub>
                          <m:r>
                            <m:t>i</m:t>
                          </m:r>
                        </m:sub>
                      </m:sSub>
                    </m:e>
                  </m:nary>
                  <m:sSub>
                    <m:e>
                      <m:r>
                        <m:t>a</m:t>
                      </m:r>
                    </m:e>
                    <m:sub>
                      <m:r>
                        <m:t>i</m:t>
                      </m:r>
                      <m:r>
                        <m:t>k</m:t>
                      </m:r>
                    </m:sub>
                  </m:sSub>
                  <m:sSub>
                    <m:e>
                      <m:r>
                        <m:t>h</m:t>
                      </m:r>
                    </m:e>
                    <m:sub>
                      <m:r>
                        <m:t>i</m:t>
                      </m:r>
                      <m:r>
                        <m:t>k</m:t>
                      </m:r>
                    </m:sub>
                  </m:sSub>
                  <m:sSubSup>
                    <m:e>
                      <m:r>
                        <m:t>B</m:t>
                      </m:r>
                    </m:e>
                    <m:sub>
                      <m:r>
                        <m:t>k</m:t>
                      </m:r>
                    </m:sub>
                    <m:sup>
                      <m:r>
                        <m:t>h</m:t>
                      </m:r>
                    </m:sup>
                  </m:sSubSup>
                </m:e>
              </m:d>
            </m:den>
          </m:f>
        </m:oMath>
      </m:oMathPara>
    </w:p>
    <w:p>
      <w:pPr>
        <w:pStyle w:val="FirstParagraph"/>
      </w:pPr>
      <w:r>
        <w:br/>
      </w:r>
      <w:r>
        <w:t xml:space="preserve">where</w:t>
      </w:r>
      <w:r>
        <w:t xml:space="preserve"> </w:t>
      </w:r>
      <m:oMath>
        <m:sSub>
          <m:e>
            <m:r>
              <m:t>w</m:t>
            </m:r>
          </m:e>
          <m:sub>
            <m:r>
              <m:t>i</m:t>
            </m:r>
          </m:sub>
        </m:sSub>
      </m:oMath>
      <w:r>
        <w:t xml:space="preserve"> </w:t>
      </w:r>
      <w:r>
        <w:t xml:space="preserve">is the equal preference of the consumer i feeding on its prey,</w:t>
      </w:r>
      <w:r>
        <w:t xml:space="preserve"> </w:t>
      </w:r>
      <m:oMath>
        <m:sSub>
          <m:e>
            <m:r>
              <m:t>w</m:t>
            </m:r>
          </m:e>
          <m:sub>
            <m:r>
              <m:t>i</m:t>
            </m:r>
          </m:sub>
        </m:sSub>
      </m:oMath>
      <w:r>
        <w:t xml:space="preserve"> </w:t>
      </w:r>
      <w:r>
        <w:t xml:space="preserve">= 1/number of prey species.</w:t>
      </w:r>
      <w:r>
        <w:t xml:space="preserve"> </w:t>
      </w:r>
      <m:oMath>
        <m:sSub>
          <m:e>
            <m:r>
              <m:t>a</m:t>
            </m:r>
          </m:e>
          <m:sub>
            <m:r>
              <m:t>i</m:t>
            </m:r>
            <m:r>
              <m:t>j</m:t>
            </m:r>
          </m:sub>
        </m:sSub>
      </m:oMath>
      <w:r>
        <w:t xml:space="preserve"> </w:t>
      </w:r>
      <w:r>
        <w:t xml:space="preserve">is the attack rate,</w:t>
      </w:r>
      <w:r>
        <w:t xml:space="preserve"> </w:t>
      </w:r>
      <m:oMath>
        <m:sSub>
          <m:e>
            <m:r>
              <m:t>h</m:t>
            </m:r>
          </m:e>
          <m:sub>
            <m:r>
              <m:t>i</m:t>
            </m:r>
            <m:r>
              <m:t>j</m:t>
            </m:r>
          </m:sub>
        </m:sSub>
      </m:oMath>
      <w:r>
        <w:t xml:space="preserve"> </w:t>
      </w:r>
      <w:r>
        <w:t xml:space="preserve">is the handling time, and</w:t>
      </w:r>
      <w:r>
        <w:t xml:space="preserve"> </w:t>
      </w:r>
      <m:oMath>
        <m:sSub>
          <m:e>
            <m:r>
              <m:t>M</m:t>
            </m:r>
          </m:e>
          <m:sub>
            <m:r>
              <m:t>i</m:t>
            </m:r>
          </m:sub>
        </m:sSub>
      </m:oMath>
      <w:r>
        <w:t xml:space="preserve"> </w:t>
      </w:r>
      <w:r>
        <w:t xml:space="preserve">is the body mass of consumer</w:t>
      </w:r>
      <w:r>
        <w:t xml:space="preserve"> </w:t>
      </w:r>
      <w:r>
        <w:rPr>
          <w:i/>
          <w:iCs/>
        </w:rPr>
        <w:t xml:space="preserve">i</w:t>
      </w:r>
      <w:r>
        <w:t xml:space="preserve">. Attack rates and handling times scaled with both consumer and prey body masses. The Hill exponent was set to</w:t>
      </w:r>
      <w:r>
        <w:t xml:space="preserve"> </w:t>
      </w:r>
      <m:oMath>
        <m:r>
          <m:t>h</m:t>
        </m:r>
        <m:r>
          <m:rPr>
            <m:sty m:val="p"/>
          </m:rPr>
          <m:t>=</m:t>
        </m:r>
        <m:r>
          <m:t>2</m:t>
        </m:r>
      </m:oMath>
      <w:r>
        <w:t xml:space="preserve"> </w:t>
      </w:r>
      <w:r>
        <w:t xml:space="preserve">as a Type III functional response.</w:t>
      </w:r>
    </w:p>
    <w:p>
      <w:pPr>
        <w:pStyle w:val="BodyText"/>
      </w:pPr>
      <w:r>
        <w:t xml:space="preserve">For a basal species</w:t>
      </w:r>
      <w:r>
        <w:t xml:space="preserve"> </w:t>
      </w:r>
      <m:oMath>
        <m:r>
          <m:t>j</m:t>
        </m:r>
      </m:oMath>
      <w:r>
        <w:t xml:space="preserve">, biomass dynamics were determined by its logistic growth and losses to consumers, expressed as:</w:t>
      </w:r>
    </w:p>
    <w:p>
      <w:pPr>
        <w:pStyle w:val="BodyText"/>
      </w:pPr>
      <m:oMathPara>
        <m:oMathParaPr>
          <m:jc m:val="center"/>
        </m:oMathParaPr>
        <m:oMath>
          <m:f>
            <m:fPr>
              <m:type m:val="bar"/>
            </m:fPr>
            <m:num>
              <m:r>
                <m:t>d</m:t>
              </m:r>
              <m:sSub>
                <m:e>
                  <m:r>
                    <m:t>B</m:t>
                  </m:r>
                </m:e>
                <m:sub>
                  <m:r>
                    <m:t>j</m:t>
                  </m:r>
                </m:sub>
              </m:sSub>
            </m:num>
            <m:den>
              <m:r>
                <m:t>d</m:t>
              </m:r>
              <m:r>
                <m:t>t</m:t>
              </m:r>
            </m:den>
          </m:f>
          <m:r>
            <m:rPr>
              <m:sty m:val="p"/>
            </m:rPr>
            <m:t>=</m:t>
          </m:r>
          <m:sSub>
            <m:e>
              <m:r>
                <m:t>r</m:t>
              </m:r>
            </m:e>
            <m:sub>
              <m:r>
                <m:t>j</m:t>
              </m:r>
            </m:sub>
          </m:sSub>
          <m:sSub>
            <m:e>
              <m:r>
                <m:t>G</m:t>
              </m:r>
            </m:e>
            <m:sub>
              <m:r>
                <m:t>j</m:t>
              </m:r>
            </m:sub>
          </m:sSub>
          <m:sSub>
            <m:e>
              <m:r>
                <m:t>B</m:t>
              </m:r>
            </m:e>
            <m:sub>
              <m:r>
                <m:t>j</m:t>
              </m:r>
            </m:sub>
          </m:sSub>
          <m:r>
            <m:rPr>
              <m:sty m:val="p"/>
            </m:rPr>
            <m:t>−</m:t>
          </m:r>
          <m:nary>
            <m:naryPr>
              <m:chr m:val="∑"/>
              <m:limLoc m:val="undOvr"/>
              <m:subHide m:val="off"/>
              <m:supHide m:val="on"/>
            </m:naryPr>
            <m:sub>
              <m:r>
                <m:t>i</m:t>
              </m:r>
              <m:r>
                <m:rPr>
                  <m:sty m:val="p"/>
                </m:rPr>
                <m:t>∈</m:t>
              </m:r>
              <m:r>
                <m:rPr>
                  <m:sty m:val="p"/>
                </m:rPr>
                <m:t>p</m:t>
              </m:r>
              <m:r>
                <m:rPr>
                  <m:sty m:val="p"/>
                </m:rPr>
                <m:t>r</m:t>
              </m:r>
              <m:r>
                <m:rPr>
                  <m:sty m:val="p"/>
                </m:rPr>
                <m:t>e</m:t>
              </m:r>
              <m:r>
                <m:rPr>
                  <m:sty m:val="p"/>
                </m:rPr>
                <m:t>d</m:t>
              </m:r>
              <m:r>
                <m:rPr>
                  <m:sty m:val="p"/>
                </m:rPr>
                <m:t>a</m:t>
              </m:r>
              <m:r>
                <m:rPr>
                  <m:sty m:val="p"/>
                </m:rPr>
                <m:t>t</m:t>
              </m:r>
              <m:r>
                <m:rPr>
                  <m:sty m:val="p"/>
                </m:rPr>
                <m:t>o</m:t>
              </m:r>
              <m:r>
                <m:rPr>
                  <m:sty m:val="p"/>
                </m:rPr>
                <m:t>r</m:t>
              </m:r>
              <m:r>
                <m:rPr>
                  <m:sty m:val="p"/>
                </m:rPr>
                <m:t>s</m:t>
              </m:r>
              <m:r>
                <m:rPr>
                  <m:sty m:val="p"/>
                </m:rPr>
                <m:t>(</m:t>
              </m:r>
              <m:r>
                <m:t>j</m:t>
              </m:r>
              <m:r>
                <m:rPr>
                  <m:sty m:val="p"/>
                </m:rPr>
                <m:t>)</m:t>
              </m:r>
            </m:sub>
            <m:sup>
              <m:r>
                <m:t>​</m:t>
              </m:r>
            </m:sup>
            <m:e>
              <m:sSub>
                <m:e>
                  <m:r>
                    <m:t>B</m:t>
                  </m:r>
                </m:e>
                <m:sub>
                  <m:r>
                    <m:t>i</m:t>
                  </m:r>
                </m:sub>
              </m:sSub>
            </m:e>
          </m:nary>
          <m:sSub>
            <m:e>
              <m:r>
                <m:t>F</m:t>
              </m:r>
            </m:e>
            <m:sub>
              <m:r>
                <m:t>i</m:t>
              </m:r>
              <m:r>
                <m:t>j</m:t>
              </m:r>
            </m:sub>
          </m:sSub>
        </m:oMath>
      </m:oMathPara>
    </w:p>
    <w:p>
      <w:pPr>
        <w:pStyle w:val="FirstParagraph"/>
      </w:pPr>
      <w:r>
        <w:t xml:space="preserve">where</w:t>
      </w:r>
      <w:r>
        <w:t xml:space="preserve"> </w:t>
      </w:r>
      <m:oMath>
        <m:sSub>
          <m:e>
            <m:r>
              <m:t>r</m:t>
            </m:r>
          </m:e>
          <m:sub>
            <m:r>
              <m:t>j</m:t>
            </m:r>
          </m:sub>
        </m:sSub>
      </m:oMath>
      <w:r>
        <w:t xml:space="preserve"> </w:t>
      </w:r>
      <w:r>
        <w:t xml:space="preserve">is the intrinsic growth rate and</w:t>
      </w:r>
      <w:r>
        <w:t xml:space="preserve"> </w:t>
      </w:r>
      <m:oMath>
        <m:sSub>
          <m:e>
            <m:r>
              <m:t>G</m:t>
            </m:r>
          </m:e>
          <m:sub>
            <m:r>
              <m:t>j</m:t>
            </m:r>
          </m:sub>
        </m:sSub>
        <m:r>
          <m:rPr>
            <m:sty m:val="p"/>
          </m:rPr>
          <m:t>=</m:t>
        </m:r>
        <m:r>
          <m:t>1</m:t>
        </m:r>
        <m:r>
          <m:rPr>
            <m:sty m:val="p"/>
          </m:rPr>
          <m:t>−</m:t>
        </m:r>
        <m:f>
          <m:fPr>
            <m:type m:val="bar"/>
          </m:fPr>
          <m:num>
            <m:sSub>
              <m:e>
                <m:r>
                  <m:t>B</m:t>
                </m:r>
              </m:e>
              <m:sub>
                <m:r>
                  <m:t>j</m:t>
                </m:r>
              </m:sub>
            </m:sSub>
          </m:num>
          <m:den>
            <m:sSub>
              <m:e>
                <m:r>
                  <m:t>K</m:t>
                </m:r>
              </m:e>
              <m:sub>
                <m:r>
                  <m:t>j</m:t>
                </m:r>
              </m:sub>
            </m:sSub>
          </m:den>
        </m:f>
      </m:oMath>
      <w:r>
        <w:t xml:space="preserve"> </w:t>
      </w:r>
      <w:r>
        <w:t xml:space="preserve">is the logistic growth modifier , with</w:t>
      </w:r>
      <w:r>
        <w:t xml:space="preserve"> </w:t>
      </w:r>
      <m:oMath>
        <m:sSub>
          <m:e>
            <m:r>
              <m:t>K</m:t>
            </m:r>
          </m:e>
          <m:sub>
            <m:r>
              <m:t>j</m:t>
            </m:r>
          </m:sub>
        </m:sSub>
      </m:oMath>
      <w:r>
        <w:t xml:space="preserve"> </w:t>
      </w:r>
      <w:r>
        <w:t xml:space="preserve">is the carrying capacity. Both</w:t>
      </w:r>
      <w:r>
        <w:t xml:space="preserve"> </w:t>
      </w:r>
      <m:oMath>
        <m:sSub>
          <m:e>
            <m:r>
              <m:t>r</m:t>
            </m:r>
          </m:e>
          <m:sub>
            <m:r>
              <m:t>j</m:t>
            </m:r>
          </m:sub>
        </m:sSub>
      </m:oMath>
      <w:r>
        <w:t xml:space="preserve"> </w:t>
      </w:r>
      <w:r>
        <w:t xml:space="preserve">and</w:t>
      </w:r>
      <w:r>
        <w:t xml:space="preserve"> </w:t>
      </w:r>
      <m:oMath>
        <m:sSub>
          <m:e>
            <m:r>
              <m:t>K</m:t>
            </m:r>
          </m:e>
          <m:sub>
            <m:r>
              <m:t>j</m:t>
            </m:r>
          </m:sub>
        </m:sSub>
      </m:oMath>
      <w:r>
        <w:t xml:space="preserve"> </w:t>
      </w:r>
      <w:r>
        <w:t xml:space="preserve">scaled with species body mass.</w:t>
      </w:r>
    </w:p>
    <w:p>
      <w:pPr>
        <w:pStyle w:val="BodyText"/>
      </w:pPr>
      <w:r>
        <w:t xml:space="preserve">All allometric constants used to parametrisse</w:t>
      </w:r>
      <w:r>
        <w:t xml:space="preserve"> </w:t>
      </w:r>
      <m:oMath>
        <m:sSub>
          <m:e>
            <m:r>
              <m:t>x</m:t>
            </m:r>
          </m:e>
          <m:sub>
            <m:r>
              <m:t>i</m:t>
            </m:r>
          </m:sub>
        </m:sSub>
      </m:oMath>
      <w:r>
        <w:t xml:space="preserve">,</w:t>
      </w:r>
      <w:r>
        <w:t xml:space="preserve"> </w:t>
      </w:r>
      <m:oMath>
        <m:sSub>
          <m:e>
            <m:r>
              <m:t>a</m:t>
            </m:r>
          </m:e>
          <m:sub>
            <m:r>
              <m:t>i</m:t>
            </m:r>
            <m:r>
              <m:t>j</m:t>
            </m:r>
          </m:sub>
        </m:sSub>
      </m:oMath>
      <w:r>
        <w:t xml:space="preserve">,</w:t>
      </w:r>
      <w:r>
        <w:t xml:space="preserve"> </w:t>
      </w:r>
      <m:oMath>
        <m:sSub>
          <m:e>
            <m:r>
              <m:t>h</m:t>
            </m:r>
          </m:e>
          <m:sub>
            <m:r>
              <m:t>i</m:t>
            </m:r>
            <m:r>
              <m:t>j</m:t>
            </m:r>
          </m:sub>
        </m:sSub>
      </m:oMath>
      <w:r>
        <w:t xml:space="preserve">,</w:t>
      </w:r>
      <w:r>
        <w:t xml:space="preserve"> </w:t>
      </w:r>
      <m:oMath>
        <m:sSub>
          <m:e>
            <m:r>
              <m:t>r</m:t>
            </m:r>
          </m:e>
          <m:sub>
            <m:r>
              <m:t>j</m:t>
            </m:r>
          </m:sub>
        </m:sSub>
      </m:oMath>
      <w:r>
        <w:t xml:space="preserve">, and</w:t>
      </w:r>
      <w:r>
        <w:t xml:space="preserve"> </w:t>
      </w:r>
      <m:oMath>
        <m:sSub>
          <m:e>
            <m:r>
              <m:t>K</m:t>
            </m:r>
          </m:e>
          <m:sub>
            <m:r>
              <m:t>j</m:t>
            </m:r>
          </m:sub>
        </m:sSub>
      </m:oMath>
      <w:r>
        <w:t xml:space="preserve"> </w:t>
      </w:r>
      <w:r>
        <w:t xml:space="preserve">were set to the default values provided by</w:t>
      </w:r>
      <w:r>
        <w:t xml:space="preserve"> </w:t>
      </w:r>
      <w:r>
        <w:t xml:space="preserve">(Lajaaiti et al., 2025)</w:t>
      </w:r>
      <w:r>
        <w:t xml:space="preserve">.</w:t>
      </w:r>
    </w:p>
    <w:p>
      <w:pPr>
        <w:pStyle w:val="BodyText"/>
      </w:pPr>
      <w:r>
        <w:t xml:space="preserve">Each network was simulated until it reached a steady state. Species were considered extinct when their biomass fell below 10−6. At equilibrium, both extinct species and disconnected species were removed, yielding the realised post-simulation network.</w:t>
      </w:r>
    </w:p>
    <w:bookmarkEnd w:id="13"/>
    <w:bookmarkStart w:id="17" w:name="post-simulation-analyses"/>
    <w:p>
      <w:pPr>
        <w:pStyle w:val="Heading2"/>
      </w:pPr>
      <w:r>
        <w:t xml:space="preserve">2.4 Post-simulation analyses</w:t>
      </w:r>
    </w:p>
    <w:bookmarkStart w:id="14" w:name="realistic-networks"/>
    <w:p>
      <w:pPr>
        <w:pStyle w:val="Heading3"/>
      </w:pPr>
      <w:r>
        <w:t xml:space="preserve">2.4.1 Realistic Networks</w:t>
      </w:r>
    </w:p>
    <w:p>
      <w:pPr>
        <w:pStyle w:val="FirstParagraph"/>
      </w:pPr>
      <w:r>
        <w:t xml:space="preserve">Something about assessing which networks we generate actually</w:t>
      </w:r>
      <w:r>
        <w:t xml:space="preserve"> </w:t>
      </w:r>
      <w:r>
        <w:t xml:space="preserve">‘look’</w:t>
      </w:r>
      <w:r>
        <w:t xml:space="preserve"> </w:t>
      </w:r>
      <w:r>
        <w:t xml:space="preserve">like we expect a network to look</w:t>
      </w:r>
      <w:r>
        <w:t xml:space="preserve"> </w:t>
      </w:r>
      <w:r>
        <w:rPr>
          <w:i/>
          <w:iCs/>
        </w:rPr>
        <w:t xml:space="preserve">i.e.,</w:t>
      </w:r>
      <w:r>
        <w:t xml:space="preserve"> </w:t>
      </w:r>
      <w:r>
        <w:t xml:space="preserve">there is a degree of ecological plausibility. Things to think about - at the network level things like Co, max trophic level and percent basal and st the node level - loops (although maybe not?), isolated species, illogical species.</w:t>
      </w:r>
    </w:p>
    <w:bookmarkEnd w:id="14"/>
    <w:bookmarkStart w:id="15" w:name="phenotypic-trajectory-analysis"/>
    <w:p>
      <w:pPr>
        <w:pStyle w:val="Heading3"/>
      </w:pPr>
      <w:r>
        <w:t xml:space="preserve">2.4.2 Phenotypic trajectory analysis</w:t>
      </w:r>
    </w:p>
    <w:p>
      <w:pPr>
        <w:pStyle w:val="FirstParagraph"/>
      </w:pPr>
      <w:r>
        <w:t xml:space="preserve">To quantify how ecological dynamics reshaped network topology, all structural metrics were recalculated following the dynamic simulations using the realised (post-extinction) network. These post-dynamics metrics were compared with those of the initial network using a phenotypic trajectory analysis (PTA) framework [REF], where each network was represented as a point in a multivariate topology space defined by the suite of structural network metrics [TABLE]. Prior to analysis, all metrics were standardised (mean = 0, SD = 1) to remove differences in scale before constructing a common topology space using principal component analysis (PCA). Both pre- and post-dynamics networks were projected into this shared ordination, allowing each network to be represented by a trajectory from its initial to realised topology.</w:t>
      </w:r>
    </w:p>
    <w:p>
      <w:pPr>
        <w:pStyle w:val="BodyText"/>
      </w:pPr>
      <w:r>
        <w:t xml:space="preserve">Trajectory vectors were calculated as the displacement between pre- and post-dynamics positions in the five-dimensional PCA space. Trajectory length was calculated as the Euclidean distance between the two states, providing a measure of the magnitude of topological change. Mean trajectories (centroids) were calculated for each network reconstruction model to summarise their overall direction of change. Pairwise angular differences between trajectory vectors were then calculated using cosine similarity to quantify whether different reconstruction models exhibited similar directions of topological change, independent of the magnitude of displacement. Finally, convergence among network topologies was assessed by calculating each network’s Euclidean distance to the global post-dynamics centroid before and after simulation, with positive reductions in distance indicating convergence towards a common realised network topology.</w:t>
      </w:r>
    </w:p>
    <w:bookmarkEnd w:id="15"/>
    <w:bookmarkStart w:id="16" w:name="community-stability"/>
    <w:p>
      <w:pPr>
        <w:pStyle w:val="Heading3"/>
      </w:pPr>
      <w:r>
        <w:t xml:space="preserve">2.4.3 Community stability</w:t>
      </w:r>
    </w:p>
    <w:p>
      <w:pPr>
        <w:pStyle w:val="FirstParagraph"/>
      </w:pPr>
      <w:r>
        <w:t xml:space="preserve">At equilibrium, we calculated two sets of stability metrics to compare realised networks across generative models. First, network-level stability was characterised by species persistence, Shannon diversity of biomasses, the Gini coefficient of consumption fluxes, and the skewness of interspecific interaction strengths. Second, local stability was characterised by resilience and reactivity. Resilience was measured by the real part of the dominant eigenvalue of the Jacobian matrix, with more negative values indicating faster return to equilibrium following a small perturbation</w:t>
      </w:r>
      <w:r>
        <w:t xml:space="preserve"> </w:t>
      </w:r>
      <w:r>
        <w:t xml:space="preserve">(Ruiter et al., 1995)</w:t>
      </w:r>
      <w:r>
        <w:t xml:space="preserve">. Reactivity quantified the maximum instantaneous amplification of perturbations, with more positive values indicating a stronger tendency for some perturbations to initially move the system further away from equilibrium</w:t>
      </w:r>
      <w:r>
        <w:t xml:space="preserve"> </w:t>
      </w:r>
      <w:r>
        <w:t xml:space="preserve">(Neubert &amp; Caswell, 1997)</w:t>
      </w:r>
      <w:r>
        <w:t xml:space="preserve">.</w:t>
      </w:r>
    </w:p>
    <w:p>
      <w:pPr>
        <w:pStyle w:val="BodyText"/>
      </w:pPr>
      <w:r>
        <w:t xml:space="preserve">For each stability metric, we fitted a linear model including food web model and equilibrium species richness as additive predictors:</w:t>
      </w:r>
    </w:p>
    <w:p>
      <w:pPr>
        <w:pStyle w:val="BodyText"/>
      </w:pPr>
      <m:oMath>
        <m:r>
          <m:rPr>
            <m:nor/>
            <m:sty m:val="p"/>
          </m:rPr>
          <m:t>Stability metric</m:t>
        </m:r>
        <m:r>
          <m:rPr>
            <m:sty m:val="p"/>
          </m:rPr>
          <m:t>∼</m:t>
        </m:r>
        <m:r>
          <m:rPr>
            <m:nor/>
            <m:sty m:val="p"/>
          </m:rPr>
          <m:t>Food-web model</m:t>
        </m:r>
        <m:r>
          <m:rPr>
            <m:sty m:val="p"/>
          </m:rPr>
          <m:t>+</m:t>
        </m:r>
        <m:r>
          <m:rPr>
            <m:nor/>
            <m:sty m:val="p"/>
          </m:rPr>
          <m:t>Equilibrium richness</m:t>
        </m:r>
      </m:oMath>
      <w:r>
        <w:t xml:space="preserve">.</w:t>
      </w:r>
    </w:p>
    <w:p>
      <w:pPr>
        <w:pStyle w:val="BodyText"/>
      </w:pPr>
      <w:r>
        <w:t xml:space="preserve">We used Type II ANOVA to assess the contribution of each predictor while controlling for the other. The magnitude of each association was quantified using partial eta-squared, which represents the proportion of effect-plus-residual variation attributable to a predictor after accounting for the other predictor.</w:t>
      </w:r>
    </w:p>
    <w:bookmarkEnd w:id="16"/>
    <w:bookmarkEnd w:id="17"/>
    <w:bookmarkStart w:id="18" w:name="experimental-design"/>
    <w:p>
      <w:pPr>
        <w:pStyle w:val="Heading2"/>
      </w:pPr>
      <w:r>
        <w:t xml:space="preserve">2.5 Experimental design</w:t>
      </w:r>
    </w:p>
    <w:p>
      <w:pPr>
        <w:pStyle w:val="FirstParagraph"/>
      </w:pPr>
      <w:r>
        <w:t xml:space="preserve">The analysis was designed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bookmarkEnd w:id="18"/>
    <w:bookmarkEnd w:id="19"/>
    <w:bookmarkStart w:id="50" w:name="results"/>
    <w:p>
      <w:pPr>
        <w:pStyle w:val="Heading1"/>
      </w:pPr>
      <w:r>
        <w:t xml:space="preserve">3. Results</w:t>
      </w:r>
    </w:p>
    <w:bookmarkStart w:id="28" w:name="realistic-networks-1"/>
    <w:p>
      <w:pPr>
        <w:pStyle w:val="Heading2"/>
      </w:pPr>
      <w:r>
        <w:t xml:space="preserve">3.1 Realistic Networks</w:t>
      </w:r>
    </w:p>
    <w:p>
      <w:pPr>
        <w:pStyle w:val="FirstParagraph"/>
      </w:pPr>
      <w:r>
        <w:t xml:space="preserve">Need to report the number of networks that fail and</w:t>
      </w:r>
      <w:r>
        <w:t xml:space="preserve"> </w:t>
      </w:r>
      <w:r>
        <w:t xml:space="preserve">‘how’</w:t>
      </w:r>
      <w:r>
        <w:t xml:space="preserve"> </w:t>
      </w:r>
      <w:r>
        <w:t xml:space="preserve">they fail…</w:t>
      </w:r>
    </w:p>
    <w:tbl>
      <w:tblPr>
        <w:tblStyle w:val="Table"/>
        <w:tblW w:type="pct" w:w="5000"/>
        <w:tblLayout w:type="fixed"/>
        <w:tblLook w:firstRow="0" w:lastRow="0" w:firstColumn="0" w:lastColumn="0" w:noHBand="0" w:noVBand="0" w:val="0000"/>
      </w:tblPr>
      <w:tblGrid>
        <w:gridCol w:w="7920"/>
      </w:tblGrid>
      <w:tr>
        <w:tc>
          <w:tcPr/>
          <w:bookmarkStart w:id="23" w:name="fig-checks"/>
          <w:p>
            <w:pPr>
              <w:pStyle w:val="Compact"/>
              <w:jc w:val="center"/>
            </w:pPr>
            <w:r>
              <w:drawing>
                <wp:inline>
                  <wp:extent cx="5334000" cy="3733800"/>
                  <wp:effectExtent b="0" l="0" r="0" t="0"/>
                  <wp:docPr descr="" title="" id="21" name="Picture"/>
                  <a:graphic>
                    <a:graphicData uri="http://schemas.openxmlformats.org/drawingml/2006/picture">
                      <pic:pic>
                        <pic:nvPicPr>
                          <pic:cNvPr descr="figures/realism_space.png" id="22" name="Picture"/>
                          <pic:cNvPicPr>
                            <a:picLocks noChangeArrowheads="1" noChangeAspect="1"/>
                          </pic:cNvPicPr>
                        </pic:nvPicPr>
                        <pic:blipFill>
                          <a:blip r:embed="rId20"/>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TODO. Green shaded region indicates the</w:t>
            </w:r>
            <w:r>
              <w:t xml:space="preserve"> </w:t>
            </w:r>
            <w:r>
              <w:t xml:space="preserve">‘realism’</w:t>
            </w:r>
            <w:r>
              <w:t xml:space="preserve"> </w:t>
            </w:r>
            <w:r>
              <w:t xml:space="preserve">space</w:t>
            </w:r>
          </w:p>
          <w:bookmarkEnd w:id="2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 w:name="fig-sankey"/>
          <w:p>
            <w:pPr>
              <w:pStyle w:val="Compact"/>
              <w:jc w:val="center"/>
            </w:pPr>
            <w:r>
              <w:drawing>
                <wp:inline>
                  <wp:extent cx="5334000" cy="4000500"/>
                  <wp:effectExtent b="0" l="0" r="0" t="0"/>
                  <wp:docPr descr="" title="" id="25" name="Picture"/>
                  <a:graphic>
                    <a:graphicData uri="http://schemas.openxmlformats.org/drawingml/2006/picture">
                      <pic:pic>
                        <pic:nvPicPr>
                          <pic:cNvPr descr="figures/realism_space_sankey.png" id="26" name="Picture"/>
                          <pic:cNvPicPr>
                            <a:picLocks noChangeArrowheads="1" noChangeAspect="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TODO. Darker streams indicate networks that are stable and</w:t>
            </w:r>
            <w:r>
              <w:t xml:space="preserve"> </w:t>
            </w:r>
            <w:r>
              <w:t xml:space="preserve">‘pass’</w:t>
            </w:r>
            <w:r>
              <w:t xml:space="preserve"> </w:t>
            </w:r>
            <w:r>
              <w:t xml:space="preserve">as realistic networks</w:t>
            </w:r>
          </w:p>
          <w:bookmarkEnd w:id="27"/>
        </w:tc>
      </w:tr>
    </w:tbl>
    <w:bookmarkEnd w:id="28"/>
    <w:bookmarkStart w:id="40" w:name="networks-converge-in-structure"/>
    <w:p>
      <w:pPr>
        <w:pStyle w:val="Heading2"/>
      </w:pPr>
      <w:r>
        <w:t xml:space="preserve">3.2 Networks Converge in Structure</w:t>
      </w:r>
    </w:p>
    <w:p>
      <w:pPr>
        <w:pStyle w:val="FirstParagraph"/>
      </w:pPr>
      <w:r>
        <w:t xml:space="preserve">Projection of all networks into a common topology space revealed that initial and realised food-web topologies occupied distinct regions of multivariate space (</w:t>
      </w:r>
      <w:hyperlink w:anchor="fig-PTA">
        <w:r>
          <w:rPr>
            <w:rStyle w:val="Hyperlink"/>
          </w:rPr>
          <w:t xml:space="preserve">Figure 3</w:t>
        </w:r>
      </w:hyperlink>
      <w:r>
        <w:t xml:space="preserve">). The XX principal components explained</w:t>
      </w:r>
      <w:r>
        <w:t xml:space="preserve"> </w:t>
      </w:r>
      <w:r>
        <w:rPr>
          <w:b/>
          <w:bCs/>
        </w:rPr>
        <w:t xml:space="preserve">X%</w:t>
      </w:r>
      <w:r>
        <w:t xml:space="preserve"> </w:t>
      </w:r>
      <w:r>
        <w:t xml:space="preserve">of the total variation in network structure, with variation primarily associated with [mention the highest loading metrics, e.g. connectance, modularity, trophic coherence, etc.] (</w:t>
      </w:r>
      <w:hyperlink w:anchor="fig-PTA">
        <w:r>
          <w:rPr>
            <w:rStyle w:val="Hyperlink"/>
          </w:rPr>
          <w:t xml:space="preserve">Figure 3</w:t>
        </w:r>
      </w:hyperlink>
      <w:r>
        <w:t xml:space="preserve"> </w:t>
      </w:r>
      <w:r>
        <w:t xml:space="preserve">A). While considerable separation among reconstruction models was evident in the initial topology space, post-dynamics networks exhibited greater overlap, suggesting that ecological dynamics altered structural differences among models.</w:t>
      </w:r>
    </w:p>
    <w:p>
      <w:pPr>
        <w:pStyle w:val="BodyText"/>
      </w:pPr>
      <w:r>
        <w:t xml:space="preserve">All reconstruction models underwent measurable shifts in topology following dynamic simulations, although both the magnitude and direction of change differed among models (</w:t>
      </w:r>
      <w:hyperlink w:anchor="fig-PTA">
        <w:r>
          <w:rPr>
            <w:rStyle w:val="Hyperlink"/>
          </w:rPr>
          <w:t xml:space="preserve">Figure 3</w:t>
        </w:r>
      </w:hyperlink>
      <w:r>
        <w:t xml:space="preserve"> </w:t>
      </w:r>
      <w:r>
        <w:t xml:space="preserve">B). Centroid trajectories showed that all models moved broadly in the same direction, indicating that ecological dynamics consistently reshaped network topology.</w:t>
      </w:r>
    </w:p>
    <w:p>
      <w:pPr>
        <w:pStyle w:val="BodyText"/>
      </w:pPr>
      <w:r>
        <w:t xml:space="preserve">The principal dimensions underlying these changes differed among reconstruction models (</w:t>
      </w:r>
      <w:hyperlink w:anchor="fig-PTA">
        <w:r>
          <w:rPr>
            <w:rStyle w:val="Hyperlink"/>
          </w:rPr>
          <w:t xml:space="preserve">Figure 3</w:t>
        </w:r>
      </w:hyperlink>
      <w:r>
        <w:t xml:space="preserve"> </w:t>
      </w:r>
      <w:r>
        <w:t xml:space="preserve">C). For example,</w:t>
      </w:r>
      <w:r>
        <w:t xml:space="preserve"> </w:t>
      </w:r>
      <w:r>
        <w:rPr>
          <w:b/>
          <w:bCs/>
        </w:rPr>
        <w:t xml:space="preserve">[Models…]</w:t>
      </w:r>
      <w:r>
        <w:t xml:space="preserve"> </w:t>
      </w:r>
      <w:r>
        <w:t xml:space="preserve">exhibited its largest displacement along PC1, whereas</w:t>
      </w:r>
      <w:r>
        <w:t xml:space="preserve"> </w:t>
      </w:r>
      <w:r>
        <w:rPr>
          <w:b/>
          <w:bCs/>
        </w:rPr>
        <w:t xml:space="preserve">[Models …]</w:t>
      </w:r>
      <w:r>
        <w:t xml:space="preserve"> </w:t>
      </w:r>
      <w:r>
        <w:t xml:space="preserve">changed primarily along PC3, suggesting that different aspects of network structure were modified depending on the initial reconstruction framework. However given that the models converged to a similar point in multivariate space it suggests that there is a selection for a specific network</w:t>
      </w:r>
      <w:r>
        <w:t xml:space="preserve"> </w:t>
      </w:r>
      <w:r>
        <w:t xml:space="preserve">‘shape’</w:t>
      </w:r>
      <w:r>
        <w:t xml:space="preserve"> </w:t>
      </w:r>
      <w:r>
        <w:t xml:space="preserve">in once a network reaches stability.</w:t>
      </w:r>
    </w:p>
    <w:p>
      <w:pPr>
        <w:pStyle w:val="BodyText"/>
      </w:pPr>
      <w:r>
        <w:t xml:space="preserve">Comparison of trajectory vectors demonstrated that most models exhibited small angular differences, indicating that ecological dynamics produced similar directions of topological change across reconstruction methods. Trajectory lengths ranged from</w:t>
      </w:r>
      <w:r>
        <w:t xml:space="preserve"> </w:t>
      </w:r>
      <w:r>
        <w:rPr>
          <w:b/>
          <w:bCs/>
        </w:rPr>
        <w:t xml:space="preserve">X–Y</w:t>
      </w:r>
      <w:r>
        <w:t xml:space="preserve">, with</w:t>
      </w:r>
      <w:r>
        <w:t xml:space="preserve"> </w:t>
      </w:r>
      <w:r>
        <w:rPr>
          <w:b/>
          <w:bCs/>
        </w:rPr>
        <w:t xml:space="preserve">[Model]</w:t>
      </w:r>
      <w:r>
        <w:t xml:space="preserve"> </w:t>
      </w:r>
      <w:r>
        <w:t xml:space="preserve">exhibiting the greatest overall restructuring and</w:t>
      </w:r>
      <w:r>
        <w:t xml:space="preserve"> </w:t>
      </w:r>
      <w:r>
        <w:rPr>
          <w:b/>
          <w:bCs/>
        </w:rPr>
        <w:t xml:space="preserve">[Model]</w:t>
      </w:r>
      <w:r>
        <w:t xml:space="preserve"> </w:t>
      </w:r>
      <w:r>
        <w:t xml:space="preserve">the least.</w:t>
      </w:r>
    </w:p>
    <w:p>
      <w:pPr>
        <w:pStyle w:val="BodyText"/>
      </w:pPr>
      <w:r>
        <w:t xml:space="preserve">Finally, realised networks showed evidence of convergence within topology space (</w:t>
      </w:r>
      <w:hyperlink w:anchor="fig-PTA">
        <w:r>
          <w:rPr>
            <w:rStyle w:val="Hyperlink"/>
          </w:rPr>
          <w:t xml:space="preserve">Figure 3</w:t>
        </w:r>
      </w:hyperlink>
      <w:r>
        <w:t xml:space="preserve"> </w:t>
      </w:r>
      <w:r>
        <w:t xml:space="preserve">D). The mean Euclidean distance to the global realised-network centroid decreased following dynamic simulations for all models, suggesting that ecological dynamics drove networks towards a common structural endpoint despite differences in initial topology.</w:t>
      </w:r>
    </w:p>
    <w:tbl>
      <w:tblPr>
        <w:tblStyle w:val="Table"/>
        <w:tblW w:type="pct" w:w="5000"/>
        <w:tblLayout w:type="fixed"/>
        <w:tblLook w:firstRow="0" w:lastRow="0" w:firstColumn="0" w:lastColumn="0" w:noHBand="0" w:noVBand="0" w:val="0000"/>
      </w:tblPr>
      <w:tblGrid>
        <w:gridCol w:w="7920"/>
      </w:tblGrid>
      <w:tr>
        <w:tc>
          <w:tcPr/>
          <w:bookmarkStart w:id="32" w:name="fig-PTA"/>
          <w:p>
            <w:pPr>
              <w:pStyle w:val="Compact"/>
              <w:jc w:val="center"/>
            </w:pPr>
            <w:r>
              <w:drawing>
                <wp:inline>
                  <wp:extent cx="5334000" cy="6400800"/>
                  <wp:effectExtent b="0" l="0" r="0" t="0"/>
                  <wp:docPr descr="" title="" id="30" name="Picture"/>
                  <a:graphic>
                    <a:graphicData uri="http://schemas.openxmlformats.org/drawingml/2006/picture">
                      <pic:pic>
                        <pic:nvPicPr>
                          <pic:cNvPr descr="figures/PTA.png" id="31" name="Picture"/>
                          <pic:cNvPicPr>
                            <a:picLocks noChangeArrowheads="1" noChangeAspect="1"/>
                          </pic:cNvPicPr>
                        </pic:nvPicPr>
                        <pic:blipFill>
                          <a:blip r:embed="rId2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Ecological dynamics reshape food-web topology within a shared multivariate topology space. Network structural metrics were standardised and summarised using principal component analysis, with each network represented by its position before and after dynamic simulations. (A) Principal component loadings showing the contribution of individual network metrics to topology space. (B) Centroid trajectories for each reconstruction model, illustrating the direction and magnitude of topological change between initial and realised networks. (C) Component-wise displacement of model centroids along the first five principal component axes, highlighting the principal dimensions responsible for topological change. (D) Mean Euclidean distance of networks to the overall realised-network centroid before and after simulations, providing a measure of convergence in network topology.</w:t>
            </w:r>
          </w:p>
          <w:bookmarkEnd w:id="32"/>
        </w:tc>
      </w:tr>
    </w:tbl>
    <w:p>
      <w:pPr>
        <w:pStyle w:val="BlockText"/>
      </w:pPr>
      <w:r>
        <w:t xml:space="preserve">This is a bonus result</w:t>
      </w:r>
    </w:p>
    <w:tbl>
      <w:tblPr>
        <w:tblStyle w:val="Table"/>
        <w:tblW w:type="pct" w:w="5000"/>
        <w:tblLayout w:type="fixed"/>
        <w:tblLook w:firstRow="0" w:lastRow="0" w:firstColumn="0" w:lastColumn="0" w:noHBand="0" w:noVBand="0" w:val="0000"/>
      </w:tblPr>
      <w:tblGrid>
        <w:gridCol w:w="7920"/>
      </w:tblGrid>
      <w:tr>
        <w:tc>
          <w:tcPr/>
          <w:bookmarkStart w:id="36" w:name="fig-failed_pca"/>
          <w:p>
            <w:pPr>
              <w:pStyle w:val="Compact"/>
              <w:jc w:val="center"/>
            </w:pPr>
            <w:r>
              <w:drawing>
                <wp:inline>
                  <wp:extent cx="5334000" cy="3810000"/>
                  <wp:effectExtent b="0" l="0" r="0" t="0"/>
                  <wp:docPr descr="" title="" id="34" name="Picture"/>
                  <a:graphic>
                    <a:graphicData uri="http://schemas.openxmlformats.org/drawingml/2006/picture">
                      <pic:pic>
                        <pic:nvPicPr>
                          <pic:cNvPr descr="figures/PTA_failed_networks.png" id="35" name="Picture"/>
                          <pic:cNvPicPr>
                            <a:picLocks noChangeArrowheads="1" noChangeAspect="1"/>
                          </pic:cNvPicPr>
                        </pic:nvPicPr>
                        <pic:blipFill>
                          <a:blip r:embed="rId3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Arrows indicate trajectory of individual networks. Points are networks that failed to reach a stable state that have been predicted</w:t>
            </w:r>
            <w:r>
              <w:t xml:space="preserve"> </w:t>
            </w:r>
            <w:r>
              <w:t xml:space="preserve">‘into’</w:t>
            </w:r>
            <w:r>
              <w:t xml:space="preserve"> </w:t>
            </w:r>
            <w:r>
              <w:t xml:space="preserve">the PCA space</w:t>
            </w:r>
          </w:p>
          <w:bookmarkEnd w:id="36"/>
        </w:tc>
      </w:tr>
    </w:tbl>
    <w:p>
      <w:pPr>
        <w:pStyle w:val="CaptionedFigure"/>
      </w:pPr>
      <w:r>
        <w:drawing>
          <wp:inline>
            <wp:extent cx="5334000" cy="3810000"/>
            <wp:effectExtent b="0" l="0" r="0" t="0"/>
            <wp:docPr descr="Splitting out by richness" title="" id="38" name="Picture"/>
            <a:graphic>
              <a:graphicData uri="http://schemas.openxmlformats.org/drawingml/2006/picture">
                <pic:pic>
                  <pic:nvPicPr>
                    <pic:cNvPr descr="figures/PTA_S_init.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Splitting out by richness</w:t>
      </w:r>
    </w:p>
    <w:bookmarkEnd w:id="40"/>
    <w:bookmarkStart w:id="49" w:name="network-stability-inferences"/>
    <w:p>
      <w:pPr>
        <w:pStyle w:val="Heading2"/>
      </w:pPr>
      <w:r>
        <w:t xml:space="preserve">3.3 Network stability inferences</w:t>
      </w:r>
    </w:p>
    <w:p>
      <w:pPr>
        <w:pStyle w:val="FirstParagraph"/>
      </w:pPr>
      <w:r>
        <w:t xml:space="preserve">Equilibrium richness explained substantially more variation than generative food web models in network-level stability metrics, with the strongest contribution observed for Shannon diversity of biomasses, followed by the skewness of interaction strengths, species persistence and the Gini coefficient of consumption fluxes (</w:t>
      </w:r>
      <w:hyperlink w:anchor="fig-rel_contribution">
        <w:r>
          <w:rPr>
            <w:rStyle w:val="Hyperlink"/>
          </w:rPr>
          <w:t xml:space="preserve">Figure 5</w:t>
        </w:r>
      </w:hyperlink>
      <w:r>
        <w:t xml:space="preserve">). In contrast, variation in resilience was influenced by both richness and model, with a larger contribution from model. Reactivity was explained primarily by generative food web models, with very little contribution from equilibrium richness.</w:t>
      </w:r>
    </w:p>
    <w:tbl>
      <w:tblPr>
        <w:tblStyle w:val="Table"/>
        <w:tblW w:type="pct" w:w="5000"/>
        <w:tblLayout w:type="fixed"/>
        <w:tblLook w:firstRow="0" w:lastRow="0" w:firstColumn="0" w:lastColumn="0" w:noHBand="0" w:noVBand="0" w:val="0000"/>
      </w:tblPr>
      <w:tblGrid>
        <w:gridCol w:w="7920"/>
      </w:tblGrid>
      <w:tr>
        <w:tc>
          <w:tcPr/>
          <w:bookmarkStart w:id="44" w:name="fig-rel_contribution"/>
          <w:p>
            <w:pPr>
              <w:pStyle w:val="Compact"/>
              <w:jc w:val="center"/>
            </w:pPr>
            <w:r>
              <w:drawing>
                <wp:inline>
                  <wp:extent cx="5334000" cy="3333750"/>
                  <wp:effectExtent b="0" l="0" r="0" t="0"/>
                  <wp:docPr descr="" title="" id="42" name="Picture"/>
                  <a:graphic>
                    <a:graphicData uri="http://schemas.openxmlformats.org/drawingml/2006/picture">
                      <pic:pic>
                        <pic:nvPicPr>
                          <pic:cNvPr descr="figures/stability_effect_size_model_vs_richness.png" id="43" name="Picture"/>
                          <pic:cNvPicPr>
                            <a:picLocks noChangeArrowheads="1" noChangeAspect="1"/>
                          </pic:cNvPicPr>
                        </pic:nvPicPr>
                        <pic:blipFill>
                          <a:blip r:embed="rId4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Relative contributions of equilibrium species richness and generative food web models to variation in network and local stability metrics</w:t>
            </w:r>
          </w:p>
          <w:bookmarkEnd w:id="44"/>
        </w:tc>
      </w:tr>
    </w:tbl>
    <w:p>
      <w:pPr>
        <w:pStyle w:val="BodyText"/>
      </w:pPr>
      <w:r>
        <w:t xml:space="preserve">After accounting for equilibrium richness, Niche, Cascade, ATN and MaxEnt generally supported higher species persistence than ADBM, LTM and Random generated food webs (</w:t>
      </w:r>
      <w:hyperlink w:anchor="fig-emmeans">
        <w:r>
          <w:rPr>
            <w:rStyle w:val="Hyperlink"/>
          </w:rPr>
          <w:t xml:space="preserve">Figure 6</w:t>
        </w:r>
      </w:hyperlink>
      <w:r>
        <w:t xml:space="preserve">). Biomass diversity was highest in Cascade and Niche webs, but comparatively low in LTM and MaxEnt. Random model had the most uneven consumption fluxes, while MaxEnt and Random webs showed the strongest skewness in interaction strengths. ADBM and LTM generated food webs showed the highest resilience, i.e.,fastest asymptotic recovery, whereas LTM food webs were also the most reactive, i.e., strongest initial amplification of perturbations.</w:t>
      </w:r>
    </w:p>
    <w:tbl>
      <w:tblPr>
        <w:tblStyle w:val="Table"/>
        <w:tblW w:type="pct" w:w="5000"/>
        <w:tblLayout w:type="fixed"/>
        <w:tblLook w:firstRow="0" w:lastRow="0" w:firstColumn="0" w:lastColumn="0" w:noHBand="0" w:noVBand="0" w:val="0000"/>
      </w:tblPr>
      <w:tblGrid>
        <w:gridCol w:w="7920"/>
      </w:tblGrid>
      <w:tr>
        <w:tc>
          <w:tcPr/>
          <w:bookmarkStart w:id="48" w:name="fig-emmeans"/>
          <w:p>
            <w:pPr>
              <w:pStyle w:val="Compact"/>
              <w:jc w:val="center"/>
            </w:pPr>
            <w:r>
              <w:drawing>
                <wp:inline>
                  <wp:extent cx="5334000" cy="4445000"/>
                  <wp:effectExtent b="0" l="0" r="0" t="0"/>
                  <wp:docPr descr="" title="" id="46" name="Picture"/>
                  <a:graphic>
                    <a:graphicData uri="http://schemas.openxmlformats.org/drawingml/2006/picture">
                      <pic:pic>
                        <pic:nvPicPr>
                          <pic:cNvPr descr="figures/stability_adjusted_model_means.png" id="47" name="Picture"/>
                          <pic:cNvPicPr>
                            <a:picLocks noChangeArrowheads="1" noChangeAspect="1"/>
                          </pic:cNvPicPr>
                        </pic:nvPicPr>
                        <pic:blipFill>
                          <a:blip r:embed="rId45"/>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Network and local stability metrics across generative food web models. Points are estimated marginal means adjusted to the mean equilibrium species richness. Bars show 95% confidence intervals.</w:t>
            </w:r>
          </w:p>
          <w:bookmarkEnd w:id="48"/>
        </w:tc>
      </w:tr>
    </w:tbl>
    <w:bookmarkEnd w:id="49"/>
    <w:bookmarkEnd w:id="50"/>
    <w:bookmarkStart w:id="51" w:name="discussion"/>
    <w:p>
      <w:pPr>
        <w:pStyle w:val="Heading1"/>
      </w:pPr>
      <w:r>
        <w:t xml:space="preserve">4. Discussion</w:t>
      </w:r>
    </w:p>
    <w:p>
      <w:pPr>
        <w:pStyle w:val="FirstParagraph"/>
      </w:pPr>
      <w:r>
        <w:t xml:space="preserve">Reconstruction is Not Neutral (or maybe it is): Discuss how models act as structural priors that condition ecological inference.</w:t>
      </w:r>
    </w:p>
    <w:p>
      <w:pPr>
        <w:pStyle w:val="BodyText"/>
      </w:pPr>
      <w:r>
        <w:t xml:space="preserve">Template Dependence: Address the core question: Is everything a derivative of the niche model? If dynamic models show unique cascade patterns not captured by the niche model, argue that the niche template may be insufficient for dynamic questions.</w:t>
      </w:r>
    </w:p>
    <w:p>
      <w:pPr>
        <w:pStyle w:val="BlockText"/>
      </w:pPr>
      <w:r>
        <w:t xml:space="preserve">Important point to bring up here is that the niche and the cascade models are the only models that have no failures - but is this because they create ecologically sound networks or is it because they align better with the internal grammar of the BEFW. IE this is not a test of ecological plausibility but cross model matching. this leads back to the idea that we are mapping the behaviour of models as opposed to any actual ecology</w:t>
      </w:r>
    </w:p>
    <w:p>
      <w:pPr>
        <w:pStyle w:val="FirstParagraph"/>
      </w:pPr>
      <w:r>
        <w:t xml:space="preserve">Scale-Dependent Robustness: Reflect on why species-level patterns might look similar across models while the fine-grained story of dynamic change is highly model-contingent.</w:t>
      </w:r>
    </w:p>
    <w:p>
      <w:pPr>
        <w:pStyle w:val="BodyText"/>
      </w:pPr>
      <w:r>
        <w:t xml:space="preserve">Implications for Theory: Suggest that researchers must align their reconstruction framework with their inferential goals rather than defaulting to a one-size-fits-all niche template.</w:t>
      </w:r>
    </w:p>
    <w:bookmarkEnd w:id="51"/>
    <w:bookmarkStart w:id="83" w:name="references"/>
    <w:p>
      <w:pPr>
        <w:pStyle w:val="Heading1"/>
      </w:pPr>
      <w:r>
        <w:t xml:space="preserve">References</w:t>
      </w:r>
    </w:p>
    <w:bookmarkStart w:id="82" w:name="refs"/>
    <w:bookmarkStart w:id="53"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52">
        <w:r>
          <w:rPr>
            <w:rStyle w:val="Hyperlink"/>
          </w:rPr>
          <w:t xml:space="preserve">https://doi.org/10.1038/nature10832</w:t>
        </w:r>
      </w:hyperlink>
    </w:p>
    <w:bookmarkEnd w:id="53"/>
    <w:bookmarkStart w:id="55"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54">
        <w:r>
          <w:rPr>
            <w:rStyle w:val="Hyperlink"/>
          </w:rPr>
          <w:t xml:space="preserve">https://doi.org/10.1371/journal.pcbi.1011458</w:t>
        </w:r>
      </w:hyperlink>
    </w:p>
    <w:bookmarkEnd w:id="55"/>
    <w:bookmarkStart w:id="57"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6">
        <w:r>
          <w:rPr>
            <w:rStyle w:val="Hyperlink"/>
          </w:rPr>
          <w:t xml:space="preserve">https://doi.org/10.1890/0012-9658(2006)87[2411:CBRINF]2.0.CO;2</w:t>
        </w:r>
      </w:hyperlink>
    </w:p>
    <w:bookmarkEnd w:id="57"/>
    <w:bookmarkStart w:id="59"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58">
        <w:r>
          <w:rPr>
            <w:rStyle w:val="Hyperlink"/>
          </w:rPr>
          <w:t xml:space="preserve">https://www.springer.com/gp/book/9783642837869</w:t>
        </w:r>
      </w:hyperlink>
    </w:p>
    <w:bookmarkEnd w:id="59"/>
    <w:bookmarkStart w:id="61"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0">
        <w:r>
          <w:rPr>
            <w:rStyle w:val="Hyperlink"/>
          </w:rPr>
          <w:t xml:space="preserve">https://doi.org/10.1016/j.baae.2011.09.008</w:t>
        </w:r>
      </w:hyperlink>
    </w:p>
    <w:bookmarkEnd w:id="61"/>
    <w:bookmarkStart w:id="63" w:name="ref-delmas2020"/>
    <w:p>
      <w:pPr>
        <w:pStyle w:val="Bibliography"/>
      </w:pPr>
      <w:r>
        <w:t xml:space="preserve">Delmas, E., Stouffer, D. B., &amp; Poisot, T. (n.d.).</w:t>
      </w:r>
      <w:r>
        <w:t xml:space="preserve"> </w:t>
      </w:r>
      <w:r>
        <w:rPr>
          <w:i/>
          <w:iCs/>
        </w:rPr>
        <w:t xml:space="preserve">Food web structure alters ecological communities top-heaviness with little effect on the biodiversity-functioning relationship</w:t>
      </w:r>
      <w:r>
        <w:t xml:space="preserve">.</w:t>
      </w:r>
      <w:r>
        <w:t xml:space="preserve"> </w:t>
      </w:r>
      <w:hyperlink r:id="rId62">
        <w:r>
          <w:rPr>
            <w:rStyle w:val="Hyperlink"/>
          </w:rPr>
          <w:t xml:space="preserve">https://doi.org/10.1101/2020.06.10.144949</w:t>
        </w:r>
      </w:hyperlink>
    </w:p>
    <w:bookmarkEnd w:id="63"/>
    <w:bookmarkStart w:id="65" w:name="ref-lajaaiti2025"/>
    <w:p>
      <w:pPr>
        <w:pStyle w:val="Bibliography"/>
      </w:pPr>
      <w:r>
        <w:t xml:space="preserve">Lajaaiti, I., Bonnici, I., Kéfi, S., Mayall, H., Danet, A., Beckerman, A. P., Malpas, T., &amp; Delmas, E. (2025). EcologicalNetworksDynamics.jl: A julia 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64">
        <w:r>
          <w:rPr>
            <w:rStyle w:val="Hyperlink"/>
          </w:rPr>
          <w:t xml:space="preserve">https://doi.org/10.1111/2041-210X.14497</w:t>
        </w:r>
      </w:hyperlink>
    </w:p>
    <w:bookmarkEnd w:id="65"/>
    <w:bookmarkStart w:id="67" w:name="ref-neubert1997"/>
    <w:p>
      <w:pPr>
        <w:pStyle w:val="Bibliography"/>
      </w:pPr>
      <w:r>
        <w:t xml:space="preserve">Neubert, M. G., &amp; Caswell, H. (1997). ALTERNATIVES TO RESILIENCE FOR MEASURING THE RESPONSES OF ECOLOGICAL SYSTEMS TO PERTURBATIONS.</w:t>
      </w:r>
      <w:r>
        <w:t xml:space="preserve"> </w:t>
      </w:r>
      <w:r>
        <w:rPr>
          <w:i/>
          <w:iCs/>
        </w:rPr>
        <w:t xml:space="preserve">Ecology</w:t>
      </w:r>
      <w:r>
        <w:t xml:space="preserve">,</w:t>
      </w:r>
      <w:r>
        <w:t xml:space="preserve"> </w:t>
      </w:r>
      <w:r>
        <w:rPr>
          <w:i/>
          <w:iCs/>
        </w:rPr>
        <w:t xml:space="preserve">78</w:t>
      </w:r>
      <w:r>
        <w:t xml:space="preserve">(3), 653–665.</w:t>
      </w:r>
      <w:r>
        <w:t xml:space="preserve"> </w:t>
      </w:r>
      <w:hyperlink r:id="rId66">
        <w:r>
          <w:rPr>
            <w:rStyle w:val="Hyperlink"/>
          </w:rPr>
          <w:t xml:space="preserve">https://doi.org/10.1890/0012-9658(1997)078[0653:atrfmt]2.0.co;2</w:t>
        </w:r>
      </w:hyperlink>
    </w:p>
    <w:bookmarkEnd w:id="67"/>
    <w:bookmarkStart w:id="69"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68">
        <w:r>
          <w:rPr>
            <w:rStyle w:val="Hyperlink"/>
          </w:rPr>
          <w:t xml:space="preserve">https://doi.org/10.1073/pnas.0710672105</w:t>
        </w:r>
      </w:hyperlink>
    </w:p>
    <w:bookmarkEnd w:id="69"/>
    <w:bookmarkStart w:id="71"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70">
        <w:r>
          <w:rPr>
            <w:rStyle w:val="Hyperlink"/>
          </w:rPr>
          <w:t xml:space="preserve">https://doi.org/10.1086/653667</w:t>
        </w:r>
      </w:hyperlink>
    </w:p>
    <w:bookmarkEnd w:id="71"/>
    <w:bookmarkStart w:id="73" w:name="ref-deruiter1995"/>
    <w:p>
      <w:pPr>
        <w:pStyle w:val="Bibliography"/>
      </w:pPr>
      <w:r>
        <w:t xml:space="preserve">Ruiter, P. C. de, Neutel, A.-M., &amp; Moore, J. C. (1995). Energetics, patterns of interaction strengths, and stability in real ecosystems.</w:t>
      </w:r>
      <w:r>
        <w:t xml:space="preserve"> </w:t>
      </w:r>
      <w:r>
        <w:rPr>
          <w:i/>
          <w:iCs/>
        </w:rPr>
        <w:t xml:space="preserve">Science</w:t>
      </w:r>
      <w:r>
        <w:t xml:space="preserve">,</w:t>
      </w:r>
      <w:r>
        <w:t xml:space="preserve"> </w:t>
      </w:r>
      <w:r>
        <w:rPr>
          <w:i/>
          <w:iCs/>
        </w:rPr>
        <w:t xml:space="preserve">269</w:t>
      </w:r>
      <w:r>
        <w:t xml:space="preserve">(5228), 1257–1260.</w:t>
      </w:r>
      <w:r>
        <w:t xml:space="preserve"> </w:t>
      </w:r>
      <w:hyperlink r:id="rId72">
        <w:r>
          <w:rPr>
            <w:rStyle w:val="Hyperlink"/>
          </w:rPr>
          <w:t xml:space="preserve">https://doi.org/10.1126/science.269.5228.1257</w:t>
        </w:r>
      </w:hyperlink>
    </w:p>
    <w:bookmarkEnd w:id="73"/>
    <w:bookmarkStart w:id="75" w:name="ref-schneider2016"/>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74">
        <w:r>
          <w:rPr>
            <w:rStyle w:val="Hyperlink"/>
          </w:rPr>
          <w:t xml:space="preserve">https://doi.org/10.1038/ncomms12718</w:t>
        </w:r>
      </w:hyperlink>
    </w:p>
    <w:bookmarkEnd w:id="75"/>
    <w:bookmarkStart w:id="77" w:name="ref-strydom2026"/>
    <w:p>
      <w:pPr>
        <w:pStyle w:val="Bibliography"/>
      </w:pPr>
      <w:r>
        <w:t xml:space="preserve">Strydom, T., Dunhill, A. M., Dunne, J. A., Poisot, T., &amp; Beckerman, A. P. (2026). From metawebs to realised webs: A framework for ecological network representation under global change.</w:t>
      </w:r>
      <w:r>
        <w:t xml:space="preserve"> </w:t>
      </w:r>
      <w:r>
        <w:rPr>
          <w:i/>
          <w:iCs/>
        </w:rPr>
        <w:t xml:space="preserve">EcoEvoRxiv</w:t>
      </w:r>
      <w:r>
        <w:t xml:space="preserve">.</w:t>
      </w:r>
      <w:r>
        <w:t xml:space="preserve"> </w:t>
      </w:r>
      <w:hyperlink r:id="rId76">
        <w:r>
          <w:rPr>
            <w:rStyle w:val="Hyperlink"/>
          </w:rPr>
          <w:t xml:space="preserve">https://doi.org/10.32942/X2JW8K</w:t>
        </w:r>
      </w:hyperlink>
    </w:p>
    <w:bookmarkEnd w:id="77"/>
    <w:bookmarkStart w:id="79" w:name="ref-strydom2026b"/>
    <w:p>
      <w:pPr>
        <w:pStyle w:val="Bibliography"/>
      </w:pPr>
      <w:r>
        <w:t xml:space="preserve">Strydom, T., Karapunar, B., Dunne, J. A., Hull, P., Little, C. T. S., Pimiento, C., Ridgwell, A., Beckerman, A. P., &amp; Dunhill, A. M. (2026).</w:t>
      </w:r>
      <w:r>
        <w:t xml:space="preserve"> </w:t>
      </w:r>
      <w:r>
        <w:rPr>
          <w:i/>
          <w:iCs/>
        </w:rPr>
        <w:t xml:space="preserve">Are we mapping ecosystems or models? Framework choices dominate food web topology and extinction inferences</w:t>
      </w:r>
      <w:r>
        <w:t xml:space="preserve">.</w:t>
      </w:r>
      <w:r>
        <w:t xml:space="preserve"> </w:t>
      </w:r>
      <w:hyperlink r:id="rId78">
        <w:r>
          <w:rPr>
            <w:rStyle w:val="Hyperlink"/>
          </w:rPr>
          <w:t xml:space="preserve">https://ecoevorxiv.org/repository/view/13495/</w:t>
        </w:r>
      </w:hyperlink>
    </w:p>
    <w:bookmarkEnd w:id="79"/>
    <w:bookmarkStart w:id="81"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80">
        <w:r>
          <w:rPr>
            <w:rStyle w:val="Hyperlink"/>
          </w:rPr>
          <w:t xml:space="preserve">https://doi.org/10.1038/35004572</w:t>
        </w:r>
      </w:hyperlink>
    </w:p>
    <w:bookmarkEnd w:id="81"/>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hyperlink" Id="rId60" Target="https://doi.org/10.1016/j.baae.2011.09.008" TargetMode="External" /><Relationship Type="http://schemas.openxmlformats.org/officeDocument/2006/relationships/hyperlink" Id="rId80" Target="https://doi.org/10.1038/35004572" TargetMode="External" /><Relationship Type="http://schemas.openxmlformats.org/officeDocument/2006/relationships/hyperlink" Id="rId52" Target="https://doi.org/10.1038/nature10832" TargetMode="External" /><Relationship Type="http://schemas.openxmlformats.org/officeDocument/2006/relationships/hyperlink" Id="rId74" Target="https://doi.org/10.1038/ncomms12718" TargetMode="External" /><Relationship Type="http://schemas.openxmlformats.org/officeDocument/2006/relationships/hyperlink" Id="rId68" Target="https://doi.org/10.1073/pnas.0710672105" TargetMode="External" /><Relationship Type="http://schemas.openxmlformats.org/officeDocument/2006/relationships/hyperlink" Id="rId70" Target="https://doi.org/10.1086/653667" TargetMode="External" /><Relationship Type="http://schemas.openxmlformats.org/officeDocument/2006/relationships/hyperlink" Id="rId62" Target="https://doi.org/10.1101/2020.06.10.144949" TargetMode="External" /><Relationship Type="http://schemas.openxmlformats.org/officeDocument/2006/relationships/hyperlink" Id="rId64" Target="https://doi.org/10.1111/2041-210X.14497" TargetMode="External" /><Relationship Type="http://schemas.openxmlformats.org/officeDocument/2006/relationships/hyperlink" Id="rId72" Target="https://doi.org/10.1126/science.269.5228.1257" TargetMode="External" /><Relationship Type="http://schemas.openxmlformats.org/officeDocument/2006/relationships/hyperlink" Id="rId54" Target="https://doi.org/10.1371/journal.pcbi.1011458" TargetMode="External" /><Relationship Type="http://schemas.openxmlformats.org/officeDocument/2006/relationships/hyperlink" Id="rId66" Target="https://doi.org/10.1890/0012-9658(1997)078[0653:atrfmt]2.0.co;2" TargetMode="External" /><Relationship Type="http://schemas.openxmlformats.org/officeDocument/2006/relationships/hyperlink" Id="rId56" Target="https://doi.org/10.1890/0012-9658(2006)87[2411:CBRINF]2.0.CO;2" TargetMode="External" /><Relationship Type="http://schemas.openxmlformats.org/officeDocument/2006/relationships/hyperlink" Id="rId76" Target="https://doi.org/10.32942/X2JW8K" TargetMode="External" /><Relationship Type="http://schemas.openxmlformats.org/officeDocument/2006/relationships/hyperlink" Id="rId78" Target="https://ecoevorxiv.org/repository/view/13495/" TargetMode="External" /><Relationship Type="http://schemas.openxmlformats.org/officeDocument/2006/relationships/hyperlink" Id="rId58"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16/j.baae.2011.09.008" TargetMode="External" /><Relationship Type="http://schemas.openxmlformats.org/officeDocument/2006/relationships/hyperlink" Id="rId80" Target="https://doi.org/10.1038/35004572" TargetMode="External" /><Relationship Type="http://schemas.openxmlformats.org/officeDocument/2006/relationships/hyperlink" Id="rId52" Target="https://doi.org/10.1038/nature10832" TargetMode="External" /><Relationship Type="http://schemas.openxmlformats.org/officeDocument/2006/relationships/hyperlink" Id="rId74" Target="https://doi.org/10.1038/ncomms12718" TargetMode="External" /><Relationship Type="http://schemas.openxmlformats.org/officeDocument/2006/relationships/hyperlink" Id="rId68" Target="https://doi.org/10.1073/pnas.0710672105" TargetMode="External" /><Relationship Type="http://schemas.openxmlformats.org/officeDocument/2006/relationships/hyperlink" Id="rId70" Target="https://doi.org/10.1086/653667" TargetMode="External" /><Relationship Type="http://schemas.openxmlformats.org/officeDocument/2006/relationships/hyperlink" Id="rId62" Target="https://doi.org/10.1101/2020.06.10.144949" TargetMode="External" /><Relationship Type="http://schemas.openxmlformats.org/officeDocument/2006/relationships/hyperlink" Id="rId64" Target="https://doi.org/10.1111/2041-210X.14497" TargetMode="External" /><Relationship Type="http://schemas.openxmlformats.org/officeDocument/2006/relationships/hyperlink" Id="rId72" Target="https://doi.org/10.1126/science.269.5228.1257" TargetMode="External" /><Relationship Type="http://schemas.openxmlformats.org/officeDocument/2006/relationships/hyperlink" Id="rId54" Target="https://doi.org/10.1371/journal.pcbi.1011458" TargetMode="External" /><Relationship Type="http://schemas.openxmlformats.org/officeDocument/2006/relationships/hyperlink" Id="rId66" Target="https://doi.org/10.1890/0012-9658(1997)078[0653:atrfmt]2.0.co;2" TargetMode="External" /><Relationship Type="http://schemas.openxmlformats.org/officeDocument/2006/relationships/hyperlink" Id="rId56" Target="https://doi.org/10.1890/0012-9658(2006)87[2411:CBRINF]2.0.CO;2" TargetMode="External" /><Relationship Type="http://schemas.openxmlformats.org/officeDocument/2006/relationships/hyperlink" Id="rId76" Target="https://doi.org/10.32942/X2JW8K" TargetMode="External" /><Relationship Type="http://schemas.openxmlformats.org/officeDocument/2006/relationships/hyperlink" Id="rId78" Target="https://ecoevorxiv.org/repository/view/13495/" TargetMode="External" /><Relationship Type="http://schemas.openxmlformats.org/officeDocument/2006/relationships/hyperlink" Id="rId58"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dc:title>
  <dc:creator>Tanya Strydom; Xiaoxiao Li; Laura Sophia Landon Blake; Andrew P. Beckerman; Dylan Z. Childs</dc:creator>
  <cp:keywords>food webs</cp:keywords>
  <dcterms:created xsi:type="dcterms:W3CDTF">2026-07-27T11:53:54Z</dcterms:created>
  <dcterms:modified xsi:type="dcterms:W3CDTF">2026-07-27T11:53:54Z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2026-07-27</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