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Landon Blake</w:t>
      </w:r>
    </w:p>
    <w:p>
      <w:pPr>
        <w:pStyle w:val="Author"/>
      </w:pPr>
      <w:r>
        <w:t xml:space="preserve">Andrew P. Beckerman</w:t>
      </w:r>
    </w:p>
    <w:p>
      <w:pPr>
        <w:pStyle w:val="Author"/>
      </w:pPr>
      <w:r>
        <w:t xml:space="preserve">Dylan Z. Childs</w:t>
      </w:r>
    </w:p>
    <w:p>
      <w:pPr>
        <w:pStyle w:val="Date"/>
      </w:pPr>
      <w:r>
        <w:t xml:space="preserve">2026-03-23</w:t>
      </w:r>
    </w:p>
    <w:p>
      <w:pPr>
        <w:pStyle w:val="AbstractTitle"/>
      </w:pPr>
      <w:r>
        <w:t xml:space="preserve">Abstract</w:t>
      </w:r>
    </w:p>
    <w:p>
      <w:pPr>
        <w:pStyle w:val="Abstract"/>
      </w:pPr>
      <w:r>
        <w:t xml:space="preserve">TODO</w:t>
      </w:r>
    </w:p>
    <w:p>
      <w:pPr>
        <w:pStyle w:val="FirstParagraph"/>
      </w:pPr>
      <w:r>
        <w:t xml:space="preserve"># Introduction</w:t>
      </w:r>
    </w:p>
    <w:p>
      <w:pPr>
        <w:pStyle w:val="BodyText"/>
      </w:pPr>
      <w:r>
        <w:t xml:space="preserve">The Niche Model Hegemony: Establish how the Niche Model (and its topological derivatives like the Cascade model) has historically served as the</w:t>
      </w:r>
      <w:r>
        <w:t xml:space="preserve"> </w:t>
      </w:r>
      <w:r>
        <w:t xml:space="preserve">“structural prior”</w:t>
      </w:r>
      <w:r>
        <w:t xml:space="preserve"> </w:t>
      </w:r>
      <w:r>
        <w:t xml:space="preserve">or template for most network theory.</w:t>
      </w:r>
    </w:p>
    <w:p>
      <w:pPr>
        <w:pStyle w:val="BodyText"/>
      </w:pPr>
      <w:r>
        <w:t xml:space="preserve">The Philosophy Gap: Contrast structural/topological models (which prioritise species-agnostic link distributions) with</w:t>
      </w:r>
      <w:r>
        <w:t xml:space="preserve"> </w:t>
      </w:r>
      <w:r>
        <w:t xml:space="preserve">“realised/dynamic”</w:t>
      </w:r>
      <w:r>
        <w:t xml:space="preserve"> </w:t>
      </w:r>
      <w:r>
        <w:t xml:space="preserve">models like ATN and ADBM (which prioritise biological mechanisms like bioenergetics and optimal foraging).</w:t>
      </w:r>
    </w:p>
    <w:p>
      <w:pPr>
        <w:pStyle w:val="BodyText"/>
      </w:pPr>
      <w:r>
        <w:t xml:space="preserve">The Research Question: Do these different philosophical starting points (mechanical vs. statistical) lead to the same conclusions about community stability, or does the choice of</w:t>
      </w:r>
      <w:r>
        <w:t xml:space="preserve"> </w:t>
      </w:r>
      <w:r>
        <w:t xml:space="preserve">“template”</w:t>
      </w:r>
      <w:r>
        <w:t xml:space="preserve"> </w:t>
      </w:r>
      <w:r>
        <w:t xml:space="preserve">fundamentally bias our understanding of extinction dynamics?.</w:t>
      </w:r>
    </w:p>
    <w:bookmarkStart w:id="11" w:name="methods"/>
    <w:p>
      <w:pPr>
        <w:pStyle w:val="Heading1"/>
      </w:pPr>
      <w:r>
        <w:t xml:space="preserve">1. Methods</w:t>
      </w:r>
    </w:p>
    <w:bookmarkStart w:id="10" w:name="model-selection-and-implementation"/>
    <w:p>
      <w:pPr>
        <w:pStyle w:val="Heading2"/>
      </w:pPr>
      <w:r>
        <w:t xml:space="preserve">1.1 Model Selection and Implementation</w:t>
      </w:r>
    </w:p>
    <w:p>
      <w:pPr>
        <w:pStyle w:val="FirstParagraph"/>
      </w:pPr>
      <w:r>
        <w:t xml:space="preserve">Describe the seven model classes - Structural: Niche, Cascade, MaxEnt (Topological templates) vs realised/dynamic: ATN (mechanical/allometric), ADBM (energetic/optimal foraging), and Latent Trait (statistical/allometric)</w:t>
      </w:r>
    </w:p>
    <w:tbl>
      <w:tblPr>
        <w:tblStyle w:val="Table"/>
        <w:tblW w:type="pct" w:w="5000"/>
        <w:tblLayout w:type="fixed"/>
        <w:tblLook w:firstRow="0" w:lastRow="0" w:firstColumn="0" w:lastColumn="0" w:noHBand="0" w:noVBand="0" w:val="0000"/>
      </w:tblPr>
      <w:tblGrid>
        <w:gridCol w:w="7920"/>
      </w:tblGrid>
      <w:tr>
        <w:tc>
          <w:tcPr/>
          <w:bookmarkStart w:id="9"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9"/>
          <w:p/>
        </w:tc>
      </w:tr>
    </w:tbl>
    <w:p>
      <w:pPr>
        <w:pStyle w:val="BodyText"/>
      </w:pPr>
      <w:r>
        <w:t xml:space="preserve">Simulation Framework: Explain how an identical species pool was used across all models to isolate the model effect from the data effect. Something about how we constrained networks and also species class assignments if and when valid in constraining the model vs needed as input for the BEFW</w:t>
      </w:r>
    </w:p>
    <w:p>
      <w:pPr>
        <w:pStyle w:val="BodyText"/>
      </w:pPr>
      <w:r>
        <w:t xml:space="preserve">Dynamic Perturbation: Detail the use of a bioenergetic food web model to simulate species loss and cascading extinctions.</w:t>
      </w:r>
    </w:p>
    <w:p>
      <w:pPr>
        <w:pStyle w:val="BodyText"/>
      </w:pPr>
      <w:r>
        <w:t xml:space="preserve">Metrics for Comparison: Define the macro-scale (connectance), meso-scale (motifs), and micro-scale (generality/vulnerability) properties used to evaluate structural stories. As well as some of the outputs from the dynamic models - persistence/stability</w:t>
      </w:r>
    </w:p>
    <w:bookmarkEnd w:id="10"/>
    <w:bookmarkEnd w:id="11"/>
    <w:bookmarkStart w:id="16" w:name="results"/>
    <w:p>
      <w:pPr>
        <w:pStyle w:val="Heading1"/>
      </w:pPr>
      <w:r>
        <w:t xml:space="preserve">2. Results</w:t>
      </w:r>
    </w:p>
    <w:p>
      <w:pPr>
        <w:pStyle w:val="FirstParagraph"/>
      </w:pPr>
      <w:r>
        <w:t xml:space="preserve">Structural Signatures: Report how much variance is explained by the model choice.</w:t>
      </w:r>
    </w:p>
    <w:tbl>
      <w:tblPr>
        <w:tblStyle w:val="Table"/>
        <w:tblW w:type="pct" w:w="5000"/>
        <w:tblLayout w:type="fixed"/>
        <w:tblLook w:firstRow="0" w:lastRow="0" w:firstColumn="0" w:lastColumn="0" w:noHBand="0" w:noVBand="0" w:val="0000"/>
      </w:tblPr>
      <w:tblGrid>
        <w:gridCol w:w="7920"/>
      </w:tblGrid>
      <w:tr>
        <w:tc>
          <w:tcPr/>
          <w:bookmarkStart w:id="15" w:name="fig-structure"/>
          <w:p>
            <w:pPr>
              <w:pStyle w:val="Compact"/>
              <w:jc w:val="center"/>
            </w:pPr>
            <w:r>
              <w:drawing>
                <wp:inline>
                  <wp:extent cx="5334000" cy="4267199"/>
                  <wp:effectExtent b="0" l="0" r="0" t="0"/>
                  <wp:docPr descr="" title="" id="13" name="Picture"/>
                  <a:graphic>
                    <a:graphicData uri="http://schemas.openxmlformats.org/drawingml/2006/picture">
                      <pic:pic>
                        <pic:nvPicPr>
                          <pic:cNvPr descr="figures/lda.png" id="14" name="Picture"/>
                          <pic:cNvPicPr>
                            <a:picLocks noChangeArrowheads="1" noChangeAspect="1"/>
                          </pic:cNvPicPr>
                        </pic:nvPicPr>
                        <pic:blipFill>
                          <a:blip r:embed="rId12"/>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seven model types. Each point represents a replicate, and ellipses indicate 95% confidence regions for each model. The second column represents the correlation of the various network metrics with the respective LDA axes.</w:t>
            </w:r>
          </w:p>
          <w:bookmarkEnd w:id="15"/>
        </w:tc>
      </w:tr>
    </w:tbl>
    <w:p>
      <w:pPr>
        <w:pStyle w:val="BodyText"/>
      </w:pPr>
      <w:r>
        <w:t xml:space="preserve">The Niche Model Template: Identify if the structural models occupy a central</w:t>
      </w:r>
      <w:r>
        <w:t xml:space="preserve"> </w:t>
      </w:r>
      <w:r>
        <w:t xml:space="preserve">‘mean space’</w:t>
      </w:r>
      <w:r>
        <w:t xml:space="preserve"> </w:t>
      </w:r>
      <w:r>
        <w:t xml:space="preserve">or if the dynamic models diverge into non-overlapping regions.</w:t>
      </w:r>
    </w:p>
    <w:p>
      <w:pPr>
        <w:pStyle w:val="BodyText"/>
      </w:pPr>
      <w:r>
        <w:t xml:space="preserve">Divergent Stories in Dynamics: Show how models with similar global structures (like connectance) can lead to wildly different pathways of change/collapse/straight lines.</w:t>
      </w:r>
    </w:p>
    <w:bookmarkEnd w:id="16"/>
    <w:bookmarkStart w:id="17" w:name="discussion"/>
    <w:p>
      <w:pPr>
        <w:pStyle w:val="Heading1"/>
      </w:pPr>
      <w:r>
        <w:t xml:space="preserve">3. Discussion</w:t>
      </w:r>
    </w:p>
    <w:p>
      <w:pPr>
        <w:pStyle w:val="FirstParagraph"/>
      </w:pPr>
      <w:r>
        <w:t xml:space="preserve">Reconstruction is Not Neutral: Discuss how models act as structural priors that condition ecological inference. Well maybe - paleo webs seems to suggest this</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17"/>
    <w:bookmarkStart w:id="31" w:name="references"/>
    <w:p>
      <w:pPr>
        <w:pStyle w:val="Heading1"/>
      </w:pPr>
      <w:r>
        <w:t xml:space="preserve">References</w:t>
      </w:r>
    </w:p>
    <w:bookmarkStart w:id="30" w:name="refs"/>
    <w:bookmarkStart w:id="19"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18">
        <w:r>
          <w:rPr>
            <w:rStyle w:val="Hyperlink"/>
          </w:rPr>
          <w:t xml:space="preserve">https://doi.org/10.1371/journal.pcbi.1011458</w:t>
        </w:r>
      </w:hyperlink>
    </w:p>
    <w:bookmarkEnd w:id="19"/>
    <w:bookmarkStart w:id="21"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20">
        <w:r>
          <w:rPr>
            <w:rStyle w:val="Hyperlink"/>
          </w:rPr>
          <w:t xml:space="preserve">https://doi.org/10.1890/0012-9658(2006)87[2411:CBRINF]2.0.CO;2</w:t>
        </w:r>
      </w:hyperlink>
    </w:p>
    <w:bookmarkEnd w:id="21"/>
    <w:bookmarkStart w:id="23"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22">
        <w:r>
          <w:rPr>
            <w:rStyle w:val="Hyperlink"/>
          </w:rPr>
          <w:t xml:space="preserve">https://www.springer.com/gp/book/9783642837869</w:t>
        </w:r>
      </w:hyperlink>
    </w:p>
    <w:bookmarkEnd w:id="23"/>
    <w:bookmarkStart w:id="25"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4">
        <w:r>
          <w:rPr>
            <w:rStyle w:val="Hyperlink"/>
          </w:rPr>
          <w:t xml:space="preserve">https://doi.org/10.1073/pnas.0710672105</w:t>
        </w:r>
      </w:hyperlink>
    </w:p>
    <w:bookmarkEnd w:id="25"/>
    <w:bookmarkStart w:id="27"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6">
        <w:r>
          <w:rPr>
            <w:rStyle w:val="Hyperlink"/>
          </w:rPr>
          <w:t xml:space="preserve">https://doi.org/10.1086/653667</w:t>
        </w:r>
      </w:hyperlink>
    </w:p>
    <w:bookmarkEnd w:id="27"/>
    <w:bookmarkStart w:id="29"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28">
        <w:r>
          <w:rPr>
            <w:rStyle w:val="Hyperlink"/>
          </w:rPr>
          <w:t xml:space="preserve">https://doi.org/10.1038/35004572</w:t>
        </w:r>
      </w:hyperlink>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8" Target="https://doi.org/10.1038/35004572" TargetMode="External" /><Relationship Type="http://schemas.openxmlformats.org/officeDocument/2006/relationships/hyperlink" Id="rId24" Target="https://doi.org/10.1073/pnas.0710672105" TargetMode="External" /><Relationship Type="http://schemas.openxmlformats.org/officeDocument/2006/relationships/hyperlink" Id="rId26" Target="https://doi.org/10.1086/653667" TargetMode="External" /><Relationship Type="http://schemas.openxmlformats.org/officeDocument/2006/relationships/hyperlink" Id="rId18" Target="https://doi.org/10.1371/journal.pcbi.1011458" TargetMode="External" /><Relationship Type="http://schemas.openxmlformats.org/officeDocument/2006/relationships/hyperlink" Id="rId20" Target="https://doi.org/10.1890/0012-9658(2006)87[2411:CBRINF]2.0.CO;2" TargetMode="External" /><Relationship Type="http://schemas.openxmlformats.org/officeDocument/2006/relationships/hyperlink" Id="rId22"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038/35004572" TargetMode="External" /><Relationship Type="http://schemas.openxmlformats.org/officeDocument/2006/relationships/hyperlink" Id="rId24" Target="https://doi.org/10.1073/pnas.0710672105" TargetMode="External" /><Relationship Type="http://schemas.openxmlformats.org/officeDocument/2006/relationships/hyperlink" Id="rId26" Target="https://doi.org/10.1086/653667" TargetMode="External" /><Relationship Type="http://schemas.openxmlformats.org/officeDocument/2006/relationships/hyperlink" Id="rId18" Target="https://doi.org/10.1371/journal.pcbi.1011458" TargetMode="External" /><Relationship Type="http://schemas.openxmlformats.org/officeDocument/2006/relationships/hyperlink" Id="rId20" Target="https://doi.org/10.1890/0012-9658(2006)87[2411:CBRINF]2.0.CO;2" TargetMode="External" /><Relationship Type="http://schemas.openxmlformats.org/officeDocument/2006/relationships/hyperlink" Id="rId22"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Landon Blake; Andrew P. Beckerman; Dylan Z. Childs</dc:creator>
  <cp:keywords>food webs</cp:keywords>
  <dcterms:created xsi:type="dcterms:W3CDTF">2026-03-23T14:37:33Z</dcterms:created>
  <dcterms:modified xsi:type="dcterms:W3CDTF">2026-03-23T14:37:33Z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2026-03-23</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