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2026-03-12</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w:t>
      </w:r>
      <w:r>
        <w:t xml:space="preserve"> </w:t>
      </w:r>
      <w:r>
        <w:t xml:space="preserve">“structural prior”</w:t>
      </w:r>
      <w:r>
        <w:t xml:space="preserve"> </w:t>
      </w:r>
      <w:r>
        <w:t xml:space="preserve">or template for most network theory.</w:t>
      </w:r>
    </w:p>
    <w:p>
      <w:pPr>
        <w:pStyle w:val="BodyText"/>
      </w:pPr>
      <w:r>
        <w:t xml:space="preserve">The Philosophy Gap: Contrast structural/topological models (which prioritise species-agnostic link distributions) with</w:t>
      </w:r>
      <w:r>
        <w:t xml:space="preserve"> </w:t>
      </w:r>
      <w:r>
        <w:t xml:space="preserve">“realised/dynamic”</w:t>
      </w:r>
      <w:r>
        <w:t xml:space="preserve"> </w:t>
      </w:r>
      <w:r>
        <w:t xml:space="preserve">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w:t>
      </w:r>
      <w:r>
        <w:t xml:space="preserve"> </w:t>
      </w:r>
      <w:r>
        <w:t xml:space="preserve">“template”</w:t>
      </w:r>
      <w:r>
        <w:t xml:space="preserve"> </w:t>
      </w:r>
      <w:r>
        <w:t xml:space="preserve">fundamentally bias our understanding of extinction dynamics?.</w:t>
      </w:r>
    </w:p>
    <w:bookmarkStart w:id="22" w:name="methods"/>
    <w:p>
      <w:pPr>
        <w:pStyle w:val="Heading1"/>
      </w:pPr>
      <w:r>
        <w:t xml:space="preserve">1. Methods</w:t>
      </w:r>
    </w:p>
    <w:bookmarkStart w:id="21" w:name="model-selection-and-implementation"/>
    <w:p>
      <w:pPr>
        <w:pStyle w:val="Heading2"/>
      </w:pPr>
      <w:r>
        <w:t xml:space="preserve">1.1 Model Selection and Implementation</w:t>
      </w:r>
    </w:p>
    <w:p>
      <w:pPr>
        <w:pStyle w:val="FirstParagraph"/>
      </w:pPr>
      <w:r>
        <w:t xml:space="preserve">Describe the seven model classes - Structural: Niche, Cascade, MaxEnt (Topological templates) vs realised/dynamic: ATN (mechanical/allometric), ADBM (energetic/optimal foraging), and Latent Trait (statistical/allometric)</w:t>
      </w:r>
    </w:p>
    <w:tbl>
      <w:tblPr>
        <w:tblStyle w:val="Table"/>
        <w:tblW w:type="pct" w:w="5000"/>
        <w:tblLayout w:type="fixed"/>
        <w:tblLook w:firstRow="0" w:lastRow="0" w:firstColumn="0" w:lastColumn="0" w:noHBand="0" w:noVBand="0" w:val="0000"/>
      </w:tblPr>
      <w:tblGrid>
        <w:gridCol w:w="7920"/>
      </w:tblGrid>
      <w:tr>
        <w:tc>
          <w:tcPr/>
          <w:bookmarkStart w:id="2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20"/>
          <w:p/>
        </w:tc>
      </w:tr>
    </w:tbl>
    <w:p>
      <w:pPr>
        <w:pStyle w:val="BodyText"/>
      </w:pPr>
      <w:r>
        <w:t xml:space="preserve">Simulation Framework: Explain how an identical species pool was used across all models to isolate the model effect from the data effect. Something about how we constrained networks and also species class assignments if and when valid in constraining the model vs needed as input for the BEFW</w:t>
      </w:r>
    </w:p>
    <w:p>
      <w:pPr>
        <w:pStyle w:val="BodyText"/>
      </w:pPr>
      <w:r>
        <w:t xml:space="preserve">Dynamic Perturbation: Detail the use of a bioenergetic food web model to simulate species loss and cascading extinctions.</w:t>
      </w:r>
    </w:p>
    <w:p>
      <w:pPr>
        <w:pStyle w:val="BodyText"/>
      </w:pPr>
      <w:r>
        <w:t xml:space="preserve">Metrics for Comparison: Define the macro-scale (connectance), meso-scale (motifs), and micro-scale (generality/vulnerability) properties used to evaluate structural stories. As well as some of the outputs from the dynamic models - persistence/stability</w:t>
      </w:r>
    </w:p>
    <w:bookmarkEnd w:id="21"/>
    <w:bookmarkEnd w:id="22"/>
    <w:bookmarkStart w:id="27"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26" w:name="fig-structure"/>
          <w:p>
            <w:pPr>
              <w:pStyle w:val="Compact"/>
              <w:jc w:val="center"/>
            </w:pPr>
            <w:r>
              <w:drawing>
                <wp:inline>
                  <wp:extent cx="5334000" cy="4267199"/>
                  <wp:effectExtent b="0" l="0" r="0" t="0"/>
                  <wp:docPr descr="" title="" id="24" name="Picture"/>
                  <a:graphic>
                    <a:graphicData uri="http://schemas.openxmlformats.org/drawingml/2006/picture">
                      <pic:pic>
                        <pic:nvPicPr>
                          <pic:cNvPr descr="figures/lda.png" id="25" name="Picture"/>
                          <pic:cNvPicPr>
                            <a:picLocks noChangeArrowheads="1" noChangeAspect="1"/>
                          </pic:cNvPicPr>
                        </pic:nvPicPr>
                        <pic:blipFill>
                          <a:blip r:embed="rId23"/>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26"/>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27"/>
    <w:bookmarkStart w:id="28"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8"/>
    <w:bookmarkStart w:id="42" w:name="references"/>
    <w:p>
      <w:pPr>
        <w:pStyle w:val="Heading1"/>
      </w:pPr>
      <w:r>
        <w:t xml:space="preserve">References</w:t>
      </w:r>
    </w:p>
    <w:bookmarkStart w:id="41" w:name="refs"/>
    <w:bookmarkStart w:id="30"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9">
        <w:r>
          <w:rPr>
            <w:rStyle w:val="Hyperlink"/>
          </w:rPr>
          <w:t xml:space="preserve">https://doi.org/10.1371/journal.pcbi.1011458</w:t>
        </w:r>
      </w:hyperlink>
    </w:p>
    <w:bookmarkEnd w:id="30"/>
    <w:bookmarkStart w:id="32"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31">
        <w:r>
          <w:rPr>
            <w:rStyle w:val="Hyperlink"/>
          </w:rPr>
          <w:t xml:space="preserve">https://doi.org/10.1890/0012-9658(2006)87[2411:CBRINF]2.0.CO;2</w:t>
        </w:r>
      </w:hyperlink>
    </w:p>
    <w:bookmarkEnd w:id="32"/>
    <w:bookmarkStart w:id="34"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33">
        <w:r>
          <w:rPr>
            <w:rStyle w:val="Hyperlink"/>
          </w:rPr>
          <w:t xml:space="preserve">https://www.springer.com/gp/book/9783642837869</w:t>
        </w:r>
      </w:hyperlink>
    </w:p>
    <w:bookmarkEnd w:id="34"/>
    <w:bookmarkStart w:id="3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35">
        <w:r>
          <w:rPr>
            <w:rStyle w:val="Hyperlink"/>
          </w:rPr>
          <w:t xml:space="preserve">https://doi.org/10.1073/pnas.0710672105</w:t>
        </w:r>
      </w:hyperlink>
    </w:p>
    <w:bookmarkEnd w:id="36"/>
    <w:bookmarkStart w:id="38"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7">
        <w:r>
          <w:rPr>
            <w:rStyle w:val="Hyperlink"/>
          </w:rPr>
          <w:t xml:space="preserve">https://doi.org/10.1086/653667</w:t>
        </w:r>
      </w:hyperlink>
    </w:p>
    <w:bookmarkEnd w:id="38"/>
    <w:bookmarkStart w:id="4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9">
        <w:r>
          <w:rPr>
            <w:rStyle w:val="Hyperlink"/>
          </w:rPr>
          <w:t xml:space="preserve">https://doi.org/10.1038/35004572</w:t>
        </w:r>
      </w:hyperlink>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9" Target="https://doi.org/10.1038/35004572" TargetMode="External" /><Relationship Type="http://schemas.openxmlformats.org/officeDocument/2006/relationships/hyperlink" Id="rId35" Target="https://doi.org/10.1073/pnas.0710672105" TargetMode="External" /><Relationship Type="http://schemas.openxmlformats.org/officeDocument/2006/relationships/hyperlink" Id="rId37" Target="https://doi.org/10.1086/653667" TargetMode="External" /><Relationship Type="http://schemas.openxmlformats.org/officeDocument/2006/relationships/hyperlink" Id="rId29" Target="https://doi.org/10.1371/journal.pcbi.1011458" TargetMode="External" /><Relationship Type="http://schemas.openxmlformats.org/officeDocument/2006/relationships/hyperlink" Id="rId31" Target="https://doi.org/10.1890/0012-9658(2006)87[2411:CBRINF]2.0.CO;2" TargetMode="External" /><Relationship Type="http://schemas.openxmlformats.org/officeDocument/2006/relationships/hyperlink" Id="rId33"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38/35004572" TargetMode="External" /><Relationship Type="http://schemas.openxmlformats.org/officeDocument/2006/relationships/hyperlink" Id="rId35" Target="https://doi.org/10.1073/pnas.0710672105" TargetMode="External" /><Relationship Type="http://schemas.openxmlformats.org/officeDocument/2006/relationships/hyperlink" Id="rId37" Target="https://doi.org/10.1086/653667" TargetMode="External" /><Relationship Type="http://schemas.openxmlformats.org/officeDocument/2006/relationships/hyperlink" Id="rId29" Target="https://doi.org/10.1371/journal.pcbi.1011458" TargetMode="External" /><Relationship Type="http://schemas.openxmlformats.org/officeDocument/2006/relationships/hyperlink" Id="rId31" Target="https://doi.org/10.1890/0012-9658(2006)87[2411:CBRINF]2.0.CO;2" TargetMode="External" /><Relationship Type="http://schemas.openxmlformats.org/officeDocument/2006/relationships/hyperlink" Id="rId33"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2026-03-12T07:44:21Z</dcterms:created>
  <dcterms:modified xsi:type="dcterms:W3CDTF">2026-03-12T07:44:21Z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2026-03-12</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