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structure, different stability: The lasting legacy of food web reconstruction</w:t>
      </w:r>
    </w:p>
    <w:p>
      <w:pPr>
        <w:pStyle w:val="Author"/>
      </w:pPr>
      <w:r>
        <w:t xml:space="preserve">Tanya Strydom</w:t>
      </w:r>
    </w:p>
    <w:p>
      <w:pPr>
        <w:pStyle w:val="Author"/>
      </w:pPr>
      <w:r>
        <w:t xml:space="preserve">Xiaoxiao Li</w:t>
      </w:r>
    </w:p>
    <w:p>
      <w:pPr>
        <w:pStyle w:val="Author"/>
      </w:pPr>
      <w:r>
        <w:t xml:space="preserve">Alain Danet</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2026-10-27</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structure, different stability: The lasting legacy of food web reconstruction</dc:title>
  <dc:creator>Tanya Strydom; Xiaoxiao Li; Alain Danet; Laura Sophia Landon Blake; Andrew P. Beckerman; Dylan Z. Childs</dc:creator>
  <cp:keywords>food web reconstruction, bioenergetic dynamics, network stability, ecological networks, generative models, community persistence</cp:keywords>
  <dcterms:created xsi:type="dcterms:W3CDTF">2026-10-27T11:45:25Z</dcterms:created>
  <dcterms:modified xsi:type="dcterms:W3CDTF">2026-10-27T11:45:25Z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2026-10-27</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