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2026-04-21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5" w:name="methods"/>
    <w:p>
      <w:pPr>
        <w:pStyle w:val="Heading1"/>
      </w:pPr>
      <w:r>
        <w:t xml:space="preserve">1. Methods</w:t>
      </w:r>
    </w:p>
    <w:bookmarkStart w:id="10" w:name="network-generation"/>
    <w:p>
      <w:pPr>
        <w:pStyle w:val="Heading2"/>
      </w:pPr>
      <w:r>
        <w:t xml:space="preserve">1.1 Network generation</w:t>
      </w:r>
    </w:p>
    <w:p>
      <w:pPr>
        <w:pStyle w:val="FirstParagraph"/>
      </w:pPr>
      <w:r>
        <w:t xml:space="preserve">We generated food webs using six established generative models and a maximum entropy (MaxEnt) null model,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fixed (S=15),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 100 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These networks were subjected to the same acceptance criteria as other models.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bookmarkEnd w:id="10"/>
    <w:bookmarkStart w:id="11" w:name="network-structure"/>
    <w:p>
      <w:pPr>
        <w:pStyle w:val="Heading2"/>
      </w:pPr>
      <w:r>
        <w:t xml:space="preserve">1.2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1"/>
    <w:bookmarkStart w:id="12" w:name="dynamic-simulations"/>
    <w:p>
      <w:pPr>
        <w:pStyle w:val="Heading2"/>
      </w:pPr>
      <w:r>
        <w:t xml:space="preserve">1.3 Dynamic simulations</w:t>
      </w:r>
    </w:p>
    <w:p>
      <w:pPr>
        <w:pStyle w:val="FirstParagraph"/>
      </w:pPr>
      <w:r>
        <w:t xml:space="preserve">To evaluate the dynamical consequences of different generative models, all networks were subjected to a common bioenergetic simulation framework. Dynamics were simulated using a Type II functional response and standard allometric scaling.</w:t>
      </w:r>
    </w:p>
    <w:p>
      <w:pPr>
        <w:pStyle w:val="BodyText"/>
      </w:pPr>
      <w:r>
        <w:t xml:space="preserve">Trait-based models were parameterised with their corresponding body masses (rescaled by metabolic class), whereas structural models were assigned a default trophic scaling to enable dynamic simulation. Initial biomasses were randomised.</w:t>
      </w:r>
    </w:p>
    <w:p>
      <w:pPr>
        <w:pStyle w:val="BodyText"/>
      </w:pPr>
      <w:r>
        <w:t xml:space="preserve">Simulations were run for 6000 time units, with summary statistics calculated after a burn-in period (3000–6000). Species were removed when biomass fell below 10^-6, and simulations terminated upon reaching steady state.</w:t>
      </w:r>
    </w:p>
    <w:p>
      <w:pPr>
        <w:pStyle w:val="BodyText"/>
      </w:pPr>
      <w:r>
        <w:t xml:space="preserve">We quantified persistence, equilibrium richness and connectance, total biomass and its variability, maximum trophic level, diversity (Shannon, evenness), and local stability metrics (resilience and reactivity). Final network structure was obtained by retaining only surviving species.</w:t>
      </w:r>
    </w:p>
    <w:bookmarkEnd w:id="12"/>
    <w:bookmarkStart w:id="13" w:name="post-simulation-structure"/>
    <w:p>
      <w:pPr>
        <w:pStyle w:val="Heading2"/>
      </w:pPr>
      <w:r>
        <w:t xml:space="preserve">1.4 Post-simulation structure</w:t>
      </w:r>
    </w:p>
    <w:p>
      <w:pPr>
        <w:pStyle w:val="FirstParagraph"/>
      </w:pPr>
      <w:r>
        <w:t xml:space="preserve">To assess how dynamics reshape network topology, we recalculated all structural metrics on the realised (post-extinction) networks, enabling direct comparison between initial and emergent structure across models.</w:t>
      </w:r>
    </w:p>
    <w:bookmarkEnd w:id="13"/>
    <w:bookmarkStart w:id="14" w:name="experimental-design"/>
    <w:p>
      <w:pPr>
        <w:pStyle w:val="Heading2"/>
      </w:pPr>
      <w:r>
        <w:t xml:space="preserve">1.5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4"/>
    <w:bookmarkEnd w:id="15"/>
    <w:bookmarkStart w:id="20"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9" w:name="fig-structure"/>
          <w:p>
            <w:pPr>
              <w:pStyle w:val="Compact"/>
              <w:jc w:val="center"/>
            </w:pPr>
            <w:r>
              <w:drawing>
                <wp:inline>
                  <wp:extent cx="5334000" cy="4267199"/>
                  <wp:effectExtent b="0" l="0" r="0" t="0"/>
                  <wp:docPr descr="" title="" id="17" name="Picture"/>
                  <a:graphic>
                    <a:graphicData uri="http://schemas.openxmlformats.org/drawingml/2006/picture">
                      <pic:pic>
                        <pic:nvPicPr>
                          <pic:cNvPr descr="figures/lda.png" id="18" name="Picture"/>
                          <pic:cNvPicPr>
                            <a:picLocks noChangeArrowheads="1" noChangeAspect="1"/>
                          </pic:cNvPicPr>
                        </pic:nvPicPr>
                        <pic:blipFill>
                          <a:blip r:embed="rId16"/>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9"/>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20"/>
    <w:bookmarkStart w:id="21"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1"/>
    <w:bookmarkStart w:id="35" w:name="references"/>
    <w:p>
      <w:pPr>
        <w:pStyle w:val="Heading1"/>
      </w:pPr>
      <w:r>
        <w:t xml:space="preserve">References</w:t>
      </w:r>
    </w:p>
    <w:bookmarkStart w:id="34" w:name="refs"/>
    <w:bookmarkStart w:id="23"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2">
        <w:r>
          <w:rPr>
            <w:rStyle w:val="Hyperlink"/>
          </w:rPr>
          <w:t xml:space="preserve">https://doi.org/10.1371/journal.pcbi.1011458</w:t>
        </w:r>
      </w:hyperlink>
    </w:p>
    <w:bookmarkEnd w:id="23"/>
    <w:bookmarkStart w:id="2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4">
        <w:r>
          <w:rPr>
            <w:rStyle w:val="Hyperlink"/>
          </w:rPr>
          <w:t xml:space="preserve">https://doi.org/10.1890/0012-9658(2006)87[2411:CBRINF]2.0.CO;2</w:t>
        </w:r>
      </w:hyperlink>
    </w:p>
    <w:bookmarkEnd w:id="25"/>
    <w:bookmarkStart w:id="2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6">
        <w:r>
          <w:rPr>
            <w:rStyle w:val="Hyperlink"/>
          </w:rPr>
          <w:t xml:space="preserve">https://www.springer.com/gp/book/9783642837869</w:t>
        </w:r>
      </w:hyperlink>
    </w:p>
    <w:bookmarkEnd w:id="27"/>
    <w:bookmarkStart w:id="2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8">
        <w:r>
          <w:rPr>
            <w:rStyle w:val="Hyperlink"/>
          </w:rPr>
          <w:t xml:space="preserve">https://doi.org/10.1073/pnas.0710672105</w:t>
        </w:r>
      </w:hyperlink>
    </w:p>
    <w:bookmarkEnd w:id="29"/>
    <w:bookmarkStart w:id="31"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0">
        <w:r>
          <w:rPr>
            <w:rStyle w:val="Hyperlink"/>
          </w:rPr>
          <w:t xml:space="preserve">https://doi.org/10.1086/653667</w:t>
        </w:r>
      </w:hyperlink>
    </w:p>
    <w:bookmarkEnd w:id="31"/>
    <w:bookmarkStart w:id="33"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2">
        <w:r>
          <w:rPr>
            <w:rStyle w:val="Hyperlink"/>
          </w:rPr>
          <w:t xml:space="preserve">https://doi.org/10.1038/35004572</w:t>
        </w:r>
      </w:hyperlink>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2026-04-21T14:12:53Z</dcterms:created>
  <dcterms:modified xsi:type="dcterms:W3CDTF">2026-04-21T14:12:53Z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2026-04-21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