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4.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2026-06-29</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 Additionally also including the MaxEnt model which is a structural model but is based on statistical mechanics rather than the niche template.</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End w:id="9"/>
    <w:bookmarkStart w:id="19"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all networks were subjected to a common bioenergetic simulation framework using EcologicalNetworksDynamics.jl.</w:t>
      </w:r>
    </w:p>
    <w:p>
      <w:pPr>
        <w:pStyle w:val="BodyText"/>
      </w:pPr>
      <w:r>
        <w:t xml:space="preserve">For trait-based models (ATN, ADBM, LTN), species body masses were taken from the generative networks and rescaled relative to the producer with the lowest body mass. These models were then parameterised with their corresponding body masses and standard allometric scaling. For structural models (Niche, Cascade, MaxEnt, Random), where explicit trait information was not available, we assigned body masses using trophic scaling with a predator–prey body-mass ratio of 100, a value commonly used for aquatic food webs. Initial species biomasses were randomly assigned. Dynamics were simulated using a Type III functional response, with a Hill exponent of 2.</w:t>
      </w:r>
    </w:p>
    <w:p>
      <w:pPr>
        <w:pStyle w:val="BodyText"/>
      </w:pPr>
      <w:r>
        <w:t xml:space="preserve">Each network was simulated until a steady state was reached, with a minimum simulation time of 2000 time units and a maximum of 5000 time units. Equilibrium properties were calculated over the final 500 time units of each simulation. Species were considered extinct and removed when their biomass fell below 10−6. At equilibrium, both extinct species and disconnected species were removed, yielding the realised post-simulation network.</w:t>
      </w:r>
    </w:p>
    <w:bookmarkEnd w:id="13"/>
    <w:bookmarkStart w:id="17" w:name="post-simulation-analyses"/>
    <w:p>
      <w:pPr>
        <w:pStyle w:val="Heading2"/>
      </w:pPr>
      <w:r>
        <w:t xml:space="preserve">2.4 Post-simulation analyses</w:t>
      </w:r>
    </w:p>
    <w:bookmarkStart w:id="14" w:name="realistic-networks"/>
    <w:p>
      <w:pPr>
        <w:pStyle w:val="Heading3"/>
      </w:pPr>
      <w:r>
        <w:t xml:space="preserve">2.4.1 Realistic Networks</w:t>
      </w:r>
    </w:p>
    <w:p>
      <w:pPr>
        <w:pStyle w:val="FirstParagraph"/>
      </w:pPr>
      <w:r>
        <w:t xml:space="preserve">Something about assessing which networks we generate actually</w:t>
      </w:r>
      <w:r>
        <w:t xml:space="preserve"> </w:t>
      </w:r>
      <w:r>
        <w:t xml:space="preserve">‘look’</w:t>
      </w:r>
      <w:r>
        <w:t xml:space="preserve"> </w:t>
      </w:r>
      <w:r>
        <w:t xml:space="preserve">like we expect a network to look</w:t>
      </w:r>
      <w:r>
        <w:t xml:space="preserve"> </w:t>
      </w:r>
      <w:r>
        <w:rPr>
          <w:i/>
          <w:iCs/>
        </w:rPr>
        <w:t xml:space="preserve">i.e.,</w:t>
      </w:r>
      <w:r>
        <w:t xml:space="preserve"> </w:t>
      </w:r>
      <w:r>
        <w:t xml:space="preserve">there is a degree of ecological plausibility. Things to think about - at the network level things like Co, max trophic level and percent basal and st the node level - loops (although maybe not?), isolated species, illogical species.</w:t>
      </w:r>
    </w:p>
    <w:bookmarkEnd w:id="14"/>
    <w:bookmarkStart w:id="15" w:name="phenotypic-trajectory-analysis"/>
    <w:p>
      <w:pPr>
        <w:pStyle w:val="Heading3"/>
      </w:pPr>
      <w:r>
        <w:t xml:space="preserve">2.4.2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5"/>
    <w:bookmarkStart w:id="16" w:name="community-dynamics"/>
    <w:p>
      <w:pPr>
        <w:pStyle w:val="Heading3"/>
      </w:pPr>
      <w:r>
        <w:t xml:space="preserve">2.4.3 Community dynamics</w:t>
      </w:r>
    </w:p>
    <w:p>
      <w:pPr>
        <w:pStyle w:val="FirstParagraph"/>
      </w:pPr>
      <w:r>
        <w:t xml:space="preserve">For community dynamics, we focused on persistence (proportion of species surviving), total community biomass, maximum trophic level, diversity (Shannon, evenness), and local stability metrics (resilience and reactivity). Local stability metrics were calculated using EcoNetPostProcessing.jl. Note this allows us to see if we draw the same inferences in network behaviour between models.</w:t>
      </w:r>
    </w:p>
    <w:bookmarkEnd w:id="16"/>
    <w:bookmarkEnd w:id="17"/>
    <w:bookmarkStart w:id="18"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8"/>
    <w:bookmarkEnd w:id="19"/>
    <w:bookmarkStart w:id="39" w:name="results"/>
    <w:p>
      <w:pPr>
        <w:pStyle w:val="Heading1"/>
      </w:pPr>
      <w:r>
        <w:t xml:space="preserve">3. Results</w:t>
      </w:r>
    </w:p>
    <w:bookmarkStart w:id="28" w:name="realistic-networks-1"/>
    <w:p>
      <w:pPr>
        <w:pStyle w:val="Heading2"/>
      </w:pPr>
      <w:r>
        <w:t xml:space="preserve">3.1 Realistic Networks</w:t>
      </w:r>
    </w:p>
    <w:p>
      <w:pPr>
        <w:pStyle w:val="FirstParagraph"/>
      </w:pPr>
      <w:r>
        <w:t xml:space="preserve">Need to report the number of networks that fail and</w:t>
      </w:r>
      <w:r>
        <w:t xml:space="preserve"> </w:t>
      </w:r>
      <w:r>
        <w:t xml:space="preserve">‘how’</w:t>
      </w:r>
      <w:r>
        <w:t xml:space="preserve"> </w:t>
      </w:r>
      <w:r>
        <w:t xml:space="preserve">they fail…</w:t>
      </w:r>
    </w:p>
    <w:tbl>
      <w:tblPr>
        <w:tblStyle w:val="Table"/>
        <w:tblW w:type="pct" w:w="5000"/>
        <w:tblLayout w:type="fixed"/>
        <w:tblLook w:firstRow="0" w:lastRow="0" w:firstColumn="0" w:lastColumn="0" w:noHBand="0" w:noVBand="0" w:val="0000"/>
      </w:tblPr>
      <w:tblGrid>
        <w:gridCol w:w="7920"/>
      </w:tblGrid>
      <w:tr>
        <w:tc>
          <w:tcPr/>
          <w:bookmarkStart w:id="23" w:name="fig-checks"/>
          <w:p>
            <w:pPr>
              <w:pStyle w:val="Compact"/>
              <w:jc w:val="center"/>
            </w:pPr>
            <w:r>
              <w:drawing>
                <wp:inline>
                  <wp:extent cx="5334000" cy="4000500"/>
                  <wp:effectExtent b="0" l="0" r="0" t="0"/>
                  <wp:docPr descr="" title="" id="21" name="Picture"/>
                  <a:graphic>
                    <a:graphicData uri="http://schemas.openxmlformats.org/drawingml/2006/picture">
                      <pic:pic>
                        <pic:nvPicPr>
                          <pic:cNvPr descr="figures/realism_space.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TODO</w:t>
            </w:r>
          </w:p>
          <w:bookmarkEnd w:id="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fig-sankey"/>
          <w:p>
            <w:pPr>
              <w:pStyle w:val="Compact"/>
              <w:jc w:val="center"/>
            </w:pPr>
            <w:r>
              <w:drawing>
                <wp:inline>
                  <wp:extent cx="5334000" cy="4000500"/>
                  <wp:effectExtent b="0" l="0" r="0" t="0"/>
                  <wp:docPr descr="" title="" id="25" name="Picture"/>
                  <a:graphic>
                    <a:graphicData uri="http://schemas.openxmlformats.org/drawingml/2006/picture">
                      <pic:pic>
                        <pic:nvPicPr>
                          <pic:cNvPr descr="figures/realism_space_sankey.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TODO</w:t>
            </w:r>
          </w:p>
          <w:bookmarkEnd w:id="27"/>
        </w:tc>
      </w:tr>
    </w:tbl>
    <w:bookmarkEnd w:id="28"/>
    <w:bookmarkStart w:id="33" w:name="networks-converge-in-structure"/>
    <w:p>
      <w:pPr>
        <w:pStyle w:val="Heading2"/>
      </w:pPr>
      <w:r>
        <w:t xml:space="preserve">3.2 Networks Converge in Structure</w:t>
      </w:r>
    </w:p>
    <w:p>
      <w:pPr>
        <w:pStyle w:val="FirstParagraph"/>
      </w:pPr>
      <w:r>
        <w:t xml:space="preserve">Projection of all networks into a common topology space revealed that initial and realised food-web topologies occupied distinct regions of multivariate space (</w:t>
      </w:r>
      <w:hyperlink w:anchor="fig-PTA">
        <w:r>
          <w:rPr>
            <w:rStyle w:val="Hyperlink"/>
          </w:rPr>
          <w:t xml:space="preserve">Figure 3</w:t>
        </w:r>
      </w:hyperlink>
      <w:r>
        <w:t xml:space="preserve">). The XX principal components explained</w:t>
      </w:r>
      <w:r>
        <w:t xml:space="preserve"> </w:t>
      </w:r>
      <w:r>
        <w:rPr>
          <w:b/>
          <w:bCs/>
        </w:rPr>
        <w:t xml:space="preserve">X%</w:t>
      </w:r>
      <w:r>
        <w:t xml:space="preserve"> </w:t>
      </w:r>
      <w:r>
        <w:t xml:space="preserve">of the total variation in network structure, with variation primarily associated with [mention the highest loading metrics, e.g. connectance, modularity, trophic coherence, etc.] (</w:t>
      </w:r>
      <w:hyperlink w:anchor="fig-PTA">
        <w:r>
          <w:rPr>
            <w:rStyle w:val="Hyperlink"/>
          </w:rPr>
          <w:t xml:space="preserve">Figure 3</w:t>
        </w:r>
      </w:hyperlink>
      <w:r>
        <w:t xml:space="preserve"> </w:t>
      </w:r>
      <w:r>
        <w:t xml:space="preserve">A). While considerable separation among reconstruction models was evident in the initial topology space, post-dynamics networks exhibited greater overlap, suggesting that ecological dynamics altered structural differences among models.</w:t>
      </w:r>
    </w:p>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3</w:t>
        </w:r>
      </w:hyperlink>
      <w:r>
        <w:t xml:space="preserve"> </w:t>
      </w:r>
      <w:r>
        <w:t xml:space="preserve">B). Centroid trajectories showed that all models moved broadly in the same direction, indicating that ecological dynamics consistently reshaped network topology.</w:t>
      </w:r>
    </w:p>
    <w:p>
      <w:pPr>
        <w:pStyle w:val="BodyText"/>
      </w:pPr>
      <w:r>
        <w:t xml:space="preserve">The principal dimensions underlying these changes differed among reconstruction models (</w:t>
      </w:r>
      <w:hyperlink w:anchor="fig-PTA">
        <w:r>
          <w:rPr>
            <w:rStyle w:val="Hyperlink"/>
          </w:rPr>
          <w:t xml:space="preserve">Figure 3</w:t>
        </w:r>
      </w:hyperlink>
      <w:r>
        <w:t xml:space="preserve"> </w:t>
      </w:r>
      <w:r>
        <w:t xml:space="preserve">C). For example,</w:t>
      </w:r>
      <w:r>
        <w:t xml:space="preserve"> </w:t>
      </w:r>
      <w:r>
        <w:rPr>
          <w:b/>
          <w:bCs/>
        </w:rPr>
        <w:t xml:space="preserve">[Models…]</w:t>
      </w:r>
      <w:r>
        <w:t xml:space="preserve"> </w:t>
      </w:r>
      <w:r>
        <w:t xml:space="preserve">exhibited its largest displacement along PC1, whereas</w:t>
      </w:r>
      <w:r>
        <w:t xml:space="preserve"> </w:t>
      </w:r>
      <w:r>
        <w:rPr>
          <w:b/>
          <w:bCs/>
        </w:rPr>
        <w:t xml:space="preserve">[Models …]</w:t>
      </w:r>
      <w:r>
        <w:t xml:space="preserve"> </w:t>
      </w:r>
      <w:r>
        <w:t xml:space="preserve">changed primarily along PC3, suggesting that different aspects of network structure were modified depending on the initial reconstruction framework. However given that the models converged to a similar point in multivariate space it suggests that there is a selection for a specific network</w:t>
      </w:r>
      <w:r>
        <w:t xml:space="preserve"> </w:t>
      </w:r>
      <w:r>
        <w:t xml:space="preserve">‘shape’</w:t>
      </w:r>
      <w:r>
        <w:t xml:space="preserve"> </w:t>
      </w:r>
      <w:r>
        <w:t xml:space="preserve">in once a network reaches stability.</w:t>
      </w:r>
    </w:p>
    <w:p>
      <w:pPr>
        <w:pStyle w:val="BodyText"/>
      </w:pPr>
      <w:r>
        <w:t xml:space="preserve">Comparison of trajectory vectors demonstrated that most models exhibited small angular differences, indicating that ecological dynamics produced similar directions of topological change across reconstruction methods. Trajectory lengths ranged from</w:t>
      </w:r>
      <w:r>
        <w:t xml:space="preserve"> </w:t>
      </w:r>
      <w:r>
        <w:rPr>
          <w:b/>
          <w:bCs/>
        </w:rPr>
        <w:t xml:space="preserve">X–Y</w:t>
      </w:r>
      <w:r>
        <w:t xml:space="preserve">, with</w:t>
      </w:r>
      <w:r>
        <w:t xml:space="preserve"> </w:t>
      </w:r>
      <w:r>
        <w:rPr>
          <w:b/>
          <w:bCs/>
        </w:rPr>
        <w:t xml:space="preserve">[Model]</w:t>
      </w:r>
      <w:r>
        <w:t xml:space="preserve"> </w:t>
      </w:r>
      <w:r>
        <w:t xml:space="preserve">exhibiting the greatest overall restructuring and</w:t>
      </w:r>
      <w:r>
        <w:t xml:space="preserve"> </w:t>
      </w:r>
      <w:r>
        <w:rPr>
          <w:b/>
          <w:bCs/>
        </w:rPr>
        <w:t xml:space="preserve">[Model]</w:t>
      </w:r>
      <w:r>
        <w:t xml:space="preserve"> </w:t>
      </w:r>
      <w:r>
        <w:t xml:space="preserve">the least.</w:t>
      </w:r>
    </w:p>
    <w:p>
      <w:pPr>
        <w:pStyle w:val="BodyText"/>
      </w:pPr>
      <w:r>
        <w:t xml:space="preserve">Finally, realised networks showed evidence of convergence within topology space (</w:t>
      </w:r>
      <w:hyperlink w:anchor="fig-PTA">
        <w:r>
          <w:rPr>
            <w:rStyle w:val="Hyperlink"/>
          </w:rPr>
          <w:t xml:space="preserve">Figure 3</w:t>
        </w:r>
      </w:hyperlink>
      <w:r>
        <w:t xml:space="preserve"> </w:t>
      </w:r>
      <w:r>
        <w:t xml:space="preserve">D). The mean Euclidean distance to the global realised-network centroid decreased following dynamic simulations for all models, suggesting that ecological dynamics drove networks towards a common structural endpoint despite differences in initial topology.</w:t>
      </w:r>
    </w:p>
    <w:tbl>
      <w:tblPr>
        <w:tblStyle w:val="Table"/>
        <w:tblW w:type="pct" w:w="5000"/>
        <w:tblLayout w:type="fixed"/>
        <w:tblLook w:firstRow="0" w:lastRow="0" w:firstColumn="0" w:lastColumn="0" w:noHBand="0" w:noVBand="0" w:val="0000"/>
      </w:tblPr>
      <w:tblGrid>
        <w:gridCol w:w="7920"/>
      </w:tblGrid>
      <w:tr>
        <w:tc>
          <w:tcPr/>
          <w:bookmarkStart w:id="32" w:name="fig-PTA"/>
          <w:p>
            <w:pPr>
              <w:pStyle w:val="Compact"/>
              <w:jc w:val="center"/>
            </w:pPr>
            <w:r>
              <w:drawing>
                <wp:inline>
                  <wp:extent cx="5334000" cy="3733800"/>
                  <wp:effectExtent b="0" l="0" r="0" t="0"/>
                  <wp:docPr descr="" title="" id="30" name="Picture"/>
                  <a:graphic>
                    <a:graphicData uri="http://schemas.openxmlformats.org/drawingml/2006/picture">
                      <pic:pic>
                        <pic:nvPicPr>
                          <pic:cNvPr descr="figures/PTA.png" id="31" name="Picture"/>
                          <pic:cNvPicPr>
                            <a:picLocks noChangeArrowheads="1" noChangeAspect="1"/>
                          </pic:cNvPicPr>
                        </pic:nvPicPr>
                        <pic:blipFill>
                          <a:blip r:embed="rId29"/>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Ecological dynamics reshape food-web topology within a shared multivariate topology space. Network structural metrics were standardised and summarised using principal component analysis, with each network represented by its position before and after dynamic simulations. (A) Principal component loadings showing the contribution of individual network metrics to topology space. (B) Centroid trajectories for each reconstruction model, illustrating the direction and magnitude of topological change between initial and realised networks. (C) Component-wise displacement of model centroids along the first five principal component axes, highlighting the principal dimensions responsible for topological change. (D) Mean Euclidean distance of networks to the overall realised-network centroid before and after simulations, providing a measure of convergence in network topology.</w:t>
            </w:r>
          </w:p>
          <w:bookmarkEnd w:id="32"/>
        </w:tc>
      </w:tr>
    </w:tbl>
    <w:bookmarkEnd w:id="33"/>
    <w:bookmarkStart w:id="38" w:name="Xf2797aee86068fca9c3a695a1cb6df204cb839d"/>
    <w:p>
      <w:pPr>
        <w:pStyle w:val="Heading2"/>
      </w:pPr>
      <w:r>
        <w:t xml:space="preserve">3.3 Models confer similar stability inferences</w:t>
      </w:r>
    </w:p>
    <w:p>
      <w:pPr>
        <w:pStyle w:val="FirstParagraph"/>
      </w:pPr>
      <w:r>
        <w:t xml:space="preserve">LTM is outlier but arguably not properly initialised/parameterised (cf Laura). Random also occasional</w:t>
      </w:r>
      <w:r>
        <w:t xml:space="preserve"> </w:t>
      </w:r>
      <w:r>
        <w:t xml:space="preserve">‘outlier’</w:t>
      </w:r>
      <w:r>
        <w:t xml:space="preserve"> </w:t>
      </w:r>
      <w:r>
        <w:t xml:space="preserve">but that makes sense - it’s also the model that delivers the weird netowkrs (ecologically speaking)</w:t>
      </w:r>
    </w:p>
    <w:tbl>
      <w:tblPr>
        <w:tblStyle w:val="Table"/>
        <w:tblW w:type="pct" w:w="5000"/>
        <w:tblLayout w:type="fixed"/>
        <w:tblLook w:firstRow="0" w:lastRow="0" w:firstColumn="0" w:lastColumn="0" w:noHBand="0" w:noVBand="0" w:val="0000"/>
      </w:tblPr>
      <w:tblGrid>
        <w:gridCol w:w="7920"/>
      </w:tblGrid>
      <w:tr>
        <w:tc>
          <w:tcPr/>
          <w:bookmarkStart w:id="37" w:name="fig-emmeans"/>
          <w:p>
            <w:pPr>
              <w:pStyle w:val="Compact"/>
              <w:jc w:val="center"/>
            </w:pPr>
            <w:r>
              <w:drawing>
                <wp:inline>
                  <wp:extent cx="5334000" cy="3111500"/>
                  <wp:effectExtent b="0" l="0" r="0" t="0"/>
                  <wp:docPr descr="" title="" id="35" name="Picture"/>
                  <a:graphic>
                    <a:graphicData uri="http://schemas.openxmlformats.org/drawingml/2006/picture">
                      <pic:pic>
                        <pic:nvPicPr>
                          <pic:cNvPr descr="figures/dynamics_emmeans.png" id="36" name="Picture"/>
                          <pic:cNvPicPr>
                            <a:picLocks noChangeArrowheads="1" noChangeAspect="1"/>
                          </pic:cNvPicPr>
                        </pic:nvPicPr>
                        <pic:blipFill>
                          <a:blip r:embed="rId34"/>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bookmarkEnd w:id="38"/>
    <w:bookmarkEnd w:id="39"/>
    <w:bookmarkStart w:id="40" w:name="discussion"/>
    <w:p>
      <w:pPr>
        <w:pStyle w:val="Heading1"/>
      </w:pPr>
      <w:r>
        <w:t xml:space="preserve">4. Discussion</w:t>
      </w:r>
    </w:p>
    <w:p>
      <w:pPr>
        <w:pStyle w:val="FirstParagraph"/>
      </w:pPr>
      <w:r>
        <w:t xml:space="preserve">Reconstruction is Not Neutral (or maybe it is): Discuss how models act as structural priors that condition ecological inference.</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40"/>
    <w:bookmarkStart w:id="54" w:name="references"/>
    <w:p>
      <w:pPr>
        <w:pStyle w:val="Heading1"/>
      </w:pPr>
      <w:r>
        <w:t xml:space="preserve">References</w:t>
      </w:r>
    </w:p>
    <w:bookmarkStart w:id="53" w:name="refs"/>
    <w:bookmarkStart w:id="42"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41">
        <w:r>
          <w:rPr>
            <w:rStyle w:val="Hyperlink"/>
          </w:rPr>
          <w:t xml:space="preserve">https://doi.org/10.1371/journal.pcbi.1011458</w:t>
        </w:r>
      </w:hyperlink>
    </w:p>
    <w:bookmarkEnd w:id="42"/>
    <w:bookmarkStart w:id="44"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43">
        <w:r>
          <w:rPr>
            <w:rStyle w:val="Hyperlink"/>
          </w:rPr>
          <w:t xml:space="preserve">https://doi.org/10.1890/0012-9658(2006)87[2411:CBRINF]2.0.CO;2</w:t>
        </w:r>
      </w:hyperlink>
    </w:p>
    <w:bookmarkEnd w:id="44"/>
    <w:bookmarkStart w:id="46"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45">
        <w:r>
          <w:rPr>
            <w:rStyle w:val="Hyperlink"/>
          </w:rPr>
          <w:t xml:space="preserve">https://www.springer.com/gp/book/9783642837869</w:t>
        </w:r>
      </w:hyperlink>
    </w:p>
    <w:bookmarkEnd w:id="46"/>
    <w:bookmarkStart w:id="48"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47">
        <w:r>
          <w:rPr>
            <w:rStyle w:val="Hyperlink"/>
          </w:rPr>
          <w:t xml:space="preserve">https://doi.org/10.1073/pnas.0710672105</w:t>
        </w:r>
      </w:hyperlink>
    </w:p>
    <w:bookmarkEnd w:id="48"/>
    <w:bookmarkStart w:id="50"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49">
        <w:r>
          <w:rPr>
            <w:rStyle w:val="Hyperlink"/>
          </w:rPr>
          <w:t xml:space="preserve">https://doi.org/10.1086/653667</w:t>
        </w:r>
      </w:hyperlink>
    </w:p>
    <w:bookmarkEnd w:id="50"/>
    <w:bookmarkStart w:id="5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51">
        <w:r>
          <w:rPr>
            <w:rStyle w:val="Hyperlink"/>
          </w:rPr>
          <w:t xml:space="preserve">https://doi.org/10.1038/35004572</w:t>
        </w:r>
      </w:hyperlink>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51" Target="https://doi.org/10.1038/35004572" TargetMode="External" /><Relationship Type="http://schemas.openxmlformats.org/officeDocument/2006/relationships/hyperlink" Id="rId47" Target="https://doi.org/10.1073/pnas.0710672105" TargetMode="External" /><Relationship Type="http://schemas.openxmlformats.org/officeDocument/2006/relationships/hyperlink" Id="rId49" Target="https://doi.org/10.1086/653667" TargetMode="External" /><Relationship Type="http://schemas.openxmlformats.org/officeDocument/2006/relationships/hyperlink" Id="rId41" Target="https://doi.org/10.1371/journal.pcbi.1011458" TargetMode="External" /><Relationship Type="http://schemas.openxmlformats.org/officeDocument/2006/relationships/hyperlink" Id="rId43" Target="https://doi.org/10.1890/0012-9658(2006)87[2411:CBRINF]2.0.CO;2" TargetMode="External" /><Relationship Type="http://schemas.openxmlformats.org/officeDocument/2006/relationships/hyperlink" Id="rId4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38/35004572" TargetMode="External" /><Relationship Type="http://schemas.openxmlformats.org/officeDocument/2006/relationships/hyperlink" Id="rId47" Target="https://doi.org/10.1073/pnas.0710672105" TargetMode="External" /><Relationship Type="http://schemas.openxmlformats.org/officeDocument/2006/relationships/hyperlink" Id="rId49" Target="https://doi.org/10.1086/653667" TargetMode="External" /><Relationship Type="http://schemas.openxmlformats.org/officeDocument/2006/relationships/hyperlink" Id="rId41" Target="https://doi.org/10.1371/journal.pcbi.1011458" TargetMode="External" /><Relationship Type="http://schemas.openxmlformats.org/officeDocument/2006/relationships/hyperlink" Id="rId43" Target="https://doi.org/10.1890/0012-9658(2006)87[2411:CBRINF]2.0.CO;2" TargetMode="External" /><Relationship Type="http://schemas.openxmlformats.org/officeDocument/2006/relationships/hyperlink" Id="rId4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Sophia Landon Blake; Andrew P. Beckerman; Dylan Z. Childs</dc:creator>
  <cp:keywords>food webs</cp:keywords>
  <dcterms:created xsi:type="dcterms:W3CDTF">2026-06-29T11:31:54Z</dcterms:created>
  <dcterms:modified xsi:type="dcterms:W3CDTF">2026-06-29T11:31:54Z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2026-06-29</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