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Network models as explicit hypotheses for paleoecological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2026-02-09</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jc w:val="center"/>
                  </w:pPr>
                  <w:r>
                    <w:t xml:space="preserve">Evaluating the influence of trophic hierarchy or intervality on network topology; generating baseline predictions for motifs and connectance </w:t>
                  </w: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jc w:val="center"/>
                  </w:pPr>
                  <w:r>
                    <w:t xml:space="preserve">Predicting realised predator diets under energy-maximization rules; exploring secondary extinctions and trophic bottlenecks</w:t>
                  </w: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effects of species loss on network structure; examining consequences of mechanical constraints on predator–prey interactions</w:t>
                  </w: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Mapping feasible trophic interactions based on trait compatibility; assessing vulnerability and secondary extinctions in paleo-communities</w:t>
                  </w:r>
                  <w:r>
                    <w:t xml:space="preserve"> </w:t>
                  </w:r>
                  <w:r>
                    <w:t xml:space="preserve">(Dunhill et al., 2024)</w:t>
                  </w:r>
                  <w:r>
                    <w:t xml:space="preserve">.</w:t>
                  </w:r>
                </w:p>
              </w:tc>
            </w:tr>
            <w:tr>
              <w:tc>
                <w:tcPr/>
                <w:p>
                  <w:pPr>
                    <w:pStyle w:val="Compact"/>
                    <w:jc w:val="center"/>
                  </w:pPr>
                  <w:r>
                    <w:t xml:space="preserve">Body-size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Estimating likely interaction networks from body-size constraints; evaluating cascading effects and network collapse under extinction scenarios</w:t>
                  </w:r>
                  <w:r>
                    <w:t xml:space="preserve"> </w:t>
                  </w:r>
                  <w:r>
                    <w:t xml:space="preserve">(Yeakel et al., 2014)</w:t>
                  </w:r>
                  <w:r>
                    <w:t xml:space="preserve">.</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 allowing for variance between replicates but preserves relative sizes within replicates. We adopt uniform sampling by default, as alternative distributions (lognormal, truncated lognormal) have negligible impact on topology (Supplementary Material S2; Figure S1). Structural models were parameterised using connectance values drawn from an empirically realistic range (0.07 – 0.34) while holding richness constant. The same parameter draws were used across comparable models within each replicate.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food-web topology. Canonical discriminant analysis revealed two dominant axes of multivariate network structure, with the first two canonical variates explaining approximately 86% of the total between-model variance (CV1 = 53%, CV2 = 33%; Table S1, Figure S1). All higher-order canonical variates each explained less than 9% of the remaining variance.</w:t>
      </w:r>
    </w:p>
    <w:p>
      <w:pPr>
        <w:pStyle w:val="BodyText"/>
      </w:pPr>
      <w:r>
        <w:t xml:space="preserve">Linear discriminant analysis (LDA) visualized distinctions among reconstruction approaches in multivariate network space</w:t>
      </w:r>
      <w:r>
        <w:t xml:space="preserve"> </w:t>
      </w:r>
      <w:hyperlink w:anchor="fig-structure">
        <w:r>
          <w:rPr>
            <w:rStyle w:val="Hyperlink"/>
          </w:rPr>
          <w:t xml:space="preserve">Figure 1</w:t>
        </w:r>
      </w:hyperlink>
      <w:r>
        <w:t xml:space="preserve">. The first two axes explained 86% of between-model variance (LD1 = 53%, LD2 = 33%). LD1 correlated most strongly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LD2 correlated primarily with maximum trophic level (</w:t>
      </w:r>
      <m:oMath>
        <m:r>
          <m:t>r</m:t>
        </m:r>
      </m:oMath>
      <w:r>
        <w:t xml:space="preserve"> </w:t>
      </w:r>
      <w:r>
        <w:t xml:space="preserve">= −0.76) and, positively, with apparent competition motifs (</w:t>
      </w:r>
      <m:oMath>
        <m:r>
          <m:t>r</m:t>
        </m:r>
      </m:oMath>
      <w:r>
        <w:t xml:space="preserve"> </w:t>
      </w:r>
      <w:r>
        <w:t xml:space="preserve">= 0.73). These loadings suggest that the primary axis separates models by predation pressure and competitive overlap, while the secondary axis distinguishes models by vertical trophic structure. All higher-order axes explained less than 9% of the remaining variance (Tables S4–S5).</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 In some cases, networks with comparable connectance and motif frequencies assigned fundamentally different consumer diets to the same taxa.</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similar and likely reflects their shared reliance on ranked size-based constraints, which strongly shape realised diets even when emergent network structure differs.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 Consequently, agreement in global network properties does not guarantee concordance in inferred trophic roles, vulnerability, or competitive relationships among taxa.</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S2.</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74676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4"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 Results show that the choice of reconstruction approach exerts an influence on inferred food-web structure, shaping multivariate network properties, and inferred interactions and extinction dynamics.</w:t>
      </w:r>
    </w:p>
    <w:p>
      <w:pPr>
        <w:pStyle w:val="BodyText"/>
      </w:pPr>
      <w:r>
        <w:t xml:space="preserve">Differences among models do not arise from the fossil evidence itself, but from assumptions embedded in each model famil</w:t>
      </w:r>
      <w:r>
        <w:t xml:space="preserve"> </w:t>
      </w:r>
      <w:r>
        <w:t xml:space="preserve">(Pichler &amp; Hartig, 2023; Strydom et al., 2021)</w:t>
      </w:r>
      <w:r>
        <w:t xml:space="preserve">. These assumptions include how trophic links are defined (trait compatibility versus energetic constraints), how interaction probabilities are parameterised, and whether network topology is guided by macroecological theory (</w:t>
      </w:r>
      <w:r>
        <w:rPr>
          <w:i/>
          <w:iCs/>
        </w:rPr>
        <w:t xml:space="preserve">e.g.,</w:t>
      </w:r>
      <w:r>
        <w:t xml:space="preserve"> </w:t>
      </w:r>
      <w:r>
        <w:t xml:space="preserve">niche structure) or mechanistic rules (</w:t>
      </w:r>
      <w:r>
        <w:rPr>
          <w:i/>
          <w:iCs/>
        </w:rPr>
        <w:t xml:space="preserve">e.g.,</w:t>
      </w:r>
      <w:r>
        <w:t xml:space="preserve"> </w:t>
      </w:r>
      <w:r>
        <w:t xml:space="preserve">Body-size ratios). Consequently, network reconstruction is not neutral and it explicitly encodes ecological assumptions that shape inferred structure and downstream dynamical narratives. This sensitivity parallels challenges in modern network ecology, where model and metric selection influence interpretations of connectance, modularity, and motif distributions</w:t>
      </w:r>
      <w:r>
        <w:t xml:space="preserve"> </w:t>
      </w:r>
      <w:r>
        <w:t xml:space="preserve">(Michalska-Smith &amp; Allesina, 2019; Poisot &amp; Gravel, 2014)</w:t>
      </w:r>
      <w:r>
        <w:t xml:space="preserve">.</w:t>
      </w:r>
    </w:p>
    <w:p>
      <w:pPr>
        <w:pStyle w:val="BodyText"/>
      </w:pPr>
      <w:r>
        <w:t xml:space="preserve">Multivariate analyses of network metrics revealed that differences among reconstruction approaches are structured along a small number of dominant multivariate axes rather than dispersed across many weakly informative dimensions. Although some reconstruction approaches converged in multivariate space along one canonical dimension, divergence along the orthogonal axis often persisted. For example, allometric models showed partial overlap along CV1, reflecting similar assumptions about interaction density, yet separated along CV2, indicating contrasting trophic organisation despite shared energetic constraints. The first canonical variate (CV1) captured variation in interaction density and competitive structure. The second canonical variate (CV2) distinguished models based on vertical trophic organisation, omnivory and apparent competition. Together, these axes explain the majority of between-model variance, indicating that reconstruction approaches encode fundamentally different assumptions about both horizontal and vertical dimensions of food-web structure. These patterns demonstrate a strong, model-specific signature independent of community composition.</w:t>
      </w:r>
    </w:p>
    <w:p>
      <w:pPr>
        <w:pStyle w:val="BodyText"/>
      </w:pPr>
      <w:r>
        <w:t xml:space="preserve">While some models occasionally converged on some global metrics (</w:t>
      </w:r>
      <w:r>
        <w:rPr>
          <w:i/>
          <w:iCs/>
        </w:rPr>
        <w:t xml:space="preserve">e.g.,</w:t>
      </w:r>
      <w:r>
        <w:t xml:space="preserve"> </w:t>
      </w:r>
      <w:r>
        <w:t xml:space="preserve">ADBM and ATN models), pairwise β-turnover revealed disagreements in inferred species-level interactions. Thus, structural similarity does not guarantee concordance in trophic roles, highlighting that uncertainty in reconstructed networks follows structured, predictable patterns rather than random noise. For example, allometric models tended to converge on similar species removal sequences while diverging in inferred interaction loss, whereas structural models dampened the apparent magnitude and variability of collapse.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Body-size ratio) impose energetic filters to approximate realised diets, and structural models (niche, random) prioritise topological patterns over species identity. Temporal trajectories of network collapse, interaction loss, and motif reorganization varied markedly among approaches. Species-level extinction rankings were often broadly consistent across models. In contrast, link-level outcomes and secondary extinctions were highly sensitive to reconstruction assumptions. This reflects how extinction pathways depend on the specification of interactions, demonstrating that interaction-level inferences about cascade dynamics are inherently model dependent</w:t>
      </w:r>
      <w:r>
        <w:t xml:space="preserve"> </w:t>
      </w:r>
      <w:r>
        <w:t xml:space="preserve">(Allesina &amp; Tang, 2012; Curtsdotter et al., 2011; Dunne et al., 2002)</w:t>
      </w:r>
      <w:r>
        <w:t xml:space="preserve">.</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Viewed through the lens of accuracy (here referring to model convergence/robustness) and precision, our results suggest that some paleoecological inferences are robust across reconstruction assumptions, while others remain intrinsically uncertain. Models consistently recover similar high-level extinction patterns, implying relative accuracy, but disagree on interaction-level details and temporal dynamics, indicating limited precision in reconstructing the fine structure of collapse. Recognizing and explicitly accounting for these differences is essential for advancing paleoecology beyond descriptive reconstruction toward rigorous comparative inference.</w:t>
      </w:r>
    </w:p>
    <w:bookmarkEnd w:id="39"/>
    <w:bookmarkStart w:id="40" w:name="Xf2c28f4692b6e1ff18e003862b32749880553b8"/>
    <w:p>
      <w:pPr>
        <w:pStyle w:val="Heading2"/>
      </w:pPr>
      <w:r>
        <w:t xml:space="preserve">4.2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 As reflected in our PFIM results, such approaches maximise interaction diversity but are less suited to inferring realised extinction cascades.</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 In our analyses, these models consistently produced more abrupt and nonlinear collapse trajectories, reflecting the propagation of energetic constraints during extinction.</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4.3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4.4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robustness to model choice varies by scale (with node-level patterns more consistent than interaction-level outcomes)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4.5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 (even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By contrast, interaction and extinction based interpretations are far more sensitive to reconstruction assumptions, and should be treated as model-dependent hypotheses rather than definitive historical outcomes.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and interrogate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Network models as explicit hypotheses for paleoecological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2026-02-09T14:53:03Z</dcterms:created>
  <dcterms:modified xsi:type="dcterms:W3CDTF">2026-02-09T14:53:03Z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2026-02-09</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