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Network reconstruction approach conditions ecological inference in food web reconstruction</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Pincelli M. Hull</w:t>
      </w:r>
    </w:p>
    <w:p>
      <w:pPr>
        <w:pStyle w:val="Author"/>
      </w:pPr>
      <w:r>
        <w:t xml:space="preserve">Crispin T.S. Little</w:t>
      </w:r>
    </w:p>
    <w:p>
      <w:pPr>
        <w:pStyle w:val="Author"/>
      </w:pPr>
      <w:r>
        <w:t xml:space="preserve">Catalina Pimiento</w:t>
      </w:r>
    </w:p>
    <w:p>
      <w:pPr>
        <w:pStyle w:val="Author"/>
      </w:pPr>
      <w:r>
        <w:t xml:space="preserve">Andy Ridgwell</w:t>
      </w:r>
    </w:p>
    <w:p>
      <w:pPr>
        <w:pStyle w:val="Author"/>
      </w:pPr>
      <w:r>
        <w:t xml:space="preserve">Andrew P. Beckerman</w:t>
      </w:r>
    </w:p>
    <w:p>
      <w:pPr>
        <w:pStyle w:val="Author"/>
      </w:pPr>
      <w:r>
        <w:t xml:space="preserve">Alexander Dunhill</w:t>
      </w:r>
    </w:p>
    <w:p>
      <w:pPr>
        <w:pStyle w:val="Date"/>
      </w:pPr>
      <w:r>
        <w:t xml:space="preserve">2026-05-15</w:t>
      </w:r>
    </w:p>
    <w:p>
      <w:pPr>
        <w:pStyle w:val="AbstractTitle"/>
      </w:pPr>
      <w:r>
        <w:t xml:space="preserve">Abstract</w:t>
      </w:r>
    </w:p>
    <w:p>
      <w:pPr>
        <w:pStyle w:val="Abstract"/>
      </w:pPr>
      <w:r>
        <w:t xml:space="preserve">Aim</w:t>
      </w:r>
    </w:p>
    <w:p>
      <w:pPr>
        <w:pStyle w:val="Abstract"/>
      </w:pPr>
      <w:r>
        <w:t xml:space="preserve">Ecological networks are widely used to assess community structure, stability, and responses to disturbance. Such networks often require model-based reconstructions (e.g., based on traits or theoretical constraints); however, the extent to which these frameworks influence ecological inference remains unexplored. Here, we assess whether macroecological inference derived from ecological networks is robust to variation in reconstruction framework.</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Shelly marine macrofossils.</w:t>
      </w:r>
    </w:p>
    <w:p>
      <w:pPr>
        <w:pStyle w:val="Abstract"/>
      </w:pPr>
      <w:r>
        <w:t xml:space="preserve">Methods</w:t>
      </w:r>
    </w:p>
    <w:p>
      <w:pPr>
        <w:pStyle w:val="Abstract"/>
      </w:pPr>
      <w:r>
        <w:t xml:space="preserve">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w:t>
      </w:r>
    </w:p>
    <w:p>
      <w:pPr>
        <w:pStyle w:val="Abstract"/>
      </w:pPr>
      <w:r>
        <w:t xml:space="preserve">Results</w:t>
      </w:r>
    </w:p>
    <w:p>
      <w:pPr>
        <w:pStyle w:val="Abstract"/>
      </w:pPr>
      <w:r>
        <w:t xml:space="preserve">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w:t>
      </w:r>
      <w:r>
        <w:t xml:space="preserve"> </w:t>
      </w:r>
      <w:r>
        <w:rPr>
          <w:i/>
          <w:iCs/>
        </w:rPr>
        <w:t xml:space="preserve">et al.</w:t>
      </w:r>
      <w:r>
        <w:t xml:space="preserve">,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(Poisot</w:t>
      </w:r>
      <w:r>
        <w:t xml:space="preserve"> </w:t>
      </w:r>
      <w:r>
        <w:rPr>
          <w:i/>
          <w:iCs/>
        </w:rPr>
        <w:t xml:space="preserve">et al.</w:t>
      </w:r>
      <w:r>
        <w:t xml:space="preserve">, 2015; Trøjelsgaard &amp; Olesen, 2016; Tylianakis &amp; Morris, 2017; Gravel</w:t>
      </w:r>
      <w:r>
        <w:t xml:space="preserve"> </w:t>
      </w:r>
      <w:r>
        <w:rPr>
          <w:i/>
          <w:iCs/>
        </w:rPr>
        <w:t xml:space="preserve">et al.</w:t>
      </w:r>
      <w:r>
        <w:t xml:space="preserve">, 2019)</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(Roopnarine, 2006; Poisot &amp; Gravel, 2014; Michalska-Smith &amp; Allesina, 2019; Dunhill</w:t>
      </w:r>
      <w:r>
        <w:t xml:space="preserve"> </w:t>
      </w:r>
      <w:r>
        <w:rPr>
          <w:i/>
          <w:iCs/>
        </w:rPr>
        <w:t xml:space="preserve">et al.</w:t>
      </w:r>
      <w:r>
        <w:t xml:space="preserve">, 2024; Hao</w:t>
      </w:r>
      <w:r>
        <w:t xml:space="preserve"> </w:t>
      </w:r>
      <w:r>
        <w:rPr>
          <w:i/>
          <w:iCs/>
        </w:rPr>
        <w:t xml:space="preserve">et al.</w:t>
      </w:r>
      <w:r>
        <w:t xml:space="preserve">, 2025)</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w:t>
      </w:r>
      <w:r>
        <w:t xml:space="preserve"> </w:t>
      </w:r>
      <w:r>
        <w:rPr>
          <w:i/>
          <w:iCs/>
        </w:rPr>
        <w:t xml:space="preserve">et al.</w:t>
      </w:r>
      <w:r>
        <w:t xml:space="preserve">, 2016; Jordano, 2016)</w:t>
      </w:r>
      <w:r>
        <w:t xml:space="preserve">. However, most ecological networks are not fully observed as interaction data are incomplete and sampling is uneven across historical and biogeographic contexts, across both present day and deep-time</w:t>
      </w:r>
      <w:r>
        <w:t xml:space="preserve"> </w:t>
      </w:r>
      <w:r>
        <w:t xml:space="preserve">(Poisot</w:t>
      </w:r>
      <w:r>
        <w:t xml:space="preserve"> </w:t>
      </w:r>
      <w:r>
        <w:rPr>
          <w:i/>
          <w:iCs/>
        </w:rPr>
        <w:t xml:space="preserve">et al.</w:t>
      </w:r>
      <w:r>
        <w:t xml:space="preserve">, 2021; Sandra</w:t>
      </w:r>
      <w:r>
        <w:t xml:space="preserve"> </w:t>
      </w:r>
      <w:r>
        <w:rPr>
          <w:i/>
          <w:iCs/>
        </w:rPr>
        <w:t xml:space="preserve">et al.</w:t>
      </w:r>
      <w:r>
        <w:t xml:space="preserve">, 2025)</w:t>
      </w:r>
      <w:r>
        <w:t xml:space="preserve">.</w:t>
      </w:r>
    </w:p>
    <w:p>
      <w:pPr>
        <w:pStyle w:val="BodyText"/>
      </w:pPr>
      <w:r>
        <w:t xml:space="preserve">Interactions must often be inferred indirectly from traits (</w:t>
      </w:r>
      <w:r>
        <w:rPr>
          <w:i/>
          <w:iCs/>
        </w:rPr>
        <w:t xml:space="preserve">e.g.,</w:t>
      </w:r>
      <w:r>
        <w:t xml:space="preserve"> </w:t>
      </w:r>
      <w:r>
        <w:t xml:space="preserve">body size), phylogeny, co-occurrence, or theoretical constraints</w:t>
      </w:r>
      <w:r>
        <w:t xml:space="preserve"> </w:t>
      </w:r>
      <w:r>
        <w:t xml:space="preserve">(Morales-Castilla</w:t>
      </w:r>
      <w:r>
        <w:t xml:space="preserve"> </w:t>
      </w:r>
      <w:r>
        <w:rPr>
          <w:i/>
          <w:iCs/>
        </w:rPr>
        <w:t xml:space="preserve">et al.</w:t>
      </w:r>
      <w:r>
        <w:t xml:space="preserve">, 2015; Strydom</w:t>
      </w:r>
      <w:r>
        <w:t xml:space="preserve"> </w:t>
      </w:r>
      <w:r>
        <w:rPr>
          <w:i/>
          <w:iCs/>
        </w:rPr>
        <w:t xml:space="preserve">et al.</w:t>
      </w:r>
      <w:r>
        <w:t xml:space="preserve">,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(Petchey</w:t>
      </w:r>
      <w:r>
        <w:t xml:space="preserve"> </w:t>
      </w:r>
      <w:r>
        <w:rPr>
          <w:i/>
          <w:iCs/>
        </w:rPr>
        <w:t xml:space="preserve">et al.</w:t>
      </w:r>
      <w:r>
        <w:t xml:space="preserve">, 2011; Guimarães, 2020; Gauzens</w:t>
      </w:r>
      <w:r>
        <w:t xml:space="preserve"> </w:t>
      </w:r>
      <w:r>
        <w:rPr>
          <w:i/>
          <w:iCs/>
        </w:rPr>
        <w:t xml:space="preserve">et al.</w:t>
      </w:r>
      <w:r>
        <w:t xml:space="preserve">, 2025; Strydom</w:t>
      </w:r>
      <w:r>
        <w:t xml:space="preserve"> </w:t>
      </w:r>
      <w:r>
        <w:rPr>
          <w:i/>
          <w:iCs/>
        </w:rPr>
        <w:t xml:space="preserve">et al.</w:t>
      </w:r>
      <w:r>
        <w:t xml:space="preserve">, 2026)</w:t>
      </w:r>
      <w:r>
        <w:t xml:space="preserve">. If alternative reconstruction approaches systematically generate different trophic configurations, then comparative analyses risk conflating ecological differences among communities with artefacts introduced by reconstruction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influence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Poisot</w:t>
      </w:r>
      <w:r>
        <w:t xml:space="preserve"> </w:t>
      </w:r>
      <w:r>
        <w:rPr>
          <w:i/>
          <w:iCs/>
        </w:rPr>
        <w:t xml:space="preserve">et al.</w:t>
      </w:r>
      <w:r>
        <w:t xml:space="preserve">, 2015; Delmas</w:t>
      </w:r>
      <w:r>
        <w:t xml:space="preserve"> </w:t>
      </w:r>
      <w:r>
        <w:rPr>
          <w:i/>
          <w:iCs/>
        </w:rPr>
        <w:t xml:space="preserve">et al.</w:t>
      </w:r>
      <w:r>
        <w:t xml:space="preserve">, 2018)</w:t>
      </w:r>
      <w:r>
        <w:t xml:space="preserve">. If reconstruction approaches encode distinct structural constraints over interaction topology, then differences among communities may reflect reconstruction assumptions rather than ecological processes.</w:t>
      </w:r>
    </w:p>
    <w:p>
      <w:pPr>
        <w:pStyle w:val="BodyText"/>
      </w:pPr>
      <w:r>
        <w:t xml:space="preserve">Deep-time ecosystems provide an especially useful test of this issue because trophic interactions are not observed directly and must be inferred from traits, co-occurrence, and theoretical constraints</w:t>
      </w:r>
      <w:r>
        <w:t xml:space="preserve"> </w:t>
      </w:r>
      <w:r>
        <w:t xml:space="preserve">(Roopnarine, 2006; Dunne</w:t>
      </w:r>
      <w:r>
        <w:t xml:space="preserve"> </w:t>
      </w:r>
      <w:r>
        <w:rPr>
          <w:i/>
          <w:iCs/>
        </w:rPr>
        <w:t xml:space="preserve">et al.</w:t>
      </w:r>
      <w:r>
        <w:t xml:space="preserve">, 2008; Dunne</w:t>
      </w:r>
      <w:r>
        <w:t xml:space="preserve"> </w:t>
      </w:r>
      <w:r>
        <w:rPr>
          <w:i/>
          <w:iCs/>
        </w:rPr>
        <w:t xml:space="preserve">et al.</w:t>
      </w:r>
      <w:r>
        <w:t xml:space="preserve">, 2014; Dunhill</w:t>
      </w:r>
      <w:r>
        <w:t xml:space="preserve"> </w:t>
      </w:r>
      <w:r>
        <w:rPr>
          <w:i/>
          <w:iCs/>
        </w:rPr>
        <w:t xml:space="preserve">et al.</w:t>
      </w:r>
      <w:r>
        <w:t xml:space="preserve">, 2024; Karapunar</w:t>
      </w:r>
      <w:r>
        <w:t xml:space="preserve"> </w:t>
      </w:r>
      <w:r>
        <w:rPr>
          <w:i/>
          <w:iCs/>
        </w:rPr>
        <w:t xml:space="preserve">et al.</w:t>
      </w:r>
      <w:r>
        <w:t xml:space="preserve">, 2026)</w:t>
      </w:r>
      <w:r>
        <w:t xml:space="preserve">. As a result, ecological networks in these systems are inherently reconstruction-dependent, rendering the assumptions embedded within different reconstruction frameworks both explicit and consequential. Among such systems, the Early Toarcian Extinction Event (ETEE; ~183 Ma) provides a particularly informative case study. The ETEE was a volcanically driven hyperthermal event associated with widespread marine anoxia, biodiversity loss, and major ecological restructuring</w:t>
      </w:r>
      <w:r>
        <w:t xml:space="preserve"> </w:t>
      </w:r>
      <w:r>
        <w:t xml:space="preserve">(Kemp</w:t>
      </w:r>
      <w:r>
        <w:t xml:space="preserve"> </w:t>
      </w:r>
      <w:r>
        <w:rPr>
          <w:i/>
          <w:iCs/>
        </w:rPr>
        <w:t xml:space="preserve">et al.</w:t>
      </w:r>
      <w:r>
        <w:t xml:space="preserve">, 2024)</w:t>
      </w:r>
      <w:r>
        <w:t xml:space="preserve">, representing one of the most significant environmental perturbations of the Early Jurassic. Fossil assemblages spanning this interval therefore capture both community collapse and subsequent reassembly under rapidly changing climatic and environmental conditions.</w:t>
      </w:r>
    </w:p>
    <w:p>
      <w:pPr>
        <w:pStyle w:val="BodyText"/>
      </w:pPr>
      <w:r>
        <w:t xml:space="preserve">Ecological networks have previously been used to infer patterns of community organisation and extinction dynamics across this transition, providing an ideal test case for evaluating the robustness of network-based inference. In particular, recent work (</w:t>
      </w:r>
      <w:r>
        <w:rPr>
          <w:i/>
          <w:iCs/>
        </w:rPr>
        <w:t xml:space="preserve">e.g.,</w:t>
      </w:r>
      <w:r>
        <w:t xml:space="preserve"> </w:t>
      </w:r>
      <w:r>
        <w:t xml:space="preserve">Dunhill</w:t>
      </w:r>
      <w:r>
        <w:t xml:space="preserve"> </w:t>
      </w:r>
      <w:r>
        <w:rPr>
          <w:i/>
          <w:iCs/>
        </w:rPr>
        <w:t xml:space="preserve">et al.</w:t>
      </w:r>
      <w:r>
        <w:t xml:space="preserve"> </w:t>
      </w:r>
      <w:r>
        <w:t xml:space="preserve">(2024)</w:t>
      </w:r>
      <w:r>
        <w:t xml:space="preserve">) has used reconstructed food webs to draw ecological conclusions about community stability and collapse during this event. This creates a rare opportunity to ask a more general question: to what extent are such inferences contingent on the specific reconstruction framework used to generate the network?</w:t>
      </w:r>
    </w:p>
    <w:p>
      <w:pPr>
        <w:pStyle w:val="BodyText"/>
      </w:pPr>
      <w:r>
        <w:t xml:space="preserve">Here, we reconstruct ecological networks for four successive assemblages across the ETEE using six contrasting reconstruction frameworks spanning feasibility-based, realised, and structural models. By holding species composition constant while varying only the reconstruction approach, we isolate the influence of structural assumptions on inferred food web organisation, interaction turnover, and extinction dynamics. This design allows us to explicitly evaluate whether conclusions drawn from a single reconstruction approach (such as those of</w:t>
      </w:r>
      <w:r>
        <w:t xml:space="preserve"> </w:t>
      </w:r>
      <w:r>
        <w:t xml:space="preserve">Dunhill</w:t>
      </w:r>
      <w:r>
        <w:t xml:space="preserve"> </w:t>
      </w:r>
      <w:r>
        <w:rPr>
          <w:i/>
          <w:iCs/>
        </w:rPr>
        <w:t xml:space="preserve">et al.</w:t>
      </w:r>
      <w:r>
        <w:t xml:space="preserve"> </w:t>
      </w:r>
      <w:r>
        <w:t xml:space="preserve">(2024)</w:t>
      </w:r>
      <w:r>
        <w:t xml:space="preserve">) are robust to alternative, equally plausible representations of interaction structure, or whether different reconstruction choices would lead to fundamentally different ecological inferences. More broadly, our study tests whether macroecological conclusions derived from ecological networks reflect underlying biological processes or are conditioned by the assumptions embedded within the reconstruction framework itself.</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UK, spanning the upper Pliensbachian to the upper Toarcian. This interval encompasses a major volcanic-driven hyperthermal and marine extinction event. To capture network dynamics across this transition, we defined four successive palaeo-assemblages: pre-extinction (Pliensbachian), post-extinction (Lower Toarcian), early recovery (Lower–Middle Toarcian) and late recovery (Upper Toarcian). Each taxon was characterized using their size and Bambach’s ecospace framework</w:t>
      </w:r>
      <w:r>
        <w:t xml:space="preserve"> </w:t>
      </w:r>
      <w:r>
        <w:t xml:space="preserve">(Bambach</w:t>
      </w:r>
      <w:r>
        <w:t xml:space="preserve"> </w:t>
      </w:r>
      <w:r>
        <w:rPr>
          <w:i/>
          <w:iCs/>
        </w:rPr>
        <w:t xml:space="preserve">et al.</w:t>
      </w:r>
      <w:r>
        <w:t xml:space="preserve">, 2007)</w:t>
      </w:r>
      <w:r>
        <w:t xml:space="preserve">, coding for tiering, motility, and feeding mode as per</w:t>
      </w:r>
      <w:r>
        <w:t xml:space="preserve"> </w:t>
      </w:r>
      <w:r>
        <w:t xml:space="preserve">Dunhill</w:t>
      </w:r>
      <w:r>
        <w:t xml:space="preserve"> </w:t>
      </w:r>
      <w:r>
        <w:rPr>
          <w:i/>
          <w:iCs/>
        </w:rPr>
        <w:t xml:space="preserve">et al.</w:t>
      </w:r>
      <w:r>
        <w:t xml:space="preserve"> </w:t>
      </w:r>
      <w:r>
        <w:t xml:space="preserve">(2024)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Ecological network reconstruction encompasses a range of approaches that differ in how trophic interactions are inferred and in the ecological assumptions they encode. These approaches can be broadly grouped into three classes: feasibility-based, realised, and structural models. Together, these classes represent distinct hypotheses about how interactions arise and constrain the space of possible food web structure.</w:t>
      </w:r>
    </w:p>
    <w:p>
      <w:pPr>
        <w:pStyle w:val="BodyText"/>
      </w:pPr>
      <w:r>
        <w:t xml:space="preserve">Feasibility-based models infer the set of potential interactions among species based on trait compatibility or mechanistic rules. These approaches define a feasible interaction space by identifying which consumer–resource pairs are biologically possible, without specifying which interactions are realised in a given community. In palaeoecological contexts, where direct observation of interactions is not possible, such models provide a biologically grounded, formalised representation, of</w:t>
      </w:r>
      <w:r>
        <w:t xml:space="preserve"> </w:t>
      </w:r>
      <w:r>
        <w:t xml:space="preserve">‘expert knowledge’</w:t>
      </w:r>
      <w:r>
        <w:t xml:space="preserve"> </w:t>
      </w:r>
      <w:r>
        <w:t xml:space="preserve">based rules that can be used to infer interactions (</w:t>
      </w:r>
      <w:r>
        <w:rPr>
          <w:i/>
          <w:iCs/>
        </w:rPr>
        <w:t xml:space="preserve">e.g.,</w:t>
      </w:r>
      <w:r>
        <w:t xml:space="preserve"> </w:t>
      </w:r>
      <w:r>
        <w:t xml:space="preserve">Fricke</w:t>
      </w:r>
      <w:r>
        <w:t xml:space="preserve"> </w:t>
      </w:r>
      <w:r>
        <w:rPr>
          <w:i/>
          <w:iCs/>
        </w:rPr>
        <w:t xml:space="preserve">et al.</w:t>
      </w:r>
      <w:r>
        <w:t xml:space="preserve"> </w:t>
      </w:r>
      <w:r>
        <w:t xml:space="preserve">(2022)</w:t>
      </w:r>
      <w:r>
        <w:t xml:space="preserve">;</w:t>
      </w:r>
      <w:r>
        <w:t xml:space="preserve"> </w:t>
      </w:r>
      <w:r>
        <w:t xml:space="preserve">Roopnarine (2006)</w:t>
      </w:r>
      <w:r>
        <w:t xml:space="preserve">;</w:t>
      </w:r>
      <w:r>
        <w:t xml:space="preserve"> </w:t>
      </w:r>
      <w:r>
        <w:t xml:space="preserve">Shaw</w:t>
      </w:r>
      <w:r>
        <w:t xml:space="preserve"> </w:t>
      </w:r>
      <w:r>
        <w:rPr>
          <w:i/>
          <w:iCs/>
        </w:rPr>
        <w:t xml:space="preserve">et al.</w:t>
      </w:r>
      <w:r>
        <w:t xml:space="preserve"> </w:t>
      </w:r>
      <w:r>
        <w:t xml:space="preserve">(2024)</w:t>
      </w:r>
      <w:r>
        <w:t xml:space="preserve">).</w:t>
      </w:r>
    </w:p>
    <w:p>
      <w:pPr>
        <w:pStyle w:val="BodyText"/>
      </w:pPr>
      <w:r>
        <w:t xml:space="preserve">Realised models aim to approximate the subset of interactions that are expected to occur in practice. These approaches impose additional constraints (such as energetic optimisation, mechanical limits, or probabilistic niche structure) on top of feasibility, thereby generating networks that represent putative realised diets. Although often parameterised using body size or related traits, realised models differ in their underlying ecological assumptions about how consumers select resources and how trophic interactions are structured.</w:t>
      </w:r>
    </w:p>
    <w:p>
      <w:pPr>
        <w:pStyle w:val="BodyText"/>
      </w:pPr>
      <w:r>
        <w:t xml:space="preserve">Structural models, in contrast, do not attempt to reconstruct empirical trophic interactions from species-level data. Instead, they generate networks based on general topological constraints such as species richness, connectance, or trophic ordering. These models are species-agnostic and therefore cannot be interpreted as reconstructions of specific ecological communities. Rather, they serve as null or end-member hypotheses, providing reference expectations against which the structure and dynamics of data-informed reconstructions can be evaluated. For example, random networks represent an unconstrained baseline in which interactions occur independently of species identity, whereas the niche model captures well-established statistical regularities of food webs (</w:t>
      </w:r>
      <w:r>
        <w:rPr>
          <w:i/>
          <w:iCs/>
        </w:rPr>
        <w:t xml:space="preserve">e.g.,</w:t>
      </w:r>
      <w:r>
        <w:t xml:space="preserve"> </w:t>
      </w:r>
      <w:r>
        <w:t xml:space="preserve">interval feeding and trophic hierarchy) without incorporating empirical trait information.</w:t>
      </w:r>
    </w:p>
    <w:p>
      <w:pPr>
        <w:pStyle w:val="BodyText"/>
      </w:pPr>
      <w:r>
        <w:t xml:space="preserve">In this study, we selected models to span these three conceptual classes (</w:t>
      </w:r>
      <w:hyperlink w:anchor="tbl-models">
        <w:r>
          <w:rPr>
            <w:rStyle w:val="Hyperlink"/>
          </w:rPr>
          <w:t xml:space="preserve">Table 1</w:t>
        </w:r>
      </w:hyperlink>
      <w:r>
        <w:t xml:space="preserve">) and, critically, to sample distinct mechanistic interpretations of trophic interactions rather than exhaustively include all available implementations. Specifically, we include: a feasibility-based model (PFIM), representing trait-constrained interactions; multiple realised models (ADBM, ATN, and Body-size ratio), capturing energetic optimisation, mechanical constraints, and probabilistic allometric structure, respectively; and structural models (Random and Niche), providing theoretical reference points. Although some approaches share common inputs (</w:t>
      </w:r>
      <w:r>
        <w:rPr>
          <w:i/>
          <w:iCs/>
        </w:rPr>
        <w:t xml:space="preserve">e.g.,</w:t>
      </w:r>
      <w:r>
        <w:t xml:space="preserve"> </w:t>
      </w:r>
      <w:r>
        <w:t xml:space="preserve">body mass), they encode fundamentally different assumptions about how interactions arise. Conversely, some alternative palaeoecological approaches (</w:t>
      </w:r>
      <w:r>
        <w:rPr>
          <w:i/>
          <w:iCs/>
        </w:rPr>
        <w:t xml:space="preserve">e.g.,</w:t>
      </w:r>
      <w:r>
        <w:t xml:space="preserve"> </w:t>
      </w:r>
      <w:r>
        <w:t xml:space="preserve">guild- or feasibility-based frameworks) are conceptually aligned with PFIM and would therefore provide limited additional contrast for the purposes of this analysis.</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reconstruction approaches that can be used to construct food webs for both this specific community but are also broadly suited to palaeo network prediction. These reconstruction approaches span all facets of the network representation space (feasibility, realised, and structural network) and are suitable for an array of different palaeo-assemblages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Reconstruction Approach</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w:t>
                  </w:r>
                  <w:r>
                    <w:t xml:space="preserve"> </w:t>
                  </w:r>
                  <w:r>
                    <w:rPr>
                      <w:i/>
                      <w:iCs/>
                    </w:rPr>
                    <w:t xml:space="preserve">et al.</w:t>
                  </w:r>
                  <w:r>
                    <w:t xml:space="preserve"> </w:t>
                  </w:r>
                  <w:r>
                    <w:t xml:space="preserve">(2008)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w:t>
                  </w:r>
                  <w:r>
                    <w:t xml:space="preserve"> </w:t>
                  </w:r>
                  <w:r>
                    <w:rPr>
                      <w:i/>
                      <w:iCs/>
                    </w:rPr>
                    <w:t xml:space="preserve">et al.</w:t>
                  </w:r>
                  <w:r>
                    <w:t xml:space="preserve"> </w:t>
                  </w:r>
                  <w:r>
                    <w:t xml:space="preserve">(2006)</w:t>
                  </w:r>
                  <w:r>
                    <w:t xml:space="preserve">;</w:t>
                  </w:r>
                  <w:r>
                    <w:t xml:space="preserve"> </w:t>
                  </w:r>
                  <w:r>
                    <w:t xml:space="preserve">Gauzens</w:t>
                  </w:r>
                  <w:r>
                    <w:t xml:space="preserve"> </w:t>
                  </w:r>
                  <w:r>
                    <w:rPr>
                      <w:i/>
                      <w:iCs/>
                    </w:rPr>
                    <w:t xml:space="preserve">et al.</w:t>
                  </w:r>
                  <w:r>
                    <w:t xml:space="preserve"> </w:t>
                  </w:r>
                  <w:r>
                    <w:t xml:space="preserve">(2023)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w:t>
                  </w:r>
                  <w:r>
                    <w:t xml:space="preserve"> </w:t>
                  </w:r>
                  <w:r>
                    <w:rPr>
                      <w:i/>
                      <w:iCs/>
                    </w:rPr>
                    <w:t xml:space="preserve">et al.</w:t>
                  </w:r>
                  <w:r>
                    <w:t xml:space="preserve"> </w:t>
                  </w:r>
                  <w:r>
                    <w:t xml:space="preserve">(2024)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w:t>
                  </w:r>
                  <w:r>
                    <w:t xml:space="preserve"> </w:t>
                  </w:r>
                  <w:r>
                    <w:rPr>
                      <w:i/>
                      <w:iCs/>
                    </w:rPr>
                    <w:t xml:space="preserve">et al.</w:t>
                  </w:r>
                  <w:r>
                    <w:t xml:space="preserve"> </w:t>
                  </w:r>
                  <w:r>
                    <w:t xml:space="preserve">(2010)</w:t>
                  </w:r>
                </w:p>
              </w:tc>
              <w:tc>
                <w:tcPr/>
                <w:p>
                  <w:pPr>
                    <w:pStyle w:val="Compact"/>
                    <w:jc w:val="center"/>
                  </w:pPr>
                  <w:r>
                    <w:t xml:space="preserve">Estimating likely interactions; simulating cascading effects.</w:t>
                  </w:r>
                </w:p>
              </w:tc>
            </w:tr>
          </w:tbl>
          <w:bookmarkEnd w:id="11"/>
          <w:p/>
        </w:tc>
      </w:tr>
    </w:tbl>
    <w:p>
      <w:pPr>
        <w:pStyle w:val="BodyText"/>
      </w:pPr>
      <w:r>
        <w:t xml:space="preserve">This classification allows us to distinguish variation arising from ecological assumptions embedded in reconstruction frameworks from variation attributable to species composition. By comparing networks generated from the same species pool across these complementary model classes, we explicitly evaluate how different representations of interaction structure condition ecological inference.</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frameworks using the approaches listed in</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reconstruction approach assumptions, parameterisation, and link-generation rules are provided in Supplementary Material S1, including full mathematical formulations and parameter definitions. For each community, 100 stochastic network realisations were generated per reconstruction approach (n = 2400 per time bin) to capture uncertainty in link assignment. Where reconstruction approaches required species body mass or trait values, these were sampled within biologically reasonable ranges to preserve relative differences among species. We adopted a uniform sampling by default, as alternative distributions (lognormal, truncated lognormal) have negligible impact on topology (Supplementary Material S1; Figure S1). Structural models were parameterised using connectance values drawn from an empirically realistic range (0.07–0.15). For models requiring link number explicitly (Random model), connectance was first converted to expected link number using</w:t>
      </w:r>
      <w:r>
        <w:t xml:space="preserve"> </w:t>
      </w:r>
      <m:oMath>
        <m:r>
          <m:t>L</m:t>
        </m:r>
        <m:r>
          <m:rPr>
            <m:sty m:val="p"/>
          </m:rPr>
          <m:t>=</m:t>
        </m:r>
        <m:r>
          <m:t>C</m:t>
        </m:r>
        <m:r>
          <m:t>o</m:t>
        </m:r>
        <m:r>
          <m:rPr>
            <m:sty m:val="p"/>
          </m:rPr>
          <m:t>×</m:t>
        </m:r>
        <m:sSup>
          <m:e>
            <m:r>
              <m:t>S</m:t>
            </m:r>
          </m:e>
          <m:sup>
            <m:r>
              <m:t>2</m:t>
            </m:r>
          </m:sup>
        </m:sSup>
      </m:oMath>
      <w:r>
        <w:t xml:space="preserve">, ensuring consistency in network density across all reconstruction approaches. Richness was determined by the number of species for each time bin. For the Body-size ratio model, we followed the approach of</w:t>
      </w:r>
      <w:r>
        <w:t xml:space="preserve"> </w:t>
      </w:r>
      <w:r>
        <w:t xml:space="preserve">Yeakel</w:t>
      </w:r>
      <w:r>
        <w:t xml:space="preserve"> </w:t>
      </w:r>
      <w:r>
        <w:rPr>
          <w:i/>
          <w:iCs/>
        </w:rPr>
        <w:t xml:space="preserve">et al.</w:t>
      </w:r>
      <w:r>
        <w:t xml:space="preserve"> </w:t>
      </w:r>
      <w:r>
        <w:t xml:space="preserve">(2014)</w:t>
      </w:r>
      <w:r>
        <w:t xml:space="preserve"> </w:t>
      </w:r>
      <w:r>
        <w:t xml:space="preserve">and excluded the latent trait terms. Sensitivity of network structure to these parameter choices is evaluated in Supplementary Material S1. The PFIM generates a deterministic feasible metaweb for a given trait configuration. To allow for statistical analyses we introduced controlled variation in interaction subsets by applying a downsampling procedure that stochastically samples feasible interactions. This step allowed us to introduce</w:t>
      </w:r>
      <w:r>
        <w:t xml:space="preserve"> </w:t>
      </w:r>
      <w:r>
        <w:t xml:space="preserve">‘statistical noise’</w:t>
      </w:r>
      <w:r>
        <w:t xml:space="preserve"> </w:t>
      </w:r>
      <w:r>
        <w:t xml:space="preserve">while still preserving most of the metaweb structure . The choice of downsampling parameter and its effects on network structure are evaluated in Supplementary Material S1.</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overall network properties, motif structure, and species-level variability. Differences among reconstruction approaches were assessed using a multivariate analysis of variance (MANOVA), with reconstruction approach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was calculated following the framework of</w:t>
      </w:r>
      <w:r>
        <w:t xml:space="preserve"> </w:t>
      </w:r>
      <w:r>
        <w:t xml:space="preserve">Poisot</w:t>
      </w:r>
      <w:r>
        <w:t xml:space="preserve"> </w:t>
      </w:r>
      <w:r>
        <w:rPr>
          <w:i/>
          <w:iCs/>
        </w:rPr>
        <w:t xml:space="preserve">et al.</w:t>
      </w:r>
      <w:r>
        <w:t xml:space="preserve"> </w:t>
      </w:r>
      <w:r>
        <w:t xml:space="preserve">(2012)</w:t>
      </w:r>
      <w:r>
        <w:t xml:space="preserve"> </w:t>
      </w:r>
      <w:r>
        <w:t xml:space="preserve">among the four of the reconstruction frameworks (ADBM, ATN, body-size ratio, and PFIM). We excluded the purely structural Random and Niche models as they are inherently species agnostic. Specifically, we looked at interaction rewiring among shared species (</w:t>
      </w:r>
      <m:oMath>
        <m:sSub>
          <m:e>
            <m:r>
              <m:t>β</m:t>
            </m:r>
          </m:e>
          <m:sub>
            <m:r>
              <m:t>O</m:t>
            </m:r>
            <m:r>
              <m:t>S</m:t>
            </m:r>
          </m:sub>
        </m:sSub>
      </m:oMath>
      <w:r>
        <w:t xml:space="preserve">, see S1 for additional details on the decomposition of interaction β-diversity and its implementation), which allows separation of differences arising from altered interaction identities among species common to both networks. Because all networks within a given assemblage are constructed from the same species pool, differences in interaction structure primarily reflect</w:t>
      </w:r>
      <w:r>
        <w:t xml:space="preserve"> </w:t>
      </w:r>
      <w:r>
        <w:t xml:space="preserve">‘rewiring’</w:t>
      </w:r>
      <w:r>
        <w:t xml:space="preserve"> </w:t>
      </w:r>
      <w:r>
        <w:t xml:space="preserve">of trophic links due to stochasticity in the reconstruction approach rather than species turnover. All calculations were performed for all reconstruction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89f4cf6a33fc88184218f6a581bc75601516373"/>
    <w:p>
      <w:pPr>
        <w:pStyle w:val="Heading2"/>
      </w:pPr>
      <w:r>
        <w:t xml:space="preserve">2.4 Extinction simulations and reconstruction approach evaluation</w:t>
      </w:r>
    </w:p>
    <w:p>
      <w:pPr>
        <w:pStyle w:val="FirstParagraph"/>
      </w:pPr>
      <w:r>
        <w:t xml:space="preserve">Following</w:t>
      </w:r>
      <w:r>
        <w:t xml:space="preserve"> </w:t>
      </w:r>
      <w:r>
        <w:t xml:space="preserve">Dunhill</w:t>
      </w:r>
      <w:r>
        <w:t xml:space="preserve"> </w:t>
      </w:r>
      <w:r>
        <w:rPr>
          <w:i/>
          <w:iCs/>
        </w:rPr>
        <w:t xml:space="preserve">et al.</w:t>
      </w:r>
      <w:r>
        <w:t xml:space="preserve"> </w:t>
      </w:r>
      <w:r>
        <w:t xml:space="preserve">(2024)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w:t>
      </w:r>
      <m:oMath>
        <m:r>
          <m:t>τ</m:t>
        </m:r>
      </m:oMath>
      <w:r>
        <w:t xml:space="preserve">) was used to quantify concordance in scenario ordering across reconstruction approaches. Detailed implementation of extinction sequences and secondary extinction rules is provided in Supplementary Material S1.</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w:t>
      </w:r>
      <w:r>
        <w:t xml:space="preserve"> </w:t>
      </w:r>
      <w:r>
        <w:rPr>
          <w:i/>
          <w:iCs/>
        </w:rPr>
        <w:t xml:space="preserve">et al.</w:t>
      </w:r>
      <w:r>
        <w:t xml:space="preserve">, 2017)</w:t>
      </w:r>
      <w:r>
        <w:t xml:space="preserve"> </w:t>
      </w:r>
      <w:r>
        <w:t xml:space="preserve">using custom scripts and model implementations provided in Supplementary Material S1. All statistical analyses, including MANOVA, PERMANOVA, redundancy analysis, and post hoc comparisons, were performed in R v4.5.2</w:t>
      </w:r>
      <w:r>
        <w:t xml:space="preserve"> </w:t>
      </w:r>
      <w:r>
        <w:t xml:space="preserve">(R Core Team, 2024)</w:t>
      </w:r>
      <w:r>
        <w:t xml:space="preserve">. The full analytical workflow, including data preprocessing, network generation, extinction simulations, and metric calculation, is fully reproducible from the archived codebase.</w:t>
      </w:r>
    </w:p>
    <w:p>
      <w:pPr>
        <w:pStyle w:val="BodyText"/>
      </w:pPr>
      <w:r>
        <w:t xml:space="preserve">The empirical data, derived network datasets, and all analysis scripts are archived in a public Zenodo repository (</w:t>
      </w:r>
      <w:r>
        <w:rPr>
          <w:b/>
          <w:bCs/>
        </w:rPr>
        <w:t xml:space="preserve">TODO</w:t>
      </w:r>
      <w:r>
        <w:t xml:space="preserve"> </w:t>
      </w:r>
      <w:r>
        <w:t xml:space="preserve">DOI), which includes a complete README file describing software dependencies, execution order, and reproduction instructions.</w:t>
      </w:r>
    </w:p>
    <w:bookmarkEnd w:id="18"/>
    <w:bookmarkEnd w:id="19"/>
    <w:bookmarkStart w:id="41" w:name="results"/>
    <w:p>
      <w:pPr>
        <w:pStyle w:val="Heading1"/>
      </w:pPr>
      <w:r>
        <w:t xml:space="preserve">3. Results</w:t>
      </w:r>
    </w:p>
    <w:p>
      <w:pPr>
        <w:pStyle w:val="FirstParagraph"/>
      </w:pPr>
      <w:r>
        <w:t xml:space="preserve">We found that when evaluated using network metrics, different reconstruction approaches, even those that appear to be similar, yield fundamentally different ecological inferences. Across six network reconstruction approaches, inferred food web structure, species interactions, and extinction dynamics differed consistently. Multivariate analyses showed pronounced separation among reconstruction approaches in network metric space. Reconstruction approach explained most of the variance in structural properties, leaving a distinct signature independent of community composition. Notably, approaches that were statistically similar in multivariate structural space often diverged in inferred interactions or extinction dynamics. This demonstrates that structural similarity does not guarantee concordance in species-level diets or trophic roles.</w:t>
      </w:r>
    </w:p>
    <w:p>
      <w:pPr>
        <w:pStyle w:val="BodyText"/>
      </w:pPr>
      <w:r>
        <w:t xml:space="preserve">Reconstruction approach substantially influenced inferred extinction dynamics. Temporal trajectories of network collapse, interaction loss, and motif reorganisation differed among approaches. Although node-level extinction ranking were often broadly consistent, link-level outcomes and extinction inferences were highly sensitive to reconstruction assumptions. Together, these results show that ecological inferences drawn from networks depend critically on the reconstruction framework used.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reconstruction approach systematically alters inferred food web topology. Canonical discriminant analysis identified two dominant axes of variation, explaining 86% of the differences between reconstruction approach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064000"/>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06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reconstruction approach types. Each point represents a replicate, and ellipses indicate 95% confidence regions for each reconstruction approach. The second column represents the correlation of the various network metrics with the respective LDA axes.</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w:t>
      </w:r>
      <m:oMath>
        <m:sSup>
          <m:e>
            <m:r>
              <m:t>R</m:t>
            </m:r>
          </m:e>
          <m:sup>
            <m:r>
              <m:t>2</m:t>
            </m:r>
          </m:sup>
        </m:sSup>
      </m:oMath>
      <w:r>
        <w:t xml:space="preserve"> </w:t>
      </w:r>
      <w:r>
        <w:t xml:space="preserve">= 0.795,</w:t>
      </w:r>
      <w:r>
        <w:t xml:space="preserve"> </w:t>
      </w:r>
      <m:oMath>
        <m:r>
          <m:t>p</m:t>
        </m:r>
      </m:oMath>
      <w:r>
        <w:t xml:space="preserve"> </w:t>
      </w:r>
      <w:r>
        <w:t xml:space="preserve">&lt; 0.001), whereas temporal turnover across extinction phases explained a comparatively small proportion of variance (</w:t>
      </w:r>
      <m:oMath>
        <m:sSup>
          <m:e>
            <m:r>
              <m:t>R</m:t>
            </m:r>
          </m:e>
          <m:sup>
            <m:r>
              <m:t>2</m:t>
            </m:r>
          </m:sup>
        </m:sSup>
      </m:oMath>
      <w:r>
        <w:t xml:space="preserve"> </w:t>
      </w:r>
      <w:r>
        <w:t xml:space="preserve">= 0.064,</w:t>
      </w:r>
      <w:r>
        <w:t xml:space="preserve"> </w:t>
      </w:r>
      <m:oMath>
        <m:r>
          <m:t>p</m:t>
        </m:r>
      </m:oMath>
      <w:r>
        <w:t xml:space="preserve"> </w:t>
      </w:r>
      <w:r>
        <w:t xml:space="preserve">&lt; 0.001). The reconstruction approach</w:t>
      </w:r>
      <w:r>
        <w:t xml:space="preserve"> </w:t>
      </w:r>
      <m:oMath>
        <m:r>
          <m:rPr>
            <m:sty m:val="p"/>
          </m:rPr>
          <m:t>×</m:t>
        </m:r>
      </m:oMath>
      <w:r>
        <w:t xml:space="preserve"> </w:t>
      </w:r>
      <w:r>
        <w:t xml:space="preserve">time interaction contributed a further 7.1% of variance (</w:t>
      </w:r>
      <m:oMath>
        <m:sSup>
          <m:e>
            <m:r>
              <m:t>R</m:t>
            </m:r>
          </m:e>
          <m:sup>
            <m:r>
              <m:t>2</m:t>
            </m:r>
          </m:sup>
        </m:sSup>
      </m:oMath>
      <w:r>
        <w:t xml:space="preserve"> </w:t>
      </w:r>
      <w:r>
        <w:t xml:space="preserve">= 0.071,</w:t>
      </w:r>
      <w:r>
        <w:t xml:space="preserve"> </w:t>
      </w:r>
      <m:oMath>
        <m:r>
          <m:t>p</m:t>
        </m:r>
      </m:oMath>
      <w:r>
        <w:t xml:space="preserve"> </w:t>
      </w:r>
      <w:r>
        <w:t xml:space="preserve">&lt; 0.001), indicating limited but significant time-dependent divergence among reconstruction frameworks. Thus, differences among reconstruction approaches were more than an order of magnitude greater than structural differences associated with ecological turnover through the extinction sequence, even if the Pliensbachian-Toarcian dataset was characterised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w:t>
      </w:r>
      <m:oMath>
        <m:sSup>
          <m:e>
            <m:r>
              <m:t>R</m:t>
            </m:r>
          </m:e>
          <m:sup>
            <m:r>
              <m:t>2</m:t>
            </m:r>
          </m:sup>
        </m:sSup>
      </m:oMath>
      <w:r>
        <w:t xml:space="preserve"> </w:t>
      </w:r>
      <w:r>
        <w:t xml:space="preserve">= 0.848,</w:t>
      </w:r>
      <w:r>
        <w:t xml:space="preserve"> </w:t>
      </w:r>
      <m:oMath>
        <m:r>
          <m:t>p</m:t>
        </m:r>
      </m:oMath>
      <w:r>
        <w:t xml:space="preserve"> </w:t>
      </w:r>
      <w:r>
        <w:t xml:space="preserve">&lt; 0.001). These results demonstrate that the influence of reconstruction approach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exerted a significantly stronger influence on network topology than the ecological signal of species loss. In panel A of</w:t>
      </w:r>
      <w:r>
        <w:t xml:space="preserve"> </w:t>
      </w:r>
      <w:hyperlink w:anchor="fig-anova">
        <w:r>
          <w:rPr>
            <w:rStyle w:val="Hyperlink"/>
          </w:rPr>
          <w:t xml:space="preserve">Figure 2</w:t>
        </w:r>
      </w:hyperlink>
      <w:r>
        <w:t xml:space="preserve"> </w:t>
      </w:r>
      <w:r>
        <w:t xml:space="preserve">it is clear that for certain network metrics reconstruction approaches predict different responses across time</w:t>
      </w:r>
      <w:r>
        <w:t xml:space="preserve"> </w:t>
      </w:r>
      <w:r>
        <w:rPr>
          <w:i/>
          <w:iCs/>
        </w:rPr>
        <w:t xml:space="preserve">e.g.,</w:t>
      </w:r>
      <w:r>
        <w:t xml:space="preserve"> </w:t>
      </w:r>
      <w:r>
        <w:t xml:space="preserve">connectance, as well as differing magnitudes of change</w:t>
      </w:r>
      <w:r>
        <w:t xml:space="preserve"> </w:t>
      </w:r>
      <w:r>
        <w:rPr>
          <w:i/>
          <w:iCs/>
        </w:rPr>
        <w:t xml:space="preserve">e.g.,</w:t>
      </w:r>
      <w:r>
        <w:t xml:space="preserve"> </w:t>
      </w:r>
      <w:r>
        <w:t xml:space="preserve">the number of apparent competition motifs.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meso-scale motifs (</w:t>
      </w:r>
      <w:hyperlink w:anchor="fig-anova">
        <w:r>
          <w:rPr>
            <w:rStyle w:val="Hyperlink"/>
          </w:rPr>
          <w:t xml:space="preserve">Figure 2</w:t>
        </w:r>
      </w:hyperlink>
      <w:r>
        <w:t xml:space="preserve">, panel B; Table S3). While the extinction event (time bin) significantly altered network structure (p&lt;0.001), its relative importance remained secondary, typically explaining a smaller fraction of the total topological variation. This is clear in panel B of</w:t>
      </w:r>
      <w:r>
        <w:t xml:space="preserve"> </w:t>
      </w:r>
      <w:hyperlink w:anchor="fig-anova">
        <w:r>
          <w:rPr>
            <w:rStyle w:val="Hyperlink"/>
          </w:rPr>
          <w:t xml:space="preserve">Figure 2</w:t>
        </w:r>
      </w:hyperlink>
      <w:r>
        <w:t xml:space="preserve"> </w:t>
      </w:r>
      <w:r>
        <w:t xml:space="preserve">where all metrics are within the bottom-right (reconstruction approach-dominated) quadrant of this space, emphasising that framework assumptions outweigh the ecological signal of species loss. Furthermore, the high inter-reconstruction approach Coefficient of Variation (CV) observed for some metrics (Table S4, Figure S4) highlights a sensitivity. The properties that are influenced by time are also those upon which the reconstruction approaches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8107680"/>
                  <wp:effectExtent b="0" l="0" r="0" t="0"/>
                  <wp:docPr descr="" title="" id="26" name="Picture"/>
                  <a:graphic>
                    <a:graphicData uri="http://schemas.openxmlformats.org/drawingml/2006/picture">
                      <pic:pic>
                        <pic:nvPicPr>
                          <pic:cNvPr descr="figures/combined_ANOVA_time.png" id="27" name="Picture"/>
                          <pic:cNvPicPr>
                            <a:picLocks noChangeArrowheads="1" noChangeAspect="1"/>
                          </pic:cNvPicPr>
                        </pic:nvPicPr>
                        <pic:blipFill>
                          <a:blip r:embed="rId25"/>
                          <a:stretch>
                            <a:fillRect/>
                          </a:stretch>
                        </pic:blipFill>
                        <pic:spPr bwMode="auto">
                          <a:xfrm>
                            <a:off x="0" y="0"/>
                            <a:ext cx="5334000" cy="8107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A</w:t>
            </w:r>
            <w:r>
              <w:t xml:space="preserve"> </w:t>
            </w:r>
            <w:r>
              <w:t xml:space="preserve">Changes in network metrics through time, expressed as deviation from Pre-Extinction conditions (Δ). Metrics are faceted and scaled independently to highlight differences in temporal trajectories across different network properties.</w:t>
            </w:r>
            <w:r>
              <w:t xml:space="preserve"> </w:t>
            </w:r>
            <w:r>
              <w:rPr>
                <w:b/>
                <w:bCs/>
              </w:rPr>
              <w:t xml:space="preserve">B</w:t>
            </w:r>
            <w:r>
              <w:t xml:space="preserve"> </w:t>
            </w:r>
            <w:r>
              <w:t xml:space="preserve">Scatter plot illustrating the influence of reconstruction approach (x-axis) and time (y-axis) across network metrics. The dashed 1:1 diagonal represents parity of influence; metrics below this line are governed primarily by reconstruction approach and those above by time. Bubble size indicates the interaction between reconstruction approach and time, while colour indicates inter reconstruction approach disagreement (mean CV%); greener bubbles signify metrics where reconstruction approaches show the highest divergence in their structural predictions.</w:t>
            </w:r>
          </w:p>
          <w:bookmarkEnd w:id="28"/>
        </w:tc>
      </w:tr>
    </w:tbl>
    <w:bookmarkEnd w:id="29"/>
    <w:bookmarkStart w:id="34" w:name="X9fcddbbac710043f61693d23beb4156e4b28d77"/>
    <w:p>
      <w:pPr>
        <w:pStyle w:val="Heading3"/>
      </w:pPr>
      <w:r>
        <w:t xml:space="preserve">3.1.3 Inferred pairwise interactions vary widely among reconstruction approaches</w:t>
      </w:r>
    </w:p>
    <w:p>
      <w:pPr>
        <w:pStyle w:val="FirstParagraph"/>
      </w:pPr>
      <w:r>
        <w:t xml:space="preserve">Despite some network reconstruction approaches showing similar netwrok metrics, specific pairwise interactions often differed. Pairwise</w:t>
      </w:r>
      <w:r>
        <w:t xml:space="preserve"> </w:t>
      </w:r>
      <m:oMath>
        <m:sSub>
          <m:e>
            <m:r>
              <m:t>β</m:t>
            </m:r>
          </m:e>
          <m:sub>
            <m:r>
              <m:t>O</m:t>
            </m:r>
            <m:r>
              <m:t>S</m:t>
            </m:r>
          </m:sub>
        </m:sSub>
      </m:oMath>
      <w:r>
        <w:t xml:space="preserve"> </w:t>
      </w:r>
      <w:r>
        <w:t xml:space="preserve">revealed that certain reconstruction approach pairs shared very few links</w:t>
      </w:r>
      <w:r>
        <w:t xml:space="preserve">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reconstruction approaches. PFIM showed intermediate overlap with body mass-based models. These results demonstrate that agreement in overall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w:t>
            </w:r>
            <w:r>
              <w:t xml:space="preserve"> </w:t>
            </w:r>
            <m:oMath>
              <m:sSub>
                <m:e>
                  <m:r>
                    <m:t>β</m:t>
                  </m:r>
                </m:e>
                <m:sub>
                  <m:r>
                    <m:t>O</m:t>
                  </m:r>
                  <m:r>
                    <m:t>S</m:t>
                  </m:r>
                </m:sub>
              </m:sSub>
            </m:oMath>
            <w:r>
              <w:t xml:space="preserve"> </w:t>
            </w:r>
            <w:r>
              <w:t xml:space="preserve">in species interactions among four ecological network reconstruction approaches (ADBM, ATN, Body-size ratio, and PFIM). Each cell represents the mean turnover value between a pair of reconstruction approaches, with darker colours indicating greater dissimilarity in inferred interactions. High turnover values indicate strong disagreement in pairwise interactions between reconstruction approaches, whereas lower values indicate greater similarity. Note that we do not include the Random or Niche model as these reconstruction approaches are species agnostic and thus we cannot truly evaluate differences in pairwise interactions</w:t>
            </w:r>
          </w:p>
          <w:bookmarkEnd w:id="33"/>
        </w:tc>
      </w:tr>
    </w:tbl>
    <w:bookmarkEnd w:id="34"/>
    <w:bookmarkEnd w:id="35"/>
    <w:bookmarkStart w:id="40" w:name="X6f2735200bed949fd988e0a43cf05969744067d"/>
    <w:p>
      <w:pPr>
        <w:pStyle w:val="Heading2"/>
      </w:pPr>
      <w:r>
        <w:t xml:space="preserve">3.2 Reconstruction approach choice influences inferred extinction dynamics</w:t>
      </w:r>
    </w:p>
    <w:p>
      <w:pPr>
        <w:pStyle w:val="FirstParagraph"/>
      </w:pPr>
      <w:r>
        <w:t xml:space="preserve">To evaluate how reconstruction approach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reconstruction approaches, MAD-based rankings were generally positively correlated (Kendall’s</w:t>
      </w:r>
      <w:r>
        <w:t xml:space="preserve"> </w:t>
      </w:r>
      <m:oMath>
        <m:r>
          <m:t>τ</m:t>
        </m:r>
      </m:oMath>
      <w:r>
        <w:t xml:space="preserve"> </w:t>
      </w:r>
      <w:r>
        <w:t xml:space="preserve">≈ 0.13 across structural metrics), indicating weak but generally positive concordance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network reconstruction approaches (Kendall’s</w:t>
      </w:r>
      <w:r>
        <w:t xml:space="preserve"> </w:t>
      </w:r>
      <m:oMath>
        <m:r>
          <m:t>τ</m:t>
        </m:r>
      </m:oMath>
      <w:r>
        <w:t xml:space="preserve"> </w:t>
      </w:r>
      <w:r>
        <w:t xml:space="preserve">= 0.26 - 0.90), reflecting broadly comparable node-level removal sequences. In contrast, link-level outcomes were far more variable (Kendall’s</w:t>
      </w:r>
      <w:r>
        <w:t xml:space="preserve"> </w:t>
      </w:r>
      <m:oMath>
        <m:r>
          <m:t>τ</m:t>
        </m:r>
      </m:oMath>
      <w:r>
        <w:t xml:space="preserve"> </w:t>
      </w:r>
      <w:r>
        <w:t xml:space="preserve">= −0.48 - 0.29), highlighting that inferences about which interactions are lost, retained, or re-established during collapse and recovery are highly reconstruction approach contingent. Together, these results suggest that while alternative reconstruction approaches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reconstruction approaches for each network metric. Each panel corresponds to a different metric and displays the degree of agreement in extinction-scenario rankings across reconstruction approaches based on mean absolute differences (MAD) between observed and predicted network values. Positive</w:t>
            </w:r>
            <w:r>
              <w:t xml:space="preserve"> </w:t>
            </w:r>
            <m:oMath>
              <m:r>
                <m:t>τ</m:t>
              </m:r>
            </m:oMath>
            <w:r>
              <w:t xml:space="preserve"> </w:t>
            </w:r>
            <w:r>
              <w:t xml:space="preserve">values (purple) indicate concordant rankings between reconstruction approaches, whereas negative</w:t>
            </w:r>
            <w:r>
              <w:t xml:space="preserve"> </w:t>
            </w:r>
            <m:oMath>
              <m:r>
                <m:t>τ</m:t>
              </m:r>
            </m:oMath>
            <w:r>
              <w:t xml:space="preserve"> </w:t>
            </w:r>
            <w:r>
              <w:t xml:space="preserve">values (sienna) indicate opposing rankings. Warmer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w:t>
      </w:r>
    </w:p>
    <w:p>
      <w:pPr>
        <w:pStyle w:val="BodyText"/>
      </w:pPr>
      <w:r>
        <w:t xml:space="preserve">This assumption is particularly critical to evaluate within the context of deep-time palaeoecological data. Because interactions in fossil ecosystems are never observed directly, they must explicitly be formed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palaeoecological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assumption—that reconstructed networks provide structurally comparable representations of ecological communities, such that differences in connectance, trophic structure, motif composition, or robustness primarily reflect biological variation.</w:t>
      </w:r>
    </w:p>
    <w:p>
      <w:pPr>
        <w:pStyle w:val="BodyText"/>
      </w:pPr>
      <w:r>
        <w:t xml:space="preserve">This assumption is particularly critical in deep-time palaeoecological contexts such as the Early Toarcian Extinction Event, where trophic interactions are never observed directly but must be inferred from incomplete fossil data. In these systems, ecological networks are entirely reconstruction-dependent, rendering the assumptions embedded within different frameworks both explicit and consequential. The risk is therefore not only incomplete data, but that methodological artefacts may be misinterpreted as genuine macroevolutionary or ecological signals. Consequently, deep-time studies provide a stringent test of whether inferred community responses (such as stability, collapse, or recovery during environmental perturbations) reflect underlying ecosystem dynamics or are contingent on how interactions are reconstructed.</w:t>
      </w:r>
    </w:p>
    <w:p>
      <w:pPr>
        <w:pStyle w:val="BodyText"/>
      </w:pPr>
      <w:r>
        <w:t xml:space="preserve">Reconstruction framework explained the overwhelming majority of variance in inferred food web topology, far outweighing the influence of temporal turnover across extinction and recovery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reconstruction approaches reflects intrinsic differences in how interactions are organised rather than temporal shifts in community composition. Even after centring metrics within time bins (extinction phases) to remove between-bin mean differences, reconstruction approach remained the dominant driver of structural variation. These results indicate that reconstruction approaches impose distinct</w:t>
      </w:r>
      <w:r>
        <w:t xml:space="preserve"> </w:t>
      </w:r>
      <w:r>
        <w:t xml:space="preserve">‘structural priors’</w:t>
      </w:r>
      <w:r>
        <w:t xml:space="preserve"> </w:t>
      </w:r>
      <w:r>
        <w:t xml:space="preserve">on ecological inference. These priors are not subtle; they propagate into emergent topology, species roles, and predictions of disturbance dynamics. Network structure is therefore not solely a property of ecological communities, but jointly determined by ecological data, reconstruction assumptions, and level of organisation</w:t>
      </w:r>
      <w:r>
        <w:t xml:space="preserve"> </w:t>
      </w:r>
      <w:r>
        <w:t xml:space="preserve">(Gauzens</w:t>
      </w:r>
      <w:r>
        <w:t xml:space="preserve"> </w:t>
      </w:r>
      <w:r>
        <w:rPr>
          <w:i/>
          <w:iCs/>
        </w:rPr>
        <w:t xml:space="preserve">et al.</w:t>
      </w:r>
      <w:r>
        <w:t xml:space="preserve">, 2025; Strydom</w:t>
      </w:r>
      <w:r>
        <w:t xml:space="preserve"> </w:t>
      </w:r>
      <w:r>
        <w:rPr>
          <w:i/>
          <w:iCs/>
        </w:rPr>
        <w:t xml:space="preserve">et al.</w:t>
      </w:r>
      <w:r>
        <w:t xml:space="preserve">, 2026)</w:t>
      </w:r>
      <w:r>
        <w:t xml:space="preserve">.</w:t>
      </w:r>
    </w:p>
    <w:p>
      <w:pPr>
        <w:pStyle w:val="BodyText"/>
      </w:pPr>
      <w:r>
        <w:t xml:space="preserve">Crucially, this dominance was not confined to multivariate summaries. Variance partitioning at the level of individual network properties revealed that reconstruction approach overwhelmingly structured specific ecological metrics, thus the imprint of the reconstruction framework is visible not only in aggregate topology but in the very structural features often interpreted as ecological signals. Notably, the few properties that exhibited detectable temporal sensitivity were also those with the greatest inter-reconstruction approach disagreement, indicating that temporal trends are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reconstruction approaches encode different assumptions about constraint, optimisation, and topology, with these assumptions propagating into emergent metrics and dynamical predictions</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 Poisot &amp; Gravel, 2014; Michalska-Smith &amp; Allesina, 2019)</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Node-level extinction rankings were broadly consistent among reconstruction approaches, whereas interaction-level outcomes and cascade trajectories were highly contingent on reconstruction approach. The predominance of reconstruction framework over temporal turnover (~80% vs. 6% variance explained) illustrates why coarse-grained patterns like node-level extinction rankings are more robust. Reconstruction approach-imposed structure dominates the overall topology, leaving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the use of detailed interaction structure to diagnose mechanisms of stability and collapse. Our findings suggest that while coarse-grained patterns might be shared across methods, fine-grained mechanistic narratives (such as the specific pathways of interaction loss) are much more precarious. This implies that had</w:t>
      </w:r>
      <w:r>
        <w:t xml:space="preserve"> </w:t>
      </w:r>
      <w:r>
        <w:t xml:space="preserve">Dunhill</w:t>
      </w:r>
      <w:r>
        <w:t xml:space="preserve"> </w:t>
      </w:r>
      <w:r>
        <w:rPr>
          <w:i/>
          <w:iCs/>
        </w:rPr>
        <w:t xml:space="preserve">et al.</w:t>
      </w:r>
      <w:r>
        <w:t xml:space="preserve"> </w:t>
      </w:r>
      <w:r>
        <w:t xml:space="preserve">(2024)</w:t>
      </w:r>
      <w:r>
        <w:t xml:space="preserve"> </w:t>
      </w:r>
      <w:r>
        <w:t xml:space="preserve">selected a different reconstruction method, the resulting inferences regarding the drivers of extinctions and subsequent recovery could have pointed to entirely different ecological mechanisms. If interaction-level cascade pathways vary substantially across equally plausible reconstructions, then mechanistic narratives derived from a single inferred topology may overstate their precision</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w:t>
      </w:r>
      <w:r>
        <w:t xml:space="preserve">. The apparent determinism of extinction cascades may therefore partly reflect reconstruction-imposed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reconstruction approach encodes a distinct set of ecological assumptions. The inferred topology and dynamics of a food web therefore reflect not only ecological data, but the theoretical assumptions embedded in the reconstruction framework. Disagreement among reconstruction approaches does not imply that any single approach is ‘wrong’, but rather that different reconstruction approaches capture different facets of ecological reality</w:t>
      </w:r>
      <w:r>
        <w:t xml:space="preserve"> </w:t>
      </w:r>
      <w:r>
        <w:t xml:space="preserve">(Petchey</w:t>
      </w:r>
      <w:r>
        <w:t xml:space="preserve"> </w:t>
      </w:r>
      <w:r>
        <w:rPr>
          <w:i/>
          <w:iCs/>
        </w:rPr>
        <w:t xml:space="preserve">et al.</w:t>
      </w:r>
      <w:r>
        <w:t xml:space="preserve">, 2011; Stouffer, 2019)</w:t>
      </w:r>
      <w:r>
        <w:t xml:space="preserve">. Disagreement among reconstruction approaches does not imply that any single approach is</w:t>
      </w:r>
      <w:r>
        <w:t xml:space="preserve"> </w:t>
      </w:r>
      <w:r>
        <w:t xml:space="preserve">‘incorrect’</w:t>
      </w:r>
      <w:r>
        <w:t xml:space="preserve">. Rather, different reconstruction approaches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network reconstruction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(Tylianakis</w:t>
      </w:r>
      <w:r>
        <w:t xml:space="preserve"> </w:t>
      </w:r>
      <w:r>
        <w:rPr>
          <w:i/>
          <w:iCs/>
        </w:rPr>
        <w:t xml:space="preserve">et al.</w:t>
      </w:r>
      <w:r>
        <w:t xml:space="preserve">, 2008; Gilman</w:t>
      </w:r>
      <w:r>
        <w:t xml:space="preserve"> </w:t>
      </w:r>
      <w:r>
        <w:rPr>
          <w:i/>
          <w:iCs/>
        </w:rPr>
        <w:t xml:space="preserve">et al.</w:t>
      </w:r>
      <w:r>
        <w:t xml:space="preserve">, 2010)</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w:t>
      </w:r>
      <w:r>
        <w:t xml:space="preserve"> </w:t>
      </w:r>
      <w:r>
        <w:rPr>
          <w:i/>
          <w:iCs/>
        </w:rPr>
        <w:t xml:space="preserve">et al.</w:t>
      </w:r>
      <w:r>
        <w:t xml:space="preserve">, 2025; Marjakangas</w:t>
      </w:r>
      <w:r>
        <w:t xml:space="preserve"> </w:t>
      </w:r>
      <w:r>
        <w:rPr>
          <w:i/>
          <w:iCs/>
        </w:rPr>
        <w:t xml:space="preserve">et al.</w:t>
      </w:r>
      <w:r>
        <w:t xml:space="preserve">, 2025)</w:t>
      </w:r>
      <w:r>
        <w:t xml:space="preserve">. These studies frequently interpret variation in connectance, trophic height, interaction</w:t>
      </w:r>
      <w:r>
        <w:t xml:space="preserve"> </w:t>
      </w:r>
      <m:oMath>
        <m:r>
          <m:t>β</m:t>
        </m:r>
      </m:oMath>
      <w:r>
        <w:t xml:space="preserve">-diversity, or robustness as indicators of ecological differentiation among regions or time intervals</w:t>
      </w:r>
      <w:r>
        <w:t xml:space="preserve"> </w:t>
      </w:r>
      <w:r>
        <w:t xml:space="preserve">(</w:t>
      </w:r>
      <w:r>
        <w:rPr>
          <w:i/>
          <w:iCs/>
        </w:rPr>
        <w:t xml:space="preserve">e.g.,</w:t>
      </w:r>
      <w:r>
        <w:t xml:space="preserve"> </w:t>
      </w:r>
      <w:r>
        <w:t xml:space="preserve">Pellissier</w:t>
      </w:r>
      <w:r>
        <w:t xml:space="preserve"> </w:t>
      </w:r>
      <w:r>
        <w:rPr>
          <w:i/>
          <w:iCs/>
        </w:rPr>
        <w:t xml:space="preserve">et al.</w:t>
      </w:r>
      <w:r>
        <w:t xml:space="preserve">, 2018; Trøjelsgaard &amp; Olesen, 2016)</w:t>
      </w:r>
      <w:r>
        <w:t xml:space="preserve">. Our results show that such differences can systematically alter inferred topology and disturbance dynamics even when species composition is held constant. This suggests that apparent differences in network structure across spatial or climate gradients may reflect variation in reconstruction as much as ecological process.</w:t>
      </w:r>
    </w:p>
    <w:p>
      <w:pPr>
        <w:pStyle w:val="BodyText"/>
      </w:pPr>
      <w:r>
        <w:t xml:space="preserve">Deep-time palaeo 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w:t>
      </w:r>
      <w:r>
        <w:t xml:space="preserve"> </w:t>
      </w:r>
      <w:r>
        <w:rPr>
          <w:i/>
          <w:iCs/>
        </w:rPr>
        <w:t xml:space="preserve">et al.</w:t>
      </w:r>
      <w:r>
        <w:t xml:space="preserve"> </w:t>
      </w:r>
      <w:r>
        <w:t xml:space="preserve">(2024)</w:t>
      </w:r>
      <w:r>
        <w:t xml:space="preserve">;</w:t>
      </w:r>
      <w:r>
        <w:t xml:space="preserve"> </w:t>
      </w:r>
      <w:r>
        <w:t xml:space="preserve">Karapunar</w:t>
      </w:r>
      <w:r>
        <w:t xml:space="preserve"> </w:t>
      </w:r>
      <w:r>
        <w:rPr>
          <w:i/>
          <w:iCs/>
        </w:rPr>
        <w:t xml:space="preserve">et al.</w:t>
      </w:r>
      <w:r>
        <w:t xml:space="preserve"> </w:t>
      </w:r>
      <w:r>
        <w:t xml:space="preserve">(2026)</w:t>
      </w:r>
      <w:r>
        <w:t xml:space="preserve">;</w:t>
      </w:r>
      <w:r>
        <w:t xml:space="preserve"> </w:t>
      </w:r>
      <w:r>
        <w:t xml:space="preserve">Smith</w:t>
      </w:r>
      <w:r>
        <w:t xml:space="preserve"> </w:t>
      </w:r>
      <w:r>
        <w:rPr>
          <w:i/>
          <w:iCs/>
        </w:rPr>
        <w:t xml:space="preserve">et al.</w:t>
      </w:r>
      <w:r>
        <w:t xml:space="preserve"> </w:t>
      </w:r>
      <w:r>
        <w:t xml:space="preserve">(2025)</w:t>
      </w:r>
      <w:r>
        <w:t xml:space="preserve">). Fossil networks therefore represent natural experiments for evaluating resilience, trophic reorganisation, and recovery following extreme environmental change. Studies of palaeo food webs have demonstrated how network structure mediates extinction cascades and post-disturbance reassembly</w:t>
      </w:r>
      <w:r>
        <w:t xml:space="preserve"> </w:t>
      </w:r>
      <w:r>
        <w:t xml:space="preserve">(Roopnarine, 2006; Dunne</w:t>
      </w:r>
      <w:r>
        <w:t xml:space="preserve"> </w:t>
      </w:r>
      <w:r>
        <w:rPr>
          <w:i/>
          <w:iCs/>
        </w:rPr>
        <w:t xml:space="preserve">et al.</w:t>
      </w:r>
      <w:r>
        <w:t xml:space="preserve">, 2008)</w:t>
      </w:r>
      <w:r>
        <w:t xml:space="preserve">, providing empirical constraints on long-term ecological stability.</w:t>
      </w:r>
    </w:p>
    <w:p>
      <w:pPr>
        <w:pStyle w:val="BodyText"/>
      </w:pPr>
      <w:r>
        <w:t xml:space="preserve">However, our results emphasise that even in deep-time systems structural conclusions remain sensitive to reconstruction approaches. Treating reconstructed networks as ensembles rather than single deterministic representations provides a more transparent framework for incorporating uncertainty into comparative macroecology and for using palaeo data to inform expectations about modern climate-driven reorganisation.</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 ‘correct’ or ‘incorrect’. Rather, each reconstruction approach represents a distinct hypothesis about how interactions are constrained by trait compatibility, energetic optimisation, or topological regularity</w:t>
      </w:r>
      <w:r>
        <w:t xml:space="preserve"> </w:t>
      </w:r>
      <w:r>
        <w:t xml:space="preserve">(Petchey</w:t>
      </w:r>
      <w:r>
        <w:t xml:space="preserve"> </w:t>
      </w:r>
      <w:r>
        <w:rPr>
          <w:i/>
          <w:iCs/>
        </w:rPr>
        <w:t xml:space="preserve">et al.</w:t>
      </w:r>
      <w:r>
        <w:t xml:space="preserve">,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reconstruction approaches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(Poisot</w:t>
      </w:r>
      <w:r>
        <w:t xml:space="preserve"> </w:t>
      </w:r>
      <w:r>
        <w:rPr>
          <w:i/>
          <w:iCs/>
        </w:rPr>
        <w:t xml:space="preserve">et al.</w:t>
      </w:r>
      <w:r>
        <w:t xml:space="preserve">, 2016; Banville</w:t>
      </w:r>
      <w:r>
        <w:t xml:space="preserve"> </w:t>
      </w:r>
      <w:r>
        <w:rPr>
          <w:i/>
          <w:iCs/>
        </w:rPr>
        <w:t xml:space="preserve">et al.</w:t>
      </w:r>
      <w:r>
        <w:t xml:space="preserve">, 2025)</w:t>
      </w:r>
      <w:r>
        <w:t xml:space="preserve">.</w:t>
      </w:r>
    </w:p>
    <w:bookmarkEnd w:id="45"/>
    <w:bookmarkEnd w:id="46"/>
    <w:bookmarkStart w:id="47"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different reconstruction approaches systematically influence inferred food web topology, interaction identity, and disturbance dynamics. Some coarse-grained patterns, such as relative species vulnerability, are comparatively robust across representations. In contrast, fine-scale interaction structure and cascade pathways are highly contingent on reconstruction approaches.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reconstruction approaches as much as ecological processes. Network reconstruction should thus be treated as an explicit component of hypothesis specification in comparative macroecology and biogeography.</w:t>
      </w:r>
    </w:p>
    <w:p>
      <w:pPr>
        <w:pStyle w:val="BodyText"/>
      </w:pPr>
      <w:r>
        <w:t xml:space="preserve">No single reconstruction approach captures the full complexity of ecological organisation, but neither are alternative reconstruction approaches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network reconstruction as fundamental determinants of inference is critical for advancing food web ecology from descriptive reconstruction toward rigorous comparative synthesis.</w:t>
      </w:r>
    </w:p>
    <w:bookmarkEnd w:id="47"/>
    <w:bookmarkStart w:id="154" w:name="references"/>
    <w:p>
      <w:pPr>
        <w:pStyle w:val="Heading1"/>
      </w:pPr>
      <w:r>
        <w:t xml:space="preserve">References</w:t>
      </w:r>
    </w:p>
    <w:bookmarkStart w:id="153" w:name="refs"/>
    <w:bookmarkStart w:id="49" w:name="ref-allesina2012"/>
    <w:p>
      <w:pPr>
        <w:pStyle w:val="Bibliography"/>
      </w:pPr>
      <w:r>
        <w:t xml:space="preserve">Allesina, S. &amp; Tang, S. (2012)</w:t>
      </w:r>
      <w:r>
        <w:t xml:space="preserve"> </w:t>
      </w:r>
      <w:hyperlink r:id="rId48">
        <w:r>
          <w:rPr>
            <w:rStyle w:val="Hyperlink"/>
          </w:rPr>
          <w:t xml:space="preserve">Stability criteria for complex ecosystems</w:t>
        </w:r>
      </w:hyperlink>
      <w:r>
        <w:t xml:space="preserve">.</w:t>
      </w:r>
      <w:r>
        <w:t xml:space="preserve"> </w:t>
      </w:r>
      <w:r>
        <w:rPr>
          <w:i/>
          <w:iCs/>
        </w:rPr>
        <w:t xml:space="preserve">Nature</w:t>
      </w:r>
      <w:r>
        <w:t xml:space="preserve">,</w:t>
      </w:r>
      <w:r>
        <w:t xml:space="preserve"> </w:t>
      </w:r>
      <w:r>
        <w:rPr>
          <w:b/>
          <w:bCs/>
        </w:rPr>
        <w:t xml:space="preserve">483</w:t>
      </w:r>
      <w:r>
        <w:t xml:space="preserve">, 205–208.</w:t>
      </w:r>
    </w:p>
    <w:bookmarkEnd w:id="49"/>
    <w:bookmarkStart w:id="51" w:name="ref-bambach2007"/>
    <w:p>
      <w:pPr>
        <w:pStyle w:val="Bibliography"/>
      </w:pPr>
      <w:r>
        <w:t xml:space="preserve">Bambach, R.K., Bush, A.M. &amp; Erwin, D.H. (2007)</w:t>
      </w:r>
      <w:r>
        <w:t xml:space="preserve"> </w:t>
      </w:r>
      <w:hyperlink r:id="rId50">
        <w:r>
          <w:rPr>
            <w:rStyle w:val="Hyperlink"/>
          </w:rPr>
          <w:t xml:space="preserve">Autecology and the filling of ecospace: Key metazoan radiations</w:t>
        </w:r>
      </w:hyperlink>
      <w:r>
        <w:t xml:space="preserve">.</w:t>
      </w:r>
      <w:r>
        <w:t xml:space="preserve"> </w:t>
      </w:r>
      <w:r>
        <w:rPr>
          <w:i/>
          <w:iCs/>
        </w:rPr>
        <w:t xml:space="preserve">Palaeontology</w:t>
      </w:r>
      <w:r>
        <w:t xml:space="preserve">,</w:t>
      </w:r>
      <w:r>
        <w:t xml:space="preserve"> </w:t>
      </w:r>
      <w:r>
        <w:rPr>
          <w:b/>
          <w:bCs/>
        </w:rPr>
        <w:t xml:space="preserve">50</w:t>
      </w:r>
      <w:r>
        <w:t xml:space="preserve">, 1–22.</w:t>
      </w:r>
    </w:p>
    <w:bookmarkEnd w:id="51"/>
    <w:bookmarkStart w:id="53" w:name="ref-banville2025"/>
    <w:p>
      <w:pPr>
        <w:pStyle w:val="Bibliography"/>
      </w:pPr>
      <w:r>
        <w:t xml:space="preserve">Banville, F., Strydom, T., Blyth, P.S.A., Brimacombe, C., Catchen, M.D., Dansereau, G., Higino, G., Malpas, T., Mayall, H., Norman, K., Gravel, D. &amp; Poisot, T. (2025)</w:t>
      </w:r>
      <w:r>
        <w:t xml:space="preserve"> </w:t>
      </w:r>
      <w:hyperlink r:id="rId52">
        <w:r>
          <w:rPr>
            <w:rStyle w:val="Hyperlink"/>
          </w:rPr>
          <w:t xml:space="preserve">Deciphering probabilistic species interaction networks</w:t>
        </w:r>
      </w:hyperlink>
      <w:r>
        <w:t xml:space="preserve">.</w:t>
      </w:r>
      <w:r>
        <w:t xml:space="preserve"> </w:t>
      </w:r>
      <w:r>
        <w:rPr>
          <w:i/>
          <w:iCs/>
        </w:rPr>
        <w:t xml:space="preserve">Ecology Letters</w:t>
      </w:r>
      <w:r>
        <w:t xml:space="preserve">,</w:t>
      </w:r>
      <w:r>
        <w:t xml:space="preserve"> </w:t>
      </w:r>
      <w:r>
        <w:rPr>
          <w:b/>
          <w:bCs/>
        </w:rPr>
        <w:t xml:space="preserve">28</w:t>
      </w:r>
      <w:r>
        <w:t xml:space="preserve">, e70161.</w:t>
      </w:r>
    </w:p>
    <w:bookmarkEnd w:id="53"/>
    <w:bookmarkStart w:id="55" w:name="ref-Bezanson2017Julia"/>
    <w:p>
      <w:pPr>
        <w:pStyle w:val="Bibliography"/>
      </w:pPr>
      <w:r>
        <w:t xml:space="preserve">Bezanson, J., Edelman, A., Karpinski, S. &amp; Shah, V.B. (2017)</w:t>
      </w:r>
      <w:r>
        <w:t xml:space="preserve"> </w:t>
      </w:r>
      <w:hyperlink r:id="rId54">
        <w:r>
          <w:rPr>
            <w:rStyle w:val="Hyperlink"/>
          </w:rPr>
          <w:t xml:space="preserve">Julia: A fresh approach to numerical computing</w:t>
        </w:r>
      </w:hyperlink>
      <w:r>
        <w:t xml:space="preserve">.</w:t>
      </w:r>
      <w:r>
        <w:t xml:space="preserve"> </w:t>
      </w:r>
      <w:r>
        <w:rPr>
          <w:i/>
          <w:iCs/>
        </w:rPr>
        <w:t xml:space="preserve">SIAM Review</w:t>
      </w:r>
      <w:r>
        <w:t xml:space="preserve">,</w:t>
      </w:r>
      <w:r>
        <w:t xml:space="preserve"> </w:t>
      </w:r>
      <w:r>
        <w:rPr>
          <w:b/>
          <w:bCs/>
        </w:rPr>
        <w:t xml:space="preserve">59</w:t>
      </w:r>
      <w:r>
        <w:t xml:space="preserve">, 65–98.</w:t>
      </w:r>
    </w:p>
    <w:bookmarkEnd w:id="55"/>
    <w:bookmarkStart w:id="57" w:name="ref-brose2006"/>
    <w:p>
      <w:pPr>
        <w:pStyle w:val="Bibliography"/>
      </w:pPr>
      <w:r>
        <w:t xml:space="preserve">Brose, U., Jonsson, T., Berlow, E.L., Warren, P., Banasek-Richter, C., Bersier, L.-F., Blanchard, J.L., Brey, T., Carpenter, S.R., Blandenier, M.-F.C., Cushing, L., Dawah, H.A., Dell, T., Edwards, F., Harper-Smith, S., Jacob, U., Ledger, M.E., Martinez, N.D., Memmott, J., Mintenbeck, K., Pinnegar, J.K., Rall, B.C., Rayner, T.S., Reuman, D.C., Ruess, L., Ulrich, W., Williams, R.J., Woodward, G. &amp; Cohen, J.E. (2006)</w:t>
      </w:r>
      <w:r>
        <w:t xml:space="preserve"> </w:t>
      </w:r>
      <w:hyperlink r:id="rId56">
        <w:r>
          <w:rPr>
            <w:rStyle w:val="Hyperlink"/>
          </w:rPr>
          <w:t xml:space="preserve">Consumer</w:t>
        </w:r>
        <w:r>
          <w:rPr>
            <w:rStyle w:val="Hyperlink"/>
          </w:rPr>
          <w:t xml:space="preserve">resource body-size relationships in natural food webs</w:t>
        </w:r>
      </w:hyperlink>
      <w:r>
        <w:t xml:space="preserve">.</w:t>
      </w:r>
      <w:r>
        <w:t xml:space="preserve"> </w:t>
      </w:r>
      <w:r>
        <w:rPr>
          <w:i/>
          <w:iCs/>
        </w:rPr>
        <w:t xml:space="preserve">Ecology</w:t>
      </w:r>
      <w:r>
        <w:t xml:space="preserve">,</w:t>
      </w:r>
      <w:r>
        <w:t xml:space="preserve"> </w:t>
      </w:r>
      <w:r>
        <w:rPr>
          <w:b/>
          <w:bCs/>
        </w:rPr>
        <w:t xml:space="preserve">87</w:t>
      </w:r>
      <w:r>
        <w:t xml:space="preserve">, 2411–2417.</w:t>
      </w:r>
    </w:p>
    <w:bookmarkEnd w:id="57"/>
    <w:bookmarkStart w:id="59" w:name="ref-curtsdotter2011"/>
    <w:p>
      <w:pPr>
        <w:pStyle w:val="Bibliography"/>
      </w:pPr>
      <w:r>
        <w:t xml:space="preserve">Curtsdotter, A., Binzer, A., Brose, U., De Castro, F., Ebenman, B., Eklöf, A., Riede, J.O., Thierry, A. &amp; Rall, B.C. (2011)</w:t>
      </w:r>
      <w:r>
        <w:t xml:space="preserve"> </w:t>
      </w:r>
      <w:hyperlink r:id="rId58">
        <w:r>
          <w:rPr>
            <w:rStyle w:val="Hyperlink"/>
          </w:rPr>
          <w:t xml:space="preserve">Robustness to secondary extinctions: Comparing trait-based sequential deletions in static and dynamic food webs</w:t>
        </w:r>
      </w:hyperlink>
      <w:r>
        <w:t xml:space="preserve">.</w:t>
      </w:r>
      <w:r>
        <w:t xml:space="preserve"> </w:t>
      </w:r>
      <w:r>
        <w:rPr>
          <w:i/>
          <w:iCs/>
        </w:rPr>
        <w:t xml:space="preserve">Basic and Applied Ecology</w:t>
      </w:r>
      <w:r>
        <w:t xml:space="preserve">,</w:t>
      </w:r>
      <w:r>
        <w:t xml:space="preserve"> </w:t>
      </w:r>
      <w:r>
        <w:rPr>
          <w:b/>
          <w:bCs/>
        </w:rPr>
        <w:t xml:space="preserve">12</w:t>
      </w:r>
      <w:r>
        <w:t xml:space="preserve">, 571–580.</w:t>
      </w:r>
    </w:p>
    <w:bookmarkEnd w:id="59"/>
    <w:bookmarkStart w:id="61" w:name="ref-delmas2018"/>
    <w:p>
      <w:pPr>
        <w:pStyle w:val="Bibliography"/>
      </w:pPr>
      <w:r>
        <w:t xml:space="preserve">Delmas, E., Besson, M., Brice, M.-H., Burkle, L.A., Dalla Riva, G.V., Fortin, M.-J., Gravel, D., Guimarães, P.R., Hembry, D.H., Newman, E.A., Olesen, J.M., Pires, M.M., Yeakel, J.D. &amp; Poisot, T. (2018)</w:t>
      </w:r>
      <w:r>
        <w:t xml:space="preserve"> </w:t>
      </w:r>
      <w:hyperlink r:id="rId60">
        <w:r>
          <w:rPr>
            <w:rStyle w:val="Hyperlink"/>
          </w:rPr>
          <w:t xml:space="preserve">Analysing ecological networks of species interactions</w:t>
        </w:r>
      </w:hyperlink>
      <w:r>
        <w:t xml:space="preserve">.</w:t>
      </w:r>
      <w:r>
        <w:t xml:space="preserve"> </w:t>
      </w:r>
      <w:r>
        <w:rPr>
          <w:i/>
          <w:iCs/>
        </w:rPr>
        <w:t xml:space="preserve">Biological Reviews</w:t>
      </w:r>
      <w:r>
        <w:t xml:space="preserve">, 112540.</w:t>
      </w:r>
    </w:p>
    <w:bookmarkEnd w:id="61"/>
    <w:bookmarkStart w:id="63" w:name="ref-dunhill2024"/>
    <w:p>
      <w:pPr>
        <w:pStyle w:val="Bibliography"/>
      </w:pPr>
      <w:r>
        <w:t xml:space="preserve">Dunhill, A.M., Zarzyczny, K., Shaw, J.O., Atkinson, J.W., Little, C.T.S. &amp; Beckerman, A.P. (2024)</w:t>
      </w:r>
      <w:r>
        <w:t xml:space="preserve"> </w:t>
      </w:r>
      <w:hyperlink r:id="rId62">
        <w:r>
          <w:rPr>
            <w:rStyle w:val="Hyperlink"/>
          </w:rPr>
          <w:t xml:space="preserve">Extinction cascades, community collapse, and recovery across a mesozoic hyperthermal event</w:t>
        </w:r>
      </w:hyperlink>
      <w:r>
        <w:t xml:space="preserve">.</w:t>
      </w:r>
      <w:r>
        <w:t xml:space="preserve"> </w:t>
      </w:r>
      <w:r>
        <w:rPr>
          <w:i/>
          <w:iCs/>
        </w:rPr>
        <w:t xml:space="preserve">Nature Communications</w:t>
      </w:r>
      <w:r>
        <w:t xml:space="preserve">,</w:t>
      </w:r>
      <w:r>
        <w:t xml:space="preserve"> </w:t>
      </w:r>
      <w:r>
        <w:rPr>
          <w:b/>
          <w:bCs/>
        </w:rPr>
        <w:t xml:space="preserve">15</w:t>
      </w:r>
      <w:r>
        <w:t xml:space="preserve">, 8599.</w:t>
      </w:r>
    </w:p>
    <w:bookmarkEnd w:id="63"/>
    <w:bookmarkStart w:id="65" w:name="ref-dunne2014"/>
    <w:p>
      <w:pPr>
        <w:pStyle w:val="Bibliography"/>
      </w:pPr>
      <w:r>
        <w:t xml:space="preserve">Dunne, J.A., Labandeira, C.C. &amp; Williams, R.J. (2014)</w:t>
      </w:r>
      <w:r>
        <w:t xml:space="preserve"> </w:t>
      </w:r>
      <w:hyperlink r:id="rId64">
        <w:r>
          <w:rPr>
            <w:rStyle w:val="Hyperlink"/>
          </w:rPr>
          <w:t xml:space="preserve">Highly resolved early eocene food webs show development of modern trophic structure after the end-cretaceous extinction</w:t>
        </w:r>
      </w:hyperlink>
      <w:r>
        <w:t xml:space="preserve">.</w:t>
      </w:r>
      <w:r>
        <w:t xml:space="preserve"> </w:t>
      </w:r>
      <w:r>
        <w:rPr>
          <w:i/>
          <w:iCs/>
        </w:rPr>
        <w:t xml:space="preserve">Proceedings of the Royal Society B: Biological Sciences</w:t>
      </w:r>
      <w:r>
        <w:t xml:space="preserve">,</w:t>
      </w:r>
      <w:r>
        <w:t xml:space="preserve"> </w:t>
      </w:r>
      <w:r>
        <w:rPr>
          <w:b/>
          <w:bCs/>
        </w:rPr>
        <w:t xml:space="preserve">281</w:t>
      </w:r>
      <w:r>
        <w:t xml:space="preserve">, 20133280.</w:t>
      </w:r>
    </w:p>
    <w:bookmarkEnd w:id="65"/>
    <w:bookmarkStart w:id="66" w:name="ref-dunne2002"/>
    <w:p>
      <w:pPr>
        <w:pStyle w:val="Bibliography"/>
      </w:pPr>
      <w:r>
        <w:t xml:space="preserve">Dunne, J.A., Williams, R.J. &amp; Martinez, N.D. (2002) Network structure and biodiversity loss in food webs: Robustness increases with connectance.</w:t>
      </w:r>
      <w:r>
        <w:t xml:space="preserve"> </w:t>
      </w:r>
      <w:r>
        <w:rPr>
          <w:i/>
          <w:iCs/>
        </w:rPr>
        <w:t xml:space="preserve">Ecol. Lett.</w:t>
      </w:r>
      <w:r>
        <w:t xml:space="preserve">,</w:t>
      </w:r>
      <w:r>
        <w:t xml:space="preserve"> </w:t>
      </w:r>
      <w:r>
        <w:rPr>
          <w:b/>
          <w:bCs/>
        </w:rPr>
        <w:t xml:space="preserve">5</w:t>
      </w:r>
      <w:r>
        <w:t xml:space="preserve">, 558–567.</w:t>
      </w:r>
    </w:p>
    <w:bookmarkEnd w:id="66"/>
    <w:bookmarkStart w:id="68" w:name="ref-dunne2008"/>
    <w:p>
      <w:pPr>
        <w:pStyle w:val="Bibliography"/>
      </w:pPr>
      <w:r>
        <w:t xml:space="preserve">Dunne, J.A., Williams, R.J., Martinez, N.D., Wood, R.A. &amp; Erwin, D.H. (2008)</w:t>
      </w:r>
      <w:r>
        <w:t xml:space="preserve"> </w:t>
      </w:r>
      <w:hyperlink r:id="rId67">
        <w:r>
          <w:rPr>
            <w:rStyle w:val="Hyperlink"/>
          </w:rPr>
          <w:t xml:space="preserve">Compilation and network analyses of cambrian food webs</w:t>
        </w:r>
      </w:hyperlink>
      <w:r>
        <w:t xml:space="preserve">.</w:t>
      </w:r>
      <w:r>
        <w:t xml:space="preserve"> </w:t>
      </w:r>
      <w:r>
        <w:rPr>
          <w:i/>
          <w:iCs/>
        </w:rPr>
        <w:t xml:space="preserve">PLOS Biology</w:t>
      </w:r>
      <w:r>
        <w:t xml:space="preserve">,</w:t>
      </w:r>
      <w:r>
        <w:t xml:space="preserve"> </w:t>
      </w:r>
      <w:r>
        <w:rPr>
          <w:b/>
          <w:bCs/>
        </w:rPr>
        <w:t xml:space="preserve">6</w:t>
      </w:r>
      <w:r>
        <w:t xml:space="preserve">, e102.</w:t>
      </w:r>
    </w:p>
    <w:bookmarkEnd w:id="68"/>
    <w:bookmarkStart w:id="70" w:name="ref-erdos1959"/>
    <w:p>
      <w:pPr>
        <w:pStyle w:val="Bibliography"/>
      </w:pPr>
      <w:r>
        <w:t xml:space="preserve">Erdős, P. &amp; Rényi, A. (1959)</w:t>
      </w:r>
      <w:r>
        <w:t xml:space="preserve"> </w:t>
      </w:r>
      <w:hyperlink r:id="rId69">
        <w:r>
          <w:rPr>
            <w:rStyle w:val="Hyperlink"/>
          </w:rPr>
          <w:t xml:space="preserve">On random graphs. i.</w:t>
        </w:r>
      </w:hyperlink>
      <w:r>
        <w:t xml:space="preserve"> </w:t>
      </w:r>
      <w:r>
        <w:rPr>
          <w:i/>
          <w:iCs/>
        </w:rPr>
        <w:t xml:space="preserve">Publicationes Mathematicae Debrecen</w:t>
      </w:r>
      <w:r>
        <w:t xml:space="preserve">,</w:t>
      </w:r>
      <w:r>
        <w:t xml:space="preserve"> </w:t>
      </w:r>
      <w:r>
        <w:rPr>
          <w:b/>
          <w:bCs/>
        </w:rPr>
        <w:t xml:space="preserve">6</w:t>
      </w:r>
      <w:r>
        <w:t xml:space="preserve">, 290–297.</w:t>
      </w:r>
    </w:p>
    <w:bookmarkEnd w:id="70"/>
    <w:bookmarkStart w:id="72" w:name="ref-fricke2022a"/>
    <w:p>
      <w:pPr>
        <w:pStyle w:val="Bibliography"/>
      </w:pPr>
      <w:r>
        <w:t xml:space="preserve">Fricke, E.C., Hsieh, C., Middleton, O., Gorczynski, D., Cappello, C.D., Sanisidro, O., Rowan, J., Svenning, J.-C. &amp; Beaudrot, L. (2022)</w:t>
      </w:r>
      <w:r>
        <w:t xml:space="preserve"> </w:t>
      </w:r>
      <w:hyperlink r:id="rId71">
        <w:r>
          <w:rPr>
            <w:rStyle w:val="Hyperlink"/>
          </w:rPr>
          <w:t xml:space="preserve">Collapse of terrestrial mammal food webs since the late pleistocene</w:t>
        </w:r>
      </w:hyperlink>
      <w:r>
        <w:t xml:space="preserve">.</w:t>
      </w:r>
      <w:r>
        <w:t xml:space="preserve"> </w:t>
      </w:r>
      <w:r>
        <w:rPr>
          <w:i/>
          <w:iCs/>
        </w:rPr>
        <w:t xml:space="preserve">Science</w:t>
      </w:r>
      <w:r>
        <w:t xml:space="preserve">,</w:t>
      </w:r>
      <w:r>
        <w:t xml:space="preserve"> </w:t>
      </w:r>
      <w:r>
        <w:rPr>
          <w:b/>
          <w:bCs/>
        </w:rPr>
        <w:t xml:space="preserve">377</w:t>
      </w:r>
      <w:r>
        <w:t xml:space="preserve">, 1008–1011.</w:t>
      </w:r>
    </w:p>
    <w:bookmarkEnd w:id="72"/>
    <w:bookmarkStart w:id="74" w:name="ref-fründ2016"/>
    <w:p>
      <w:pPr>
        <w:pStyle w:val="Bibliography"/>
      </w:pPr>
      <w:r>
        <w:t xml:space="preserve">Fründ, J., McCann, K.S. &amp; Williams, N.M. (2016)</w:t>
      </w:r>
      <w:r>
        <w:t xml:space="preserve"> </w:t>
      </w:r>
      <w:hyperlink r:id="rId73">
        <w:r>
          <w:rPr>
            <w:rStyle w:val="Hyperlink"/>
          </w:rPr>
          <w:t xml:space="preserve">Sampling bias is a challenge for quantifying specialization and network structure: Lessons from a quantitative niche model</w:t>
        </w:r>
      </w:hyperlink>
      <w:r>
        <w:t xml:space="preserve">.</w:t>
      </w:r>
      <w:r>
        <w:t xml:space="preserve"> </w:t>
      </w:r>
      <w:r>
        <w:rPr>
          <w:i/>
          <w:iCs/>
        </w:rPr>
        <w:t xml:space="preserve">Oikos</w:t>
      </w:r>
      <w:r>
        <w:t xml:space="preserve">,</w:t>
      </w:r>
      <w:r>
        <w:t xml:space="preserve"> </w:t>
      </w:r>
      <w:r>
        <w:rPr>
          <w:b/>
          <w:bCs/>
        </w:rPr>
        <w:t xml:space="preserve">125</w:t>
      </w:r>
      <w:r>
        <w:t xml:space="preserve">, 502–513.</w:t>
      </w:r>
    </w:p>
    <w:bookmarkEnd w:id="74"/>
    <w:bookmarkStart w:id="76" w:name="ref-gauzens2023"/>
    <w:p>
      <w:pPr>
        <w:pStyle w:val="Bibliography"/>
      </w:pPr>
      <w:r>
        <w:t xml:space="preserve">Gauzens, B., Brose, U., Delmas, E. &amp; Berti, E. (2023)</w:t>
      </w:r>
      <w:r>
        <w:t xml:space="preserve"> </w:t>
      </w:r>
      <w:hyperlink r:id="rId75">
        <w:r>
          <w:rPr>
            <w:rStyle w:val="Hyperlink"/>
          </w:rPr>
          <w:t xml:space="preserve">ATNr: Allometric trophic network models in r</w:t>
        </w:r>
      </w:hyperlink>
      <w:r>
        <w:t xml:space="preserve">.</w:t>
      </w:r>
      <w:r>
        <w:t xml:space="preserve"> </w:t>
      </w:r>
      <w:r>
        <w:rPr>
          <w:i/>
          <w:iCs/>
        </w:rPr>
        <w:t xml:space="preserve">Methods in Ecology and Evolution</w:t>
      </w:r>
      <w:r>
        <w:t xml:space="preserve">,</w:t>
      </w:r>
      <w:r>
        <w:t xml:space="preserve"> </w:t>
      </w:r>
      <w:r>
        <w:rPr>
          <w:b/>
          <w:bCs/>
        </w:rPr>
        <w:t xml:space="preserve">14</w:t>
      </w:r>
      <w:r>
        <w:t xml:space="preserve">, 2766–2773.</w:t>
      </w:r>
    </w:p>
    <w:bookmarkEnd w:id="76"/>
    <w:bookmarkStart w:id="78" w:name="ref-gauzens2025"/>
    <w:p>
      <w:pPr>
        <w:pStyle w:val="Bibliography"/>
      </w:pPr>
      <w:r>
        <w:t xml:space="preserve">Gauzens, B., Thouvenot, L., Srivastava, D.S., Kratina, P., Romero, G.Q., Berti, E., O’Gorman, E.J., González, A.L., Dézerald, O., Eisenhauer, N., Pires, M., Ryser, R., Farjalla, V.F., Rogy, P., Brose, U., Petermann, J.S., Geslin, B. &amp; Hines, J. (2025)</w:t>
      </w:r>
      <w:r>
        <w:t xml:space="preserve"> </w:t>
      </w:r>
      <w:hyperlink r:id="rId77">
        <w:r>
          <w:rPr>
            <w:rStyle w:val="Hyperlink"/>
          </w:rPr>
          <w:t xml:space="preserve">Tailoring interaction network types to answer different ecological questions</w:t>
        </w:r>
      </w:hyperlink>
      <w:r>
        <w:t xml:space="preserve">.</w:t>
      </w:r>
      <w:r>
        <w:t xml:space="preserve"> </w:t>
      </w:r>
      <w:r>
        <w:rPr>
          <w:i/>
          <w:iCs/>
        </w:rPr>
        <w:t xml:space="preserve">Nature Reviews Biodiversity</w:t>
      </w:r>
      <w:r>
        <w:t xml:space="preserve">, 1–10.</w:t>
      </w:r>
    </w:p>
    <w:bookmarkEnd w:id="78"/>
    <w:bookmarkStart w:id="80" w:name="ref-gilman2010"/>
    <w:p>
      <w:pPr>
        <w:pStyle w:val="Bibliography"/>
      </w:pPr>
      <w:r>
        <w:t xml:space="preserve">Gilman, S.E., Urban, M.C., Tewksbury, J., Gilchrist, G.W. &amp; Holt, R.D. (2010)</w:t>
      </w:r>
      <w:r>
        <w:t xml:space="preserve"> </w:t>
      </w:r>
      <w:hyperlink r:id="rId79">
        <w:r>
          <w:rPr>
            <w:rStyle w:val="Hyperlink"/>
          </w:rPr>
          <w:t xml:space="preserve">A framework for community interactions under climate change</w:t>
        </w:r>
      </w:hyperlink>
      <w:r>
        <w:t xml:space="preserve">.</w:t>
      </w:r>
      <w:r>
        <w:t xml:space="preserve"> </w:t>
      </w:r>
      <w:r>
        <w:rPr>
          <w:i/>
          <w:iCs/>
        </w:rPr>
        <w:t xml:space="preserve">Trends in Ecology &amp; Evolution</w:t>
      </w:r>
      <w:r>
        <w:t xml:space="preserve">,</w:t>
      </w:r>
      <w:r>
        <w:t xml:space="preserve"> </w:t>
      </w:r>
      <w:r>
        <w:rPr>
          <w:b/>
          <w:bCs/>
        </w:rPr>
        <w:t xml:space="preserve">25</w:t>
      </w:r>
      <w:r>
        <w:t xml:space="preserve">, 325–331.</w:t>
      </w:r>
    </w:p>
    <w:bookmarkEnd w:id="80"/>
    <w:bookmarkStart w:id="82" w:name="ref-gravel2019"/>
    <w:p>
      <w:pPr>
        <w:pStyle w:val="Bibliography"/>
      </w:pPr>
      <w:r>
        <w:t xml:space="preserve">Gravel, D., Baiser, B., Dunne, J.A., Kopelke, J.-P., Martinez, N.D., Nyman, T., Poisot, T., Stouffer, D.B., Tylianakis, J.M., Wood, S.A. &amp; Roslin, T. (2019)</w:t>
      </w:r>
      <w:r>
        <w:t xml:space="preserve"> </w:t>
      </w:r>
      <w:hyperlink r:id="rId81">
        <w:r>
          <w:rPr>
            <w:rStyle w:val="Hyperlink"/>
          </w:rPr>
          <w:t xml:space="preserve">Bringing elton and grinnell together: A quantitative framework to represent the biogeography of ecological interaction networks</w:t>
        </w:r>
      </w:hyperlink>
      <w:r>
        <w:t xml:space="preserve">.</w:t>
      </w:r>
      <w:r>
        <w:t xml:space="preserve"> </w:t>
      </w:r>
      <w:r>
        <w:rPr>
          <w:i/>
          <w:iCs/>
        </w:rPr>
        <w:t xml:space="preserve">Ecography</w:t>
      </w:r>
      <w:r>
        <w:t xml:space="preserve">,</w:t>
      </w:r>
      <w:r>
        <w:t xml:space="preserve"> </w:t>
      </w:r>
      <w:r>
        <w:rPr>
          <w:b/>
          <w:bCs/>
        </w:rPr>
        <w:t xml:space="preserve">42</w:t>
      </w:r>
      <w:r>
        <w:t xml:space="preserve">, 401–415.</w:t>
      </w:r>
    </w:p>
    <w:bookmarkEnd w:id="82"/>
    <w:bookmarkStart w:id="84" w:name="ref-guimarães2020"/>
    <w:p>
      <w:pPr>
        <w:pStyle w:val="Bibliography"/>
      </w:pPr>
      <w:r>
        <w:t xml:space="preserve">Guimarães, P.R. (2020)</w:t>
      </w:r>
      <w:r>
        <w:t xml:space="preserve"> </w:t>
      </w:r>
      <w:hyperlink r:id="rId83">
        <w:r>
          <w:rPr>
            <w:rStyle w:val="Hyperlink"/>
          </w:rPr>
          <w:t xml:space="preserve">The structure of ecological networks across levels of organization</w:t>
        </w:r>
      </w:hyperlink>
      <w:r>
        <w:t xml:space="preserve">.</w:t>
      </w:r>
      <w:r>
        <w:t xml:space="preserve"> </w:t>
      </w:r>
      <w:r>
        <w:rPr>
          <w:i/>
          <w:iCs/>
        </w:rPr>
        <w:t xml:space="preserve">Annual Review of Ecology, Evolution, and Systematics</w:t>
      </w:r>
      <w:r>
        <w:t xml:space="preserve">,</w:t>
      </w:r>
      <w:r>
        <w:t xml:space="preserve"> </w:t>
      </w:r>
      <w:r>
        <w:rPr>
          <w:b/>
          <w:bCs/>
        </w:rPr>
        <w:t xml:space="preserve">51</w:t>
      </w:r>
      <w:r>
        <w:t xml:space="preserve">.</w:t>
      </w:r>
    </w:p>
    <w:bookmarkEnd w:id="84"/>
    <w:bookmarkStart w:id="86" w:name="ref-hao2025"/>
    <w:p>
      <w:pPr>
        <w:pStyle w:val="Bibliography"/>
      </w:pPr>
      <w:r>
        <w:t xml:space="preserve">Hao, X., Holyoak, M., Zhang, Z. &amp; Yan, C. (2025)</w:t>
      </w:r>
      <w:r>
        <w:t xml:space="preserve"> </w:t>
      </w:r>
      <w:hyperlink r:id="rId85">
        <w:r>
          <w:rPr>
            <w:rStyle w:val="Hyperlink"/>
          </w:rPr>
          <w:t xml:space="preserve">Global projection of terrestrial vertebrate food webs under future climate and land-use changes</w:t>
        </w:r>
      </w:hyperlink>
      <w:r>
        <w:t xml:space="preserve">.</w:t>
      </w:r>
      <w:r>
        <w:t xml:space="preserve"> </w:t>
      </w:r>
      <w:r>
        <w:rPr>
          <w:i/>
          <w:iCs/>
        </w:rPr>
        <w:t xml:space="preserve">Global Change Biology</w:t>
      </w:r>
      <w:r>
        <w:t xml:space="preserve">,</w:t>
      </w:r>
      <w:r>
        <w:t xml:space="preserve"> </w:t>
      </w:r>
      <w:r>
        <w:rPr>
          <w:b/>
          <w:bCs/>
        </w:rPr>
        <w:t xml:space="preserve">31</w:t>
      </w:r>
      <w:r>
        <w:t xml:space="preserve">, e70061.</w:t>
      </w:r>
    </w:p>
    <w:bookmarkEnd w:id="86"/>
    <w:bookmarkStart w:id="88" w:name="ref-jordano2016"/>
    <w:p>
      <w:pPr>
        <w:pStyle w:val="Bibliography"/>
      </w:pPr>
      <w:r>
        <w:t xml:space="preserve">Jordano, P. (2016)</w:t>
      </w:r>
      <w:r>
        <w:t xml:space="preserve"> </w:t>
      </w:r>
      <w:hyperlink r:id="rId87">
        <w:r>
          <w:rPr>
            <w:rStyle w:val="Hyperlink"/>
          </w:rPr>
          <w:t xml:space="preserve">Sampling networks of ecological interactions</w:t>
        </w:r>
      </w:hyperlink>
      <w:r>
        <w:t xml:space="preserve">.</w:t>
      </w:r>
      <w:r>
        <w:t xml:space="preserve"> </w:t>
      </w:r>
      <w:r>
        <w:rPr>
          <w:i/>
          <w:iCs/>
        </w:rPr>
        <w:t xml:space="preserve">Functional Ecology</w:t>
      </w:r>
      <w:r>
        <w:t xml:space="preserve">.</w:t>
      </w:r>
    </w:p>
    <w:bookmarkEnd w:id="88"/>
    <w:bookmarkStart w:id="90" w:name="ref-karapunar2026"/>
    <w:p>
      <w:pPr>
        <w:pStyle w:val="Bibliography"/>
      </w:pPr>
      <w:r>
        <w:t xml:space="preserve">Karapunar, B., Strydom, T., Beckerman, A.P., Ridgwell, A., Wignall, P.B., Dunne, J.A., Little, C.T.S., Hull, P., Pimiento, C. &amp; Dunhill, A. (2026)</w:t>
      </w:r>
      <w:r>
        <w:t xml:space="preserve"> </w:t>
      </w:r>
      <w:hyperlink r:id="rId89">
        <w:r>
          <w:rPr>
            <w:rStyle w:val="Hyperlink"/>
          </w:rPr>
          <w:t xml:space="preserve">No global collapse of food webs across the permian-triassic mass extinction</w:t>
        </w:r>
      </w:hyperlink>
      <w:r>
        <w:t xml:space="preserve">.</w:t>
      </w:r>
      <w:r>
        <w:t xml:space="preserve"> </w:t>
      </w:r>
      <w:r>
        <w:rPr>
          <w:i/>
          <w:iCs/>
        </w:rPr>
        <w:t xml:space="preserve">BioRxiv</w:t>
      </w:r>
      <w:r>
        <w:t xml:space="preserve">.</w:t>
      </w:r>
    </w:p>
    <w:bookmarkEnd w:id="90"/>
    <w:bookmarkStart w:id="92" w:name="ref-kemp2024"/>
    <w:p>
      <w:pPr>
        <w:pStyle w:val="Bibliography"/>
      </w:pPr>
      <w:r>
        <w:t xml:space="preserve">Kemp, D.B., Han, Z., Hu, X., Chen, W., Jin, S., Izumi, K., Yan, Q., Baranyi, V., Jin, X., Corso, J.D. &amp; Ge, Y. (2024)</w:t>
      </w:r>
      <w:r>
        <w:t xml:space="preserve"> </w:t>
      </w:r>
      <w:hyperlink r:id="rId91">
        <w:r>
          <w:rPr>
            <w:rStyle w:val="Hyperlink"/>
          </w:rPr>
          <w:t xml:space="preserve">Global hydroclimate perturbations during the toarcian oceanic anoxic event</w:t>
        </w:r>
      </w:hyperlink>
      <w:r>
        <w:t xml:space="preserve">.</w:t>
      </w:r>
      <w:r>
        <w:t xml:space="preserve"> </w:t>
      </w:r>
      <w:r>
        <w:rPr>
          <w:i/>
          <w:iCs/>
        </w:rPr>
        <w:t xml:space="preserve">Earth-Science Reviews</w:t>
      </w:r>
      <w:r>
        <w:t xml:space="preserve">,</w:t>
      </w:r>
      <w:r>
        <w:t xml:space="preserve"> </w:t>
      </w:r>
      <w:r>
        <w:rPr>
          <w:b/>
          <w:bCs/>
        </w:rPr>
        <w:t xml:space="preserve">258</w:t>
      </w:r>
      <w:r>
        <w:t xml:space="preserve">, 104946.</w:t>
      </w:r>
    </w:p>
    <w:bookmarkEnd w:id="92"/>
    <w:bookmarkStart w:id="94" w:name="ref-marjakangas2025"/>
    <w:p>
      <w:pPr>
        <w:pStyle w:val="Bibliography"/>
      </w:pPr>
      <w:r>
        <w:t xml:space="preserve">Marjakangas, E.-L., Dalsgaard, B. &amp; Ordonez, A. (2025)</w:t>
      </w:r>
      <w:r>
        <w:t xml:space="preserve"> </w:t>
      </w:r>
      <w:hyperlink r:id="rId93">
        <w:r>
          <w:rPr>
            <w:rStyle w:val="Hyperlink"/>
          </w:rPr>
          <w:t xml:space="preserve">Fundamental interaction niches: Towards a functional understanding of ecological networks’ resilience</w:t>
        </w:r>
      </w:hyperlink>
      <w:r>
        <w:t xml:space="preserve">.</w:t>
      </w:r>
      <w:r>
        <w:t xml:space="preserve"> </w:t>
      </w:r>
      <w:r>
        <w:rPr>
          <w:i/>
          <w:iCs/>
        </w:rPr>
        <w:t xml:space="preserve">Ecology Letters</w:t>
      </w:r>
      <w:r>
        <w:t xml:space="preserve">,</w:t>
      </w:r>
      <w:r>
        <w:t xml:space="preserve"> </w:t>
      </w:r>
      <w:r>
        <w:rPr>
          <w:b/>
          <w:bCs/>
        </w:rPr>
        <w:t xml:space="preserve">28</w:t>
      </w:r>
      <w:r>
        <w:t xml:space="preserve">, e70146.</w:t>
      </w:r>
    </w:p>
    <w:bookmarkEnd w:id="94"/>
    <w:bookmarkStart w:id="96" w:name="ref-michalska-smith2019"/>
    <w:p>
      <w:pPr>
        <w:pStyle w:val="Bibliography"/>
      </w:pPr>
      <w:r>
        <w:t xml:space="preserve">Michalska-Smith, M.J. &amp; Allesina, S. (2019)</w:t>
      </w:r>
      <w:r>
        <w:t xml:space="preserve"> </w:t>
      </w:r>
      <w:hyperlink r:id="rId95">
        <w:r>
          <w:rPr>
            <w:rStyle w:val="Hyperlink"/>
          </w:rPr>
          <w:t xml:space="preserve">Telling ecological networks apart by their structure: A computational challenge</w:t>
        </w:r>
      </w:hyperlink>
      <w:r>
        <w:t xml:space="preserve">.</w:t>
      </w:r>
      <w:r>
        <w:t xml:space="preserve"> </w:t>
      </w:r>
      <w:r>
        <w:rPr>
          <w:i/>
          <w:iCs/>
        </w:rPr>
        <w:t xml:space="preserve">PLOS Computational Biology</w:t>
      </w:r>
      <w:r>
        <w:t xml:space="preserve">,</w:t>
      </w:r>
      <w:r>
        <w:t xml:space="preserve"> </w:t>
      </w:r>
      <w:r>
        <w:rPr>
          <w:b/>
          <w:bCs/>
        </w:rPr>
        <w:t xml:space="preserve">15</w:t>
      </w:r>
      <w:r>
        <w:t xml:space="preserve">, e1007076.</w:t>
      </w:r>
    </w:p>
    <w:bookmarkEnd w:id="96"/>
    <w:bookmarkStart w:id="98" w:name="ref-milo2002"/>
    <w:p>
      <w:pPr>
        <w:pStyle w:val="Bibliography"/>
      </w:pPr>
      <w:r>
        <w:t xml:space="preserve">Milo, R., Shen-Orr, S., Itzkovitz, S., Kashtan, N., Chklovskii, D. &amp; Alon, U. (2002)</w:t>
      </w:r>
      <w:r>
        <w:t xml:space="preserve"> </w:t>
      </w:r>
      <w:hyperlink r:id="rId97">
        <w:r>
          <w:rPr>
            <w:rStyle w:val="Hyperlink"/>
          </w:rPr>
          <w:t xml:space="preserve">Network motifs: Simple building blocks of complex networks</w:t>
        </w:r>
      </w:hyperlink>
      <w:r>
        <w:t xml:space="preserve">.</w:t>
      </w:r>
      <w:r>
        <w:t xml:space="preserve"> </w:t>
      </w:r>
      <w:r>
        <w:rPr>
          <w:i/>
          <w:iCs/>
        </w:rPr>
        <w:t xml:space="preserve">Science</w:t>
      </w:r>
      <w:r>
        <w:t xml:space="preserve">,</w:t>
      </w:r>
      <w:r>
        <w:t xml:space="preserve"> </w:t>
      </w:r>
      <w:r>
        <w:rPr>
          <w:b/>
          <w:bCs/>
        </w:rPr>
        <w:t xml:space="preserve">298</w:t>
      </w:r>
      <w:r>
        <w:t xml:space="preserve">, 824–827.</w:t>
      </w:r>
    </w:p>
    <w:bookmarkEnd w:id="98"/>
    <w:bookmarkStart w:id="100" w:name="ref-morales-castilla2015"/>
    <w:p>
      <w:pPr>
        <w:pStyle w:val="Bibliography"/>
      </w:pPr>
      <w:r>
        <w:t xml:space="preserve">Morales-Castilla, I., Matias, M.G., Gravel, D. &amp; Araújo, M.B. (2015)</w:t>
      </w:r>
      <w:r>
        <w:t xml:space="preserve"> </w:t>
      </w:r>
      <w:hyperlink r:id="rId99">
        <w:r>
          <w:rPr>
            <w:rStyle w:val="Hyperlink"/>
          </w:rPr>
          <w:t xml:space="preserve">Inferring biotic interactions from proxies</w:t>
        </w:r>
      </w:hyperlink>
      <w:r>
        <w:t xml:space="preserve">.</w:t>
      </w:r>
      <w:r>
        <w:t xml:space="preserve"> </w:t>
      </w:r>
      <w:r>
        <w:rPr>
          <w:i/>
          <w:iCs/>
        </w:rPr>
        <w:t xml:space="preserve">Trends in Ecology &amp; Evolution</w:t>
      </w:r>
      <w:r>
        <w:t xml:space="preserve">,</w:t>
      </w:r>
      <w:r>
        <w:t xml:space="preserve"> </w:t>
      </w:r>
      <w:r>
        <w:rPr>
          <w:b/>
          <w:bCs/>
        </w:rPr>
        <w:t xml:space="preserve">30</w:t>
      </w:r>
      <w:r>
        <w:t xml:space="preserve">, 347–356.</w:t>
      </w:r>
    </w:p>
    <w:bookmarkEnd w:id="100"/>
    <w:bookmarkStart w:id="102" w:name="ref-pellissier2018"/>
    <w:p>
      <w:pPr>
        <w:pStyle w:val="Bibliography"/>
      </w:pPr>
      <w:r>
        <w:t xml:space="preserve">Pellissier, L., Albouy, C., Bascompte, J., Farwig, N., Graham, C., Loreau, M., Maglianesi, M.A., Melián, C.J., Pitteloud, C., Roslin, T., Rohr, R., Saavedra, S., Thuiller, W., Woodward, G., Zimmermann, N.E. &amp; Gravel, D. (2018)</w:t>
      </w:r>
      <w:r>
        <w:t xml:space="preserve"> </w:t>
      </w:r>
      <w:hyperlink r:id="rId101">
        <w:r>
          <w:rPr>
            <w:rStyle w:val="Hyperlink"/>
          </w:rPr>
          <w:t xml:space="preserve">Comparing species interaction networks along environmental gradients</w:t>
        </w:r>
      </w:hyperlink>
      <w:r>
        <w:t xml:space="preserve">.</w:t>
      </w:r>
      <w:r>
        <w:t xml:space="preserve"> </w:t>
      </w:r>
      <w:r>
        <w:rPr>
          <w:i/>
          <w:iCs/>
        </w:rPr>
        <w:t xml:space="preserve">Biological Reviews</w:t>
      </w:r>
      <w:r>
        <w:t xml:space="preserve">,</w:t>
      </w:r>
      <w:r>
        <w:t xml:space="preserve"> </w:t>
      </w:r>
      <w:r>
        <w:rPr>
          <w:b/>
          <w:bCs/>
        </w:rPr>
        <w:t xml:space="preserve">93</w:t>
      </w:r>
      <w:r>
        <w:t xml:space="preserve">, 785–800.</w:t>
      </w:r>
    </w:p>
    <w:bookmarkEnd w:id="102"/>
    <w:bookmarkStart w:id="104" w:name="ref-petchey2011"/>
    <w:p>
      <w:pPr>
        <w:pStyle w:val="Bibliography"/>
      </w:pPr>
      <w:r>
        <w:t xml:space="preserve">Petchey, O.L., Beckerman, A.P., Riede, J.O. &amp; Warren, P.H. (2011)</w:t>
      </w:r>
      <w:r>
        <w:t xml:space="preserve"> </w:t>
      </w:r>
      <w:hyperlink r:id="rId103">
        <w:r>
          <w:rPr>
            <w:rStyle w:val="Hyperlink"/>
          </w:rPr>
          <w:t xml:space="preserve">Fit, efficiency, and biology: Some thoughts on judging food web models</w:t>
        </w:r>
      </w:hyperlink>
      <w:r>
        <w:t xml:space="preserve">.</w:t>
      </w:r>
      <w:r>
        <w:t xml:space="preserve"> </w:t>
      </w:r>
      <w:r>
        <w:rPr>
          <w:i/>
          <w:iCs/>
        </w:rPr>
        <w:t xml:space="preserve">Journal of Theoretical Biology</w:t>
      </w:r>
      <w:r>
        <w:t xml:space="preserve">,</w:t>
      </w:r>
      <w:r>
        <w:t xml:space="preserve"> </w:t>
      </w:r>
      <w:r>
        <w:rPr>
          <w:b/>
          <w:bCs/>
        </w:rPr>
        <w:t xml:space="preserve">279</w:t>
      </w:r>
      <w:r>
        <w:t xml:space="preserve">, 169–171.</w:t>
      </w:r>
    </w:p>
    <w:bookmarkEnd w:id="104"/>
    <w:bookmarkStart w:id="106" w:name="ref-petchey2008"/>
    <w:p>
      <w:pPr>
        <w:pStyle w:val="Bibliography"/>
      </w:pPr>
      <w:r>
        <w:t xml:space="preserve">Petchey, O.L., Beckerman, A.P., Riede, J.O. &amp; Warren, P.H. (2008)</w:t>
      </w:r>
      <w:r>
        <w:t xml:space="preserve"> </w:t>
      </w:r>
      <w:hyperlink r:id="rId105">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w:t>
      </w:r>
      <w:r>
        <w:t xml:space="preserve"> </w:t>
      </w:r>
      <w:r>
        <w:rPr>
          <w:b/>
          <w:bCs/>
        </w:rPr>
        <w:t xml:space="preserve">105</w:t>
      </w:r>
      <w:r>
        <w:t xml:space="preserve">, 4191–4196.</w:t>
      </w:r>
    </w:p>
    <w:bookmarkEnd w:id="106"/>
    <w:bookmarkStart w:id="108" w:name="ref-poisot2021"/>
    <w:p>
      <w:pPr>
        <w:pStyle w:val="Bibliography"/>
      </w:pPr>
      <w:r>
        <w:t xml:space="preserve">Poisot, T., Bergeron, G., Cazelles, K., Dallas, T., Gravel, D., MacDonald, A., Mercier, B., Violet, C. &amp; Vissault, S. (2021)</w:t>
      </w:r>
      <w:r>
        <w:t xml:space="preserve"> </w:t>
      </w:r>
      <w:hyperlink r:id="rId107">
        <w:r>
          <w:rPr>
            <w:rStyle w:val="Hyperlink"/>
          </w:rPr>
          <w:t xml:space="preserve">Global knowledge gaps in species interaction networks data</w:t>
        </w:r>
      </w:hyperlink>
      <w:r>
        <w:t xml:space="preserve">.</w:t>
      </w:r>
      <w:r>
        <w:t xml:space="preserve"> </w:t>
      </w:r>
      <w:r>
        <w:rPr>
          <w:i/>
          <w:iCs/>
        </w:rPr>
        <w:t xml:space="preserve">Journal of Biogeography</w:t>
      </w:r>
      <w:r>
        <w:t xml:space="preserve">, jbi.14127.</w:t>
      </w:r>
    </w:p>
    <w:bookmarkEnd w:id="108"/>
    <w:bookmarkStart w:id="110" w:name="ref-poisot2012a"/>
    <w:p>
      <w:pPr>
        <w:pStyle w:val="Bibliography"/>
      </w:pPr>
      <w:r>
        <w:t xml:space="preserve">Poisot, T., Canard, E., Mouillot, D., Mouquet, N. &amp; Gravel, D. (2012)</w:t>
      </w:r>
      <w:r>
        <w:t xml:space="preserve"> </w:t>
      </w:r>
      <w:hyperlink r:id="rId109">
        <w:r>
          <w:rPr>
            <w:rStyle w:val="Hyperlink"/>
          </w:rPr>
          <w:t xml:space="preserve">The dissimilarity of species interaction networks</w:t>
        </w:r>
      </w:hyperlink>
      <w:r>
        <w:t xml:space="preserve">.</w:t>
      </w:r>
      <w:r>
        <w:t xml:space="preserve"> </w:t>
      </w:r>
      <w:r>
        <w:rPr>
          <w:i/>
          <w:iCs/>
        </w:rPr>
        <w:t xml:space="preserve">Ecology Letters</w:t>
      </w:r>
      <w:r>
        <w:t xml:space="preserve">,</w:t>
      </w:r>
      <w:r>
        <w:t xml:space="preserve"> </w:t>
      </w:r>
      <w:r>
        <w:rPr>
          <w:b/>
          <w:bCs/>
        </w:rPr>
        <w:t xml:space="preserve">15</w:t>
      </w:r>
      <w:r>
        <w:t xml:space="preserve">, 1353–1361.</w:t>
      </w:r>
    </w:p>
    <w:bookmarkEnd w:id="110"/>
    <w:bookmarkStart w:id="112" w:name="ref-poisot2016"/>
    <w:p>
      <w:pPr>
        <w:pStyle w:val="Bibliography"/>
      </w:pPr>
      <w:r>
        <w:t xml:space="preserve">Poisot, T., Cirtwill, A., Cazelles, K., Gravel, D., Fortin, M.-J. &amp; Stouffer, D. (2016)</w:t>
      </w:r>
      <w:r>
        <w:t xml:space="preserve"> </w:t>
      </w:r>
      <w:hyperlink r:id="rId111">
        <w:r>
          <w:rPr>
            <w:rStyle w:val="Hyperlink"/>
          </w:rPr>
          <w:t xml:space="preserve">The structure of probabilistic networks</w:t>
        </w:r>
      </w:hyperlink>
      <w:r>
        <w:t xml:space="preserve">.</w:t>
      </w:r>
      <w:r>
        <w:t xml:space="preserve"> </w:t>
      </w:r>
      <w:r>
        <w:rPr>
          <w:i/>
          <w:iCs/>
        </w:rPr>
        <w:t xml:space="preserve">Methods in Ecology and Evolution</w:t>
      </w:r>
      <w:r>
        <w:t xml:space="preserve">,</w:t>
      </w:r>
      <w:r>
        <w:t xml:space="preserve"> </w:t>
      </w:r>
      <w:r>
        <w:rPr>
          <w:b/>
          <w:bCs/>
        </w:rPr>
        <w:t xml:space="preserve">7</w:t>
      </w:r>
      <w:r>
        <w:t xml:space="preserve">, 303312.</w:t>
      </w:r>
    </w:p>
    <w:bookmarkEnd w:id="112"/>
    <w:bookmarkStart w:id="114" w:name="ref-poisot2014"/>
    <w:p>
      <w:pPr>
        <w:pStyle w:val="Bibliography"/>
      </w:pPr>
      <w:r>
        <w:t xml:space="preserve">Poisot, T. &amp; Gravel, D. (2014)</w:t>
      </w:r>
      <w:r>
        <w:t xml:space="preserve"> </w:t>
      </w:r>
      <w:hyperlink r:id="rId113">
        <w:r>
          <w:rPr>
            <w:rStyle w:val="Hyperlink"/>
          </w:rPr>
          <w:t xml:space="preserve">When is an ecological network complex? Connectance drives degree distribution and emerging network properties</w:t>
        </w:r>
      </w:hyperlink>
      <w:r>
        <w:t xml:space="preserve">.</w:t>
      </w:r>
      <w:r>
        <w:t xml:space="preserve"> </w:t>
      </w:r>
      <w:r>
        <w:rPr>
          <w:i/>
          <w:iCs/>
        </w:rPr>
        <w:t xml:space="preserve">PeerJ</w:t>
      </w:r>
      <w:r>
        <w:t xml:space="preserve">,</w:t>
      </w:r>
      <w:r>
        <w:t xml:space="preserve"> </w:t>
      </w:r>
      <w:r>
        <w:rPr>
          <w:b/>
          <w:bCs/>
        </w:rPr>
        <w:t xml:space="preserve">2</w:t>
      </w:r>
      <w:r>
        <w:t xml:space="preserve">, e251.</w:t>
      </w:r>
    </w:p>
    <w:bookmarkEnd w:id="114"/>
    <w:bookmarkStart w:id="116" w:name="ref-poisot2015"/>
    <w:p>
      <w:pPr>
        <w:pStyle w:val="Bibliography"/>
      </w:pPr>
      <w:r>
        <w:t xml:space="preserve">Poisot, T., Stouffer, D.B. &amp; Gravel, D. (2015)</w:t>
      </w:r>
      <w:r>
        <w:t xml:space="preserve"> </w:t>
      </w:r>
      <w:hyperlink r:id="rId115">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w:t>
      </w:r>
      <w:r>
        <w:t xml:space="preserve"> </w:t>
      </w:r>
      <w:r>
        <w:rPr>
          <w:b/>
          <w:bCs/>
        </w:rPr>
        <w:t xml:space="preserve">124</w:t>
      </w:r>
      <w:r>
        <w:t xml:space="preserve">, 243–251.</w:t>
      </w:r>
    </w:p>
    <w:bookmarkEnd w:id="116"/>
    <w:bookmarkStart w:id="118" w:name="ref-RCoreTeam2024"/>
    <w:p>
      <w:pPr>
        <w:pStyle w:val="Bibliography"/>
      </w:pPr>
      <w:r>
        <w:t xml:space="preserve">R Core Team (2024)</w:t>
      </w:r>
      <w:r>
        <w:t xml:space="preserve"> </w:t>
      </w:r>
      <w:hyperlink r:id="rId117">
        <w:r>
          <w:rPr>
            <w:rStyle w:val="Hyperlink"/>
            <w:i/>
            <w:iCs/>
          </w:rPr>
          <w:t xml:space="preserve">R: A language and environment for statistical computing</w:t>
        </w:r>
      </w:hyperlink>
      <w:r>
        <w:t xml:space="preserve">, R Foundation for Statistical Computing, Vienna, Austria.</w:t>
      </w:r>
    </w:p>
    <w:bookmarkEnd w:id="118"/>
    <w:bookmarkStart w:id="120" w:name="ref-rohr2010"/>
    <w:p>
      <w:pPr>
        <w:pStyle w:val="Bibliography"/>
      </w:pPr>
      <w:r>
        <w:t xml:space="preserve">Rohr, R., Scherer, H., Kehrli, P., Mazza, C. &amp; Bersier, L.-F. (2010)</w:t>
      </w:r>
      <w:r>
        <w:t xml:space="preserve"> </w:t>
      </w:r>
      <w:hyperlink r:id="rId119">
        <w:r>
          <w:rPr>
            <w:rStyle w:val="Hyperlink"/>
          </w:rPr>
          <w:t xml:space="preserve">Modeling food webs: Exploring unexplained structure using latent traits.</w:t>
        </w:r>
      </w:hyperlink>
      <w:r>
        <w:t xml:space="preserve"> </w:t>
      </w:r>
      <w:r>
        <w:rPr>
          <w:i/>
          <w:iCs/>
        </w:rPr>
        <w:t xml:space="preserve">The American Naturalist</w:t>
      </w:r>
      <w:r>
        <w:t xml:space="preserve">,</w:t>
      </w:r>
      <w:r>
        <w:t xml:space="preserve"> </w:t>
      </w:r>
      <w:r>
        <w:rPr>
          <w:b/>
          <w:bCs/>
        </w:rPr>
        <w:t xml:space="preserve">176</w:t>
      </w:r>
      <w:r>
        <w:t xml:space="preserve">, 170–177.</w:t>
      </w:r>
    </w:p>
    <w:bookmarkEnd w:id="120"/>
    <w:bookmarkStart w:id="122" w:name="ref-roopnarine2006"/>
    <w:p>
      <w:pPr>
        <w:pStyle w:val="Bibliography"/>
      </w:pPr>
      <w:r>
        <w:t xml:space="preserve">Roopnarine, P.D. (2006)</w:t>
      </w:r>
      <w:r>
        <w:t xml:space="preserve"> </w:t>
      </w:r>
      <w:hyperlink r:id="rId121">
        <w:r>
          <w:rPr>
            <w:rStyle w:val="Hyperlink"/>
          </w:rPr>
          <w:t xml:space="preserve">Extinction cascades and catastrophe in ancient food webs</w:t>
        </w:r>
      </w:hyperlink>
      <w:r>
        <w:t xml:space="preserve">.</w:t>
      </w:r>
      <w:r>
        <w:t xml:space="preserve"> </w:t>
      </w:r>
      <w:r>
        <w:rPr>
          <w:i/>
          <w:iCs/>
        </w:rPr>
        <w:t xml:space="preserve">Paleobiology</w:t>
      </w:r>
      <w:r>
        <w:t xml:space="preserve">,</w:t>
      </w:r>
      <w:r>
        <w:t xml:space="preserve"> </w:t>
      </w:r>
      <w:r>
        <w:rPr>
          <w:b/>
          <w:bCs/>
        </w:rPr>
        <w:t xml:space="preserve">32</w:t>
      </w:r>
      <w:r>
        <w:t xml:space="preserve">, 1–19.</w:t>
      </w:r>
    </w:p>
    <w:bookmarkEnd w:id="122"/>
    <w:bookmarkStart w:id="124" w:name="ref-sandra2025"/>
    <w:p>
      <w:pPr>
        <w:pStyle w:val="Bibliography"/>
      </w:pPr>
      <w:r>
        <w:t xml:space="preserve">Sandra, H.-P., Traveset, A., Nogales, M., Heleno, R., Llewelyn, J. &amp; Strona, G. (2025)</w:t>
      </w:r>
      <w:r>
        <w:t xml:space="preserve"> </w:t>
      </w:r>
      <w:hyperlink r:id="rId123">
        <w:r>
          <w:rPr>
            <w:rStyle w:val="Hyperlink"/>
          </w:rPr>
          <w:t xml:space="preserve">Sampling biases across interaction types affect the robustness of ecological multilayer networks</w:t>
        </w:r>
      </w:hyperlink>
      <w:r>
        <w:t xml:space="preserve">.</w:t>
      </w:r>
      <w:r>
        <w:t xml:space="preserve"> </w:t>
      </w:r>
      <w:r>
        <w:rPr>
          <w:i/>
          <w:iCs/>
        </w:rPr>
        <w:t xml:space="preserve">Ecological Informatics</w:t>
      </w:r>
      <w:r>
        <w:t xml:space="preserve">, 103183.</w:t>
      </w:r>
    </w:p>
    <w:bookmarkEnd w:id="124"/>
    <w:bookmarkStart w:id="126" w:name="ref-shaw2024"/>
    <w:p>
      <w:pPr>
        <w:pStyle w:val="Bibliography"/>
      </w:pPr>
      <w:r>
        <w:t xml:space="preserve">Shaw, J.O., Dunhill, A.M., Beckerman, A.P., Dunne, J.A. &amp; Hull, P.M. (2024)</w:t>
      </w:r>
      <w:r>
        <w:t xml:space="preserve"> </w:t>
      </w:r>
      <w:hyperlink r:id="rId125">
        <w:r>
          <w:rPr>
            <w:rStyle w:val="Hyperlink"/>
          </w:rPr>
          <w:t xml:space="preserve">A framework for reconstructing ancient food webs using functional trait data</w:t>
        </w:r>
      </w:hyperlink>
      <w:r>
        <w:t xml:space="preserve">. 2024.01.30.578036.</w:t>
      </w:r>
    </w:p>
    <w:bookmarkEnd w:id="126"/>
    <w:bookmarkStart w:id="128" w:name="ref-smith2025"/>
    <w:p>
      <w:pPr>
        <w:pStyle w:val="Bibliography"/>
      </w:pPr>
      <w:r>
        <w:t xml:space="preserve">Smith, Q.A., Tomé, C.P., Gearty, W., Smith, F.A., Shizuka, D. &amp; Lyons, S.K. (2025)</w:t>
      </w:r>
      <w:r>
        <w:t xml:space="preserve"> </w:t>
      </w:r>
      <w:hyperlink r:id="rId127">
        <w:r>
          <w:rPr>
            <w:rStyle w:val="Hyperlink"/>
          </w:rPr>
          <w:t xml:space="preserve">Consequences of the megafauna extinction: Changes in food web networks on the edwards plateau across the pleistocene</w:t>
        </w:r>
        <w:r>
          <w:rPr>
            <w:rStyle w:val="Hyperlink"/>
          </w:rPr>
          <w:t xml:space="preserve">holocene transition</w:t>
        </w:r>
      </w:hyperlink>
      <w:r>
        <w:t xml:space="preserve">.</w:t>
      </w:r>
      <w:r>
        <w:t xml:space="preserve"> </w:t>
      </w:r>
      <w:r>
        <w:rPr>
          <w:i/>
          <w:iCs/>
        </w:rPr>
        <w:t xml:space="preserve">Global Ecology and Biogeography</w:t>
      </w:r>
      <w:r>
        <w:t xml:space="preserve">,</w:t>
      </w:r>
      <w:r>
        <w:t xml:space="preserve"> </w:t>
      </w:r>
      <w:r>
        <w:rPr>
          <w:b/>
          <w:bCs/>
        </w:rPr>
        <w:t xml:space="preserve">34</w:t>
      </w:r>
      <w:r>
        <w:t xml:space="preserve">, e70113.</w:t>
      </w:r>
    </w:p>
    <w:bookmarkEnd w:id="128"/>
    <w:bookmarkStart w:id="130" w:name="ref-stouffer2019"/>
    <w:p>
      <w:pPr>
        <w:pStyle w:val="Bibliography"/>
      </w:pPr>
      <w:r>
        <w:t xml:space="preserve">Stouffer, D.B. (2019)</w:t>
      </w:r>
      <w:r>
        <w:t xml:space="preserve"> </w:t>
      </w:r>
      <w:hyperlink r:id="rId129">
        <w:r>
          <w:rPr>
            <w:rStyle w:val="Hyperlink"/>
          </w:rPr>
          <w:t xml:space="preserve">All ecological models are wrong, but some are useful</w:t>
        </w:r>
      </w:hyperlink>
      <w:r>
        <w:t xml:space="preserve">.</w:t>
      </w:r>
      <w:r>
        <w:t xml:space="preserve"> </w:t>
      </w:r>
      <w:r>
        <w:rPr>
          <w:i/>
          <w:iCs/>
        </w:rPr>
        <w:t xml:space="preserve">Journal of Animal Ecology</w:t>
      </w:r>
      <w:r>
        <w:t xml:space="preserve">,</w:t>
      </w:r>
      <w:r>
        <w:t xml:space="preserve"> </w:t>
      </w:r>
      <w:r>
        <w:rPr>
          <w:b/>
          <w:bCs/>
        </w:rPr>
        <w:t xml:space="preserve">88</w:t>
      </w:r>
      <w:r>
        <w:t xml:space="preserve">, 192–195.</w:t>
      </w:r>
    </w:p>
    <w:bookmarkEnd w:id="130"/>
    <w:bookmarkStart w:id="132" w:name="ref-stouffer2007"/>
    <w:p>
      <w:pPr>
        <w:pStyle w:val="Bibliography"/>
      </w:pPr>
      <w:r>
        <w:t xml:space="preserve">Stouffer, D.B., Camacho, J., Jiang, W. &amp; Nunes Amaral, L.A. (2007)</w:t>
      </w:r>
      <w:r>
        <w:t xml:space="preserve"> </w:t>
      </w:r>
      <w:hyperlink r:id="rId131">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w:t>
      </w:r>
      <w:r>
        <w:t xml:space="preserve"> </w:t>
      </w:r>
      <w:r>
        <w:rPr>
          <w:b/>
          <w:bCs/>
        </w:rPr>
        <w:t xml:space="preserve">274</w:t>
      </w:r>
      <w:r>
        <w:t xml:space="preserve">, 1931–1940.</w:t>
      </w:r>
    </w:p>
    <w:bookmarkEnd w:id="132"/>
    <w:bookmarkStart w:id="134" w:name="ref-strydom2021"/>
    <w:p>
      <w:pPr>
        <w:pStyle w:val="Bibliography"/>
      </w:pPr>
      <w:r>
        <w:t xml:space="preserve">Strydom, T., Catchen, M.D., Banville, F., Caron, D., Dansereau, G., Desjardins-Proulx, P., Forero-Muñoz, N.R., Higino, G., Mercier, B., Gonzalez, A., Gravel, D., Pollock, L. &amp; Poisot, T. (2021)</w:t>
      </w:r>
      <w:r>
        <w:t xml:space="preserve"> </w:t>
      </w:r>
      <w:hyperlink r:id="rId133">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w:t>
      </w:r>
      <w:r>
        <w:t xml:space="preserve"> </w:t>
      </w:r>
      <w:r>
        <w:rPr>
          <w:b/>
          <w:bCs/>
        </w:rPr>
        <w:t xml:space="preserve">376</w:t>
      </w:r>
      <w:r>
        <w:t xml:space="preserve">, 20210063.</w:t>
      </w:r>
    </w:p>
    <w:bookmarkEnd w:id="134"/>
    <w:bookmarkStart w:id="136" w:name="ref-strydom2026"/>
    <w:p>
      <w:pPr>
        <w:pStyle w:val="Bibliography"/>
      </w:pPr>
      <w:r>
        <w:t xml:space="preserve">Strydom, T., Dunhill, A.M., Dunne, J.A., Poisot, T. &amp; Beckerman, A.P. (2026)</w:t>
      </w:r>
      <w:r>
        <w:t xml:space="preserve"> </w:t>
      </w:r>
      <w:hyperlink r:id="rId135">
        <w:r>
          <w:rPr>
            <w:rStyle w:val="Hyperlink"/>
          </w:rPr>
          <w:t xml:space="preserve">Scaling from metawebs to realised webs: A hierarchical approach to network ecology</w:t>
        </w:r>
      </w:hyperlink>
      <w:r>
        <w:t xml:space="preserve">.</w:t>
      </w:r>
      <w:r>
        <w:t xml:space="preserve"> </w:t>
      </w:r>
      <w:r>
        <w:rPr>
          <w:i/>
          <w:iCs/>
        </w:rPr>
        <w:t xml:space="preserve">EcoEvoRxiv</w:t>
      </w:r>
      <w:r>
        <w:t xml:space="preserve">.</w:t>
      </w:r>
    </w:p>
    <w:bookmarkEnd w:id="136"/>
    <w:bookmarkStart w:id="138" w:name="ref-thuiller2024"/>
    <w:p>
      <w:pPr>
        <w:pStyle w:val="Bibliography"/>
      </w:pPr>
      <w:r>
        <w:t xml:space="preserve">Thuiller, W., Calderón-Sanou, I., Chalmandrier, L., Gaüzère, P., O’Connor, L.M.J., Ohlmann, M., Poggiato, G. &amp; Münkemüller, T. (2024)</w:t>
      </w:r>
      <w:r>
        <w:t xml:space="preserve"> </w:t>
      </w:r>
      <w:hyperlink r:id="rId137">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w:t>
      </w:r>
      <w:r>
        <w:t xml:space="preserve"> </w:t>
      </w:r>
      <w:r>
        <w:rPr>
          <w:b/>
          <w:bCs/>
        </w:rPr>
        <w:t xml:space="preserve">51</w:t>
      </w:r>
      <w:r>
        <w:t xml:space="preserve">, 550–559.</w:t>
      </w:r>
    </w:p>
    <w:bookmarkEnd w:id="138"/>
    <w:bookmarkStart w:id="140" w:name="ref-trøjelsgaard2016"/>
    <w:p>
      <w:pPr>
        <w:pStyle w:val="Bibliography"/>
      </w:pPr>
      <w:r>
        <w:t xml:space="preserve">Trøjelsgaard, K. &amp; Olesen, J.M. (2016)</w:t>
      </w:r>
      <w:r>
        <w:t xml:space="preserve"> </w:t>
      </w:r>
      <w:hyperlink r:id="rId139">
        <w:r>
          <w:rPr>
            <w:rStyle w:val="Hyperlink"/>
          </w:rPr>
          <w:t xml:space="preserve">Ecological networks in motion: Micro- and macroscopic variability across scales</w:t>
        </w:r>
      </w:hyperlink>
      <w:r>
        <w:t xml:space="preserve">.</w:t>
      </w:r>
      <w:r>
        <w:t xml:space="preserve"> </w:t>
      </w:r>
      <w:r>
        <w:rPr>
          <w:i/>
          <w:iCs/>
        </w:rPr>
        <w:t xml:space="preserve">Functional Ecology</w:t>
      </w:r>
      <w:r>
        <w:t xml:space="preserve">,</w:t>
      </w:r>
      <w:r>
        <w:t xml:space="preserve"> </w:t>
      </w:r>
      <w:r>
        <w:rPr>
          <w:b/>
          <w:bCs/>
        </w:rPr>
        <w:t xml:space="preserve">30</w:t>
      </w:r>
      <w:r>
        <w:t xml:space="preserve">, 1926–1935.</w:t>
      </w:r>
    </w:p>
    <w:bookmarkEnd w:id="140"/>
    <w:bookmarkStart w:id="142" w:name="ref-tylianakis2008"/>
    <w:p>
      <w:pPr>
        <w:pStyle w:val="Bibliography"/>
      </w:pPr>
      <w:r>
        <w:t xml:space="preserve">Tylianakis, J.M., Didham, R.K., Bascompte, J. &amp; Wardle, D.A. (2008)</w:t>
      </w:r>
      <w:r>
        <w:t xml:space="preserve"> </w:t>
      </w:r>
      <w:hyperlink r:id="rId141">
        <w:r>
          <w:rPr>
            <w:rStyle w:val="Hyperlink"/>
          </w:rPr>
          <w:t xml:space="preserve">Global change and species interactions in terrestrial ecosystems</w:t>
        </w:r>
      </w:hyperlink>
      <w:r>
        <w:t xml:space="preserve">.</w:t>
      </w:r>
      <w:r>
        <w:t xml:space="preserve"> </w:t>
      </w:r>
      <w:r>
        <w:rPr>
          <w:i/>
          <w:iCs/>
        </w:rPr>
        <w:t xml:space="preserve">Ecology Letters</w:t>
      </w:r>
      <w:r>
        <w:t xml:space="preserve">,</w:t>
      </w:r>
      <w:r>
        <w:t xml:space="preserve"> </w:t>
      </w:r>
      <w:r>
        <w:rPr>
          <w:b/>
          <w:bCs/>
        </w:rPr>
        <w:t xml:space="preserve">11</w:t>
      </w:r>
      <w:r>
        <w:t xml:space="preserve">, 1351–1363.</w:t>
      </w:r>
    </w:p>
    <w:bookmarkEnd w:id="142"/>
    <w:bookmarkStart w:id="144" w:name="ref-tylianakis2017"/>
    <w:p>
      <w:pPr>
        <w:pStyle w:val="Bibliography"/>
      </w:pPr>
      <w:r>
        <w:t xml:space="preserve">Tylianakis, J.M. &amp; Morris, R.J. (2017)</w:t>
      </w:r>
      <w:r>
        <w:t xml:space="preserve"> </w:t>
      </w:r>
      <w:hyperlink r:id="rId143">
        <w:r>
          <w:rPr>
            <w:rStyle w:val="Hyperlink"/>
          </w:rPr>
          <w:t xml:space="preserve">Ecological networks across environmental gradients</w:t>
        </w:r>
      </w:hyperlink>
      <w:r>
        <w:t xml:space="preserve">.</w:t>
      </w:r>
      <w:r>
        <w:t xml:space="preserve"> </w:t>
      </w:r>
      <w:r>
        <w:rPr>
          <w:i/>
          <w:iCs/>
        </w:rPr>
        <w:t xml:space="preserve">Annual Review of Ecology, Evolution, and Systematics</w:t>
      </w:r>
      <w:r>
        <w:t xml:space="preserve">,</w:t>
      </w:r>
      <w:r>
        <w:t xml:space="preserve"> </w:t>
      </w:r>
      <w:r>
        <w:rPr>
          <w:b/>
          <w:bCs/>
        </w:rPr>
        <w:t xml:space="preserve">48</w:t>
      </w:r>
      <w:r>
        <w:t xml:space="preserve">, 25–48.</w:t>
      </w:r>
    </w:p>
    <w:bookmarkEnd w:id="144"/>
    <w:bookmarkStart w:id="146" w:name="ref-williams2000"/>
    <w:p>
      <w:pPr>
        <w:pStyle w:val="Bibliography"/>
      </w:pPr>
      <w:r>
        <w:t xml:space="preserve">Williams, R.J. &amp; Martinez, N.D. (2000)</w:t>
      </w:r>
      <w:r>
        <w:t xml:space="preserve"> </w:t>
      </w:r>
      <w:hyperlink r:id="rId145">
        <w:r>
          <w:rPr>
            <w:rStyle w:val="Hyperlink"/>
          </w:rPr>
          <w:t xml:space="preserve">Simple rules yield complex food webs</w:t>
        </w:r>
      </w:hyperlink>
      <w:r>
        <w:t xml:space="preserve">.</w:t>
      </w:r>
      <w:r>
        <w:t xml:space="preserve"> </w:t>
      </w:r>
      <w:r>
        <w:rPr>
          <w:i/>
          <w:iCs/>
        </w:rPr>
        <w:t xml:space="preserve">Nature</w:t>
      </w:r>
      <w:r>
        <w:t xml:space="preserve">,</w:t>
      </w:r>
      <w:r>
        <w:t xml:space="preserve"> </w:t>
      </w:r>
      <w:r>
        <w:rPr>
          <w:b/>
          <w:bCs/>
        </w:rPr>
        <w:t xml:space="preserve">404</w:t>
      </w:r>
      <w:r>
        <w:t xml:space="preserve">, 180–183.</w:t>
      </w:r>
    </w:p>
    <w:bookmarkEnd w:id="146"/>
    <w:bookmarkStart w:id="148" w:name="ref-williams2004"/>
    <w:p>
      <w:pPr>
        <w:pStyle w:val="Bibliography"/>
      </w:pPr>
      <w:r>
        <w:t xml:space="preserve">Williams, R.J. &amp; Martinez, N.D. (2004)</w:t>
      </w:r>
      <w:r>
        <w:t xml:space="preserve"> </w:t>
      </w:r>
      <w:hyperlink r:id="rId147">
        <w:r>
          <w:rPr>
            <w:rStyle w:val="Hyperlink"/>
          </w:rPr>
          <w:t xml:space="preserve">Stabilization of chaotic and non-permanent food-web dynamics</w:t>
        </w:r>
      </w:hyperlink>
      <w:r>
        <w:t xml:space="preserve">.</w:t>
      </w:r>
      <w:r>
        <w:t xml:space="preserve"> </w:t>
      </w:r>
      <w:r>
        <w:rPr>
          <w:i/>
          <w:iCs/>
        </w:rPr>
        <w:t xml:space="preserve">The European Physical Journal B - Condensed Matter</w:t>
      </w:r>
      <w:r>
        <w:t xml:space="preserve">,</w:t>
      </w:r>
      <w:r>
        <w:t xml:space="preserve"> </w:t>
      </w:r>
      <w:r>
        <w:rPr>
          <w:b/>
          <w:bCs/>
        </w:rPr>
        <w:t xml:space="preserve">38</w:t>
      </w:r>
      <w:r>
        <w:t xml:space="preserve">, 297–303.</w:t>
      </w:r>
    </w:p>
    <w:bookmarkEnd w:id="148"/>
    <w:bookmarkStart w:id="150" w:name="ref-williams2008"/>
    <w:p>
      <w:pPr>
        <w:pStyle w:val="Bibliography"/>
      </w:pPr>
      <w:r>
        <w:t xml:space="preserve">Williams, R.J. &amp; Martinez, N.D. (2008)</w:t>
      </w:r>
      <w:r>
        <w:t xml:space="preserve"> </w:t>
      </w:r>
      <w:hyperlink r:id="rId149">
        <w:r>
          <w:rPr>
            <w:rStyle w:val="Hyperlink"/>
          </w:rPr>
          <w:t xml:space="preserve">Success and its limits among structural models of complex food webs</w:t>
        </w:r>
      </w:hyperlink>
      <w:r>
        <w:t xml:space="preserve">.</w:t>
      </w:r>
      <w:r>
        <w:t xml:space="preserve"> </w:t>
      </w:r>
      <w:r>
        <w:rPr>
          <w:i/>
          <w:iCs/>
        </w:rPr>
        <w:t xml:space="preserve">The Journal of Animal Ecology</w:t>
      </w:r>
      <w:r>
        <w:t xml:space="preserve">,</w:t>
      </w:r>
      <w:r>
        <w:t xml:space="preserve"> </w:t>
      </w:r>
      <w:r>
        <w:rPr>
          <w:b/>
          <w:bCs/>
        </w:rPr>
        <w:t xml:space="preserve">77</w:t>
      </w:r>
      <w:r>
        <w:t xml:space="preserve">, 512–519.</w:t>
      </w:r>
    </w:p>
    <w:bookmarkEnd w:id="150"/>
    <w:bookmarkStart w:id="152" w:name="ref-yeakel2014"/>
    <w:p>
      <w:pPr>
        <w:pStyle w:val="Bibliography"/>
      </w:pPr>
      <w:r>
        <w:t xml:space="preserve">Yeakel, J.D., Pires, M.M., Rudolf, L., Dominy, N.J., Koch, P.L., Guimarães, P.R. &amp; Gross, T. (2014)</w:t>
      </w:r>
      <w:r>
        <w:t xml:space="preserve"> </w:t>
      </w:r>
      <w:hyperlink r:id="rId151">
        <w:r>
          <w:rPr>
            <w:rStyle w:val="Hyperlink"/>
          </w:rPr>
          <w:t xml:space="preserve">Collapse of an ecological network in ancient egypt</w:t>
        </w:r>
      </w:hyperlink>
      <w:r>
        <w:t xml:space="preserve">.</w:t>
      </w:r>
      <w:r>
        <w:t xml:space="preserve"> </w:t>
      </w:r>
      <w:r>
        <w:rPr>
          <w:i/>
          <w:iCs/>
        </w:rPr>
        <w:t xml:space="preserve">PNAS</w:t>
      </w:r>
      <w:r>
        <w:t xml:space="preserve">,</w:t>
      </w:r>
      <w:r>
        <w:t xml:space="preserve"> </w:t>
      </w:r>
      <w:r>
        <w:rPr>
          <w:b/>
          <w:bCs/>
        </w:rPr>
        <w:t xml:space="preserve">111</w:t>
      </w:r>
      <w:r>
        <w:t xml:space="preserve">, 14472–14477.</w:t>
      </w:r>
    </w:p>
    <w:bookmarkEnd w:id="152"/>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hyperlink" Id="rId111" Target="https://doi.org/10" TargetMode="External" /><Relationship Type="http://schemas.openxmlformats.org/officeDocument/2006/relationships/hyperlink" Id="rId58" Target="https://doi.org/10.1016/j.baae.2011.09.008" TargetMode="External" /><Relationship Type="http://schemas.openxmlformats.org/officeDocument/2006/relationships/hyperlink" Id="rId91" Target="https://doi.org/10.1016/j.earscirev.2024.104946" TargetMode="External" /><Relationship Type="http://schemas.openxmlformats.org/officeDocument/2006/relationships/hyperlink" Id="rId123" Target="https://doi.org/10.1016/j.ecoinf.2025.103183" TargetMode="External" /><Relationship Type="http://schemas.openxmlformats.org/officeDocument/2006/relationships/hyperlink" Id="rId103" Target="https://doi.org/10.1016/j.jtbi.2011.03.019" TargetMode="External" /><Relationship Type="http://schemas.openxmlformats.org/officeDocument/2006/relationships/hyperlink" Id="rId79" Target="https://doi.org/10.1016/j.tree.2010.03.002" TargetMode="External" /><Relationship Type="http://schemas.openxmlformats.org/officeDocument/2006/relationships/hyperlink" Id="rId99" Target="https://doi.org/10.1016/j.tree.2015.03.014" TargetMode="External" /><Relationship Type="http://schemas.openxmlformats.org/officeDocument/2006/relationships/hyperlink" Id="rId145"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2" Target="https://doi.org/10.1038/s41467-024-53000-2" TargetMode="External" /><Relationship Type="http://schemas.openxmlformats.org/officeDocument/2006/relationships/hyperlink" Id="rId77" Target="https://doi.org/10.1038/s44358-025-00056-7" TargetMode="External" /><Relationship Type="http://schemas.openxmlformats.org/officeDocument/2006/relationships/hyperlink" Id="rId105" Target="https://doi.org/10.1073/pnas.0710672105" TargetMode="External" /><Relationship Type="http://schemas.openxmlformats.org/officeDocument/2006/relationships/hyperlink" Id="rId151" Target="https://doi.org/10.1073/pnas.1408471111" TargetMode="External" /><Relationship Type="http://schemas.openxmlformats.org/officeDocument/2006/relationships/hyperlink" Id="rId119" Target="https://doi.org/10.1086/653667" TargetMode="External" /><Relationship Type="http://schemas.openxmlformats.org/officeDocument/2006/relationships/hyperlink" Id="rId131" Target="https://doi.org/10.1098/rspb.2007.0571" TargetMode="External" /><Relationship Type="http://schemas.openxmlformats.org/officeDocument/2006/relationships/hyperlink" Id="rId64" Target="https://doi.org/10.1098/rspb.2013.3280" TargetMode="External" /><Relationship Type="http://schemas.openxmlformats.org/officeDocument/2006/relationships/hyperlink" Id="rId133" Target="https://doi.org/10.1098/rstb.2021.0063" TargetMode="External" /><Relationship Type="http://schemas.openxmlformats.org/officeDocument/2006/relationships/hyperlink" Id="rId125" Target="https://doi.org/10.1101/2024.01.30.578036" TargetMode="External" /><Relationship Type="http://schemas.openxmlformats.org/officeDocument/2006/relationships/hyperlink" Id="rId139" Target="https://doi.org/10.1111/1365-2435.12710" TargetMode="External" /><Relationship Type="http://schemas.openxmlformats.org/officeDocument/2006/relationships/hyperlink" Id="rId87" Target="https://doi.org/10.1111/1365-2435.12763" TargetMode="External" /><Relationship Type="http://schemas.openxmlformats.org/officeDocument/2006/relationships/hyperlink" Id="rId129" Target="https://doi.org/10.1111/1365-2656.12949" TargetMode="External" /><Relationship Type="http://schemas.openxmlformats.org/officeDocument/2006/relationships/hyperlink" Id="rId75" Target="https://doi.org/10.1111/2041-210X.14212" TargetMode="External" /><Relationship Type="http://schemas.openxmlformats.org/officeDocument/2006/relationships/hyperlink" Id="rId101" Target="https://doi.org/10.1111/brv.12366" TargetMode="External" /><Relationship Type="http://schemas.openxmlformats.org/officeDocument/2006/relationships/hyperlink" Id="rId60" Target="https://doi.org/10.1111/brv.12433" TargetMode="External" /><Relationship Type="http://schemas.openxmlformats.org/officeDocument/2006/relationships/hyperlink" Id="rId81" Target="https://doi.org/10.1111/ecog.04006" TargetMode="External" /><Relationship Type="http://schemas.openxmlformats.org/officeDocument/2006/relationships/hyperlink" Id="rId109" Target="https://doi.org/10.1111/ele.12002" TargetMode="External" /><Relationship Type="http://schemas.openxmlformats.org/officeDocument/2006/relationships/hyperlink" Id="rId93"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85" Target="https://doi.org/10.1111/gcb.70061" TargetMode="External" /><Relationship Type="http://schemas.openxmlformats.org/officeDocument/2006/relationships/hyperlink" Id="rId127" Target="https://doi.org/10.1111/geb.70113" TargetMode="External" /><Relationship Type="http://schemas.openxmlformats.org/officeDocument/2006/relationships/hyperlink" Id="rId149" Target="https://doi.org/10.1111/j.1365-2656.2008.01362.x" TargetMode="External" /><Relationship Type="http://schemas.openxmlformats.org/officeDocument/2006/relationships/hyperlink" Id="rId141"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07" Target="https://doi.org/10.1111/jbi.14127" TargetMode="External" /><Relationship Type="http://schemas.openxmlformats.org/officeDocument/2006/relationships/hyperlink" Id="rId137" Target="https://doi.org/10.1111/jbi.14734" TargetMode="External" /><Relationship Type="http://schemas.openxmlformats.org/officeDocument/2006/relationships/hyperlink" Id="rId115" Target="https://doi.org/10.1111/oik.01719" TargetMode="External" /><Relationship Type="http://schemas.openxmlformats.org/officeDocument/2006/relationships/hyperlink" Id="rId73" Target="https://doi.org/10.1111/oik.02256" TargetMode="External" /><Relationship Type="http://schemas.openxmlformats.org/officeDocument/2006/relationships/hyperlink" Id="rId97" Target="https://doi.org/10.1126/science.298.5594.824" TargetMode="External" /><Relationship Type="http://schemas.openxmlformats.org/officeDocument/2006/relationships/hyperlink" Id="rId71" Target="https://doi.org/10.1126/science.abn4012" TargetMode="External" /><Relationship Type="http://schemas.openxmlformats.org/officeDocument/2006/relationships/hyperlink" Id="rId54" Target="https://doi.org/10.1137/141000671" TargetMode="External" /><Relationship Type="http://schemas.openxmlformats.org/officeDocument/2006/relationships/hyperlink" Id="rId147" Target="https://doi.org/10.1140/epjb/e2004-00122-1" TargetMode="External" /><Relationship Type="http://schemas.openxmlformats.org/officeDocument/2006/relationships/hyperlink" Id="rId83" Target="https://doi.org/10.1146/annurev-ecolsys-012220-120819" TargetMode="External" /><Relationship Type="http://schemas.openxmlformats.org/officeDocument/2006/relationships/hyperlink" Id="rId143" Target="https://doi.org/10.1146/annurev-ecolsys-110316-022821" TargetMode="External" /><Relationship Type="http://schemas.openxmlformats.org/officeDocument/2006/relationships/hyperlink" Id="rId67" Target="https://doi.org/10.1371/journal.pbio.0060102" TargetMode="External" /><Relationship Type="http://schemas.openxmlformats.org/officeDocument/2006/relationships/hyperlink" Id="rId95" Target="https://doi.org/10.1371/journal.pcbi.1007076" TargetMode="External" /><Relationship Type="http://schemas.openxmlformats.org/officeDocument/2006/relationships/hyperlink" Id="rId56" Target="https://doi.org/10.1890/0012-9658(2006)87[2411:CBRINF]2.0.CO;2" TargetMode="External" /><Relationship Type="http://schemas.openxmlformats.org/officeDocument/2006/relationships/hyperlink" Id="rId135" Target="https://doi.org/10.32942/X2JW8K" TargetMode="External" /><Relationship Type="http://schemas.openxmlformats.org/officeDocument/2006/relationships/hyperlink" Id="rId69" Target="https://doi.org/10.5486/pmd.1959.6.3-4.12" TargetMode="External" /><Relationship Type="http://schemas.openxmlformats.org/officeDocument/2006/relationships/hyperlink" Id="rId89" Target="https://doi.org/10.64898/2026.02.24.707709" TargetMode="External" /><Relationship Type="http://schemas.openxmlformats.org/officeDocument/2006/relationships/hyperlink" Id="rId113" Target="https://doi.org/10.7717/peerj.251" TargetMode="External" /><Relationship Type="http://schemas.openxmlformats.org/officeDocument/2006/relationships/hyperlink" Id="rId117" Target="https://www.R-project.org/" TargetMode="External" /><Relationship Type="http://schemas.openxmlformats.org/officeDocument/2006/relationships/hyperlink" Id="rId121"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 TargetMode="External" /><Relationship Type="http://schemas.openxmlformats.org/officeDocument/2006/relationships/hyperlink" Id="rId58" Target="https://doi.org/10.1016/j.baae.2011.09.008" TargetMode="External" /><Relationship Type="http://schemas.openxmlformats.org/officeDocument/2006/relationships/hyperlink" Id="rId91" Target="https://doi.org/10.1016/j.earscirev.2024.104946" TargetMode="External" /><Relationship Type="http://schemas.openxmlformats.org/officeDocument/2006/relationships/hyperlink" Id="rId123" Target="https://doi.org/10.1016/j.ecoinf.2025.103183" TargetMode="External" /><Relationship Type="http://schemas.openxmlformats.org/officeDocument/2006/relationships/hyperlink" Id="rId103" Target="https://doi.org/10.1016/j.jtbi.2011.03.019" TargetMode="External" /><Relationship Type="http://schemas.openxmlformats.org/officeDocument/2006/relationships/hyperlink" Id="rId79" Target="https://doi.org/10.1016/j.tree.2010.03.002" TargetMode="External" /><Relationship Type="http://schemas.openxmlformats.org/officeDocument/2006/relationships/hyperlink" Id="rId99" Target="https://doi.org/10.1016/j.tree.2015.03.014" TargetMode="External" /><Relationship Type="http://schemas.openxmlformats.org/officeDocument/2006/relationships/hyperlink" Id="rId145"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2" Target="https://doi.org/10.1038/s41467-024-53000-2" TargetMode="External" /><Relationship Type="http://schemas.openxmlformats.org/officeDocument/2006/relationships/hyperlink" Id="rId77" Target="https://doi.org/10.1038/s44358-025-00056-7" TargetMode="External" /><Relationship Type="http://schemas.openxmlformats.org/officeDocument/2006/relationships/hyperlink" Id="rId105" Target="https://doi.org/10.1073/pnas.0710672105" TargetMode="External" /><Relationship Type="http://schemas.openxmlformats.org/officeDocument/2006/relationships/hyperlink" Id="rId151" Target="https://doi.org/10.1073/pnas.1408471111" TargetMode="External" /><Relationship Type="http://schemas.openxmlformats.org/officeDocument/2006/relationships/hyperlink" Id="rId119" Target="https://doi.org/10.1086/653667" TargetMode="External" /><Relationship Type="http://schemas.openxmlformats.org/officeDocument/2006/relationships/hyperlink" Id="rId131" Target="https://doi.org/10.1098/rspb.2007.0571" TargetMode="External" /><Relationship Type="http://schemas.openxmlformats.org/officeDocument/2006/relationships/hyperlink" Id="rId64" Target="https://doi.org/10.1098/rspb.2013.3280" TargetMode="External" /><Relationship Type="http://schemas.openxmlformats.org/officeDocument/2006/relationships/hyperlink" Id="rId133" Target="https://doi.org/10.1098/rstb.2021.0063" TargetMode="External" /><Relationship Type="http://schemas.openxmlformats.org/officeDocument/2006/relationships/hyperlink" Id="rId125" Target="https://doi.org/10.1101/2024.01.30.578036" TargetMode="External" /><Relationship Type="http://schemas.openxmlformats.org/officeDocument/2006/relationships/hyperlink" Id="rId139" Target="https://doi.org/10.1111/1365-2435.12710" TargetMode="External" /><Relationship Type="http://schemas.openxmlformats.org/officeDocument/2006/relationships/hyperlink" Id="rId87" Target="https://doi.org/10.1111/1365-2435.12763" TargetMode="External" /><Relationship Type="http://schemas.openxmlformats.org/officeDocument/2006/relationships/hyperlink" Id="rId129" Target="https://doi.org/10.1111/1365-2656.12949" TargetMode="External" /><Relationship Type="http://schemas.openxmlformats.org/officeDocument/2006/relationships/hyperlink" Id="rId75" Target="https://doi.org/10.1111/2041-210X.14212" TargetMode="External" /><Relationship Type="http://schemas.openxmlformats.org/officeDocument/2006/relationships/hyperlink" Id="rId101" Target="https://doi.org/10.1111/brv.12366" TargetMode="External" /><Relationship Type="http://schemas.openxmlformats.org/officeDocument/2006/relationships/hyperlink" Id="rId60" Target="https://doi.org/10.1111/brv.12433" TargetMode="External" /><Relationship Type="http://schemas.openxmlformats.org/officeDocument/2006/relationships/hyperlink" Id="rId81" Target="https://doi.org/10.1111/ecog.04006" TargetMode="External" /><Relationship Type="http://schemas.openxmlformats.org/officeDocument/2006/relationships/hyperlink" Id="rId109" Target="https://doi.org/10.1111/ele.12002" TargetMode="External" /><Relationship Type="http://schemas.openxmlformats.org/officeDocument/2006/relationships/hyperlink" Id="rId93"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85" Target="https://doi.org/10.1111/gcb.70061" TargetMode="External" /><Relationship Type="http://schemas.openxmlformats.org/officeDocument/2006/relationships/hyperlink" Id="rId127" Target="https://doi.org/10.1111/geb.70113" TargetMode="External" /><Relationship Type="http://schemas.openxmlformats.org/officeDocument/2006/relationships/hyperlink" Id="rId149" Target="https://doi.org/10.1111/j.1365-2656.2008.01362.x" TargetMode="External" /><Relationship Type="http://schemas.openxmlformats.org/officeDocument/2006/relationships/hyperlink" Id="rId141"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07" Target="https://doi.org/10.1111/jbi.14127" TargetMode="External" /><Relationship Type="http://schemas.openxmlformats.org/officeDocument/2006/relationships/hyperlink" Id="rId137" Target="https://doi.org/10.1111/jbi.14734" TargetMode="External" /><Relationship Type="http://schemas.openxmlformats.org/officeDocument/2006/relationships/hyperlink" Id="rId115" Target="https://doi.org/10.1111/oik.01719" TargetMode="External" /><Relationship Type="http://schemas.openxmlformats.org/officeDocument/2006/relationships/hyperlink" Id="rId73" Target="https://doi.org/10.1111/oik.02256" TargetMode="External" /><Relationship Type="http://schemas.openxmlformats.org/officeDocument/2006/relationships/hyperlink" Id="rId97" Target="https://doi.org/10.1126/science.298.5594.824" TargetMode="External" /><Relationship Type="http://schemas.openxmlformats.org/officeDocument/2006/relationships/hyperlink" Id="rId71" Target="https://doi.org/10.1126/science.abn4012" TargetMode="External" /><Relationship Type="http://schemas.openxmlformats.org/officeDocument/2006/relationships/hyperlink" Id="rId54" Target="https://doi.org/10.1137/141000671" TargetMode="External" /><Relationship Type="http://schemas.openxmlformats.org/officeDocument/2006/relationships/hyperlink" Id="rId147" Target="https://doi.org/10.1140/epjb/e2004-00122-1" TargetMode="External" /><Relationship Type="http://schemas.openxmlformats.org/officeDocument/2006/relationships/hyperlink" Id="rId83" Target="https://doi.org/10.1146/annurev-ecolsys-012220-120819" TargetMode="External" /><Relationship Type="http://schemas.openxmlformats.org/officeDocument/2006/relationships/hyperlink" Id="rId143" Target="https://doi.org/10.1146/annurev-ecolsys-110316-022821" TargetMode="External" /><Relationship Type="http://schemas.openxmlformats.org/officeDocument/2006/relationships/hyperlink" Id="rId67" Target="https://doi.org/10.1371/journal.pbio.0060102" TargetMode="External" /><Relationship Type="http://schemas.openxmlformats.org/officeDocument/2006/relationships/hyperlink" Id="rId95" Target="https://doi.org/10.1371/journal.pcbi.1007076" TargetMode="External" /><Relationship Type="http://schemas.openxmlformats.org/officeDocument/2006/relationships/hyperlink" Id="rId56" Target="https://doi.org/10.1890/0012-9658(2006)87[2411:CBRINF]2.0.CO;2" TargetMode="External" /><Relationship Type="http://schemas.openxmlformats.org/officeDocument/2006/relationships/hyperlink" Id="rId135" Target="https://doi.org/10.32942/X2JW8K" TargetMode="External" /><Relationship Type="http://schemas.openxmlformats.org/officeDocument/2006/relationships/hyperlink" Id="rId69" Target="https://doi.org/10.5486/pmd.1959.6.3-4.12" TargetMode="External" /><Relationship Type="http://schemas.openxmlformats.org/officeDocument/2006/relationships/hyperlink" Id="rId89" Target="https://doi.org/10.64898/2026.02.24.707709" TargetMode="External" /><Relationship Type="http://schemas.openxmlformats.org/officeDocument/2006/relationships/hyperlink" Id="rId113" Target="https://doi.org/10.7717/peerj.251" TargetMode="External" /><Relationship Type="http://schemas.openxmlformats.org/officeDocument/2006/relationships/hyperlink" Id="rId117" Target="https://www.R-project.org/" TargetMode="External" /><Relationship Type="http://schemas.openxmlformats.org/officeDocument/2006/relationships/hyperlink" Id="rId121"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reconstruction approach conditions ecological inference in food web reconstruction</dc:title>
  <dc:creator>Tanya Strydom; Baran Karapunar; Jennifer A. Dunne; Pincelli M. Hull; Crispin T.S. Little; Catalina Pimiento; Andy Ridgwell; Andrew P. Beckerman; Alexander Dunhill</dc:creator>
  <cp:keywords>Ecological networks, Biotic interactions, Community assembly, Environmental gradients, Interaction turnover, Trophic organisation, Ecosystem resilience, Macroecology</cp:keywords>
  <dcterms:created xsi:type="dcterms:W3CDTF">2026-05-15T12:32:58Z</dcterms:created>
  <dcterms:modified xsi:type="dcterms:W3CDTF">2026-05-15T12:32:58Z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assess community structure, stability, and responses to disturbance. Such networks often require model-based reconstructions (e.g., based on traits or theoretical constraints); however, the extent to which these frameworks influence ecological inference remains unexplored. Here, we assess whether macroecological inference derived from ecological networks is robust to variation in reconstruction framework.LocationCleveland Basin, United Kingdom.Time periodToarcian extinction event (Early Jurassic, late Pliensbachian–late Toarcian, ~183 Ma).Major taxa studiedShelly marine macrofossils.MethodsWe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approaches.ResultsReconstruction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substantially.Main conclusionsNetwork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https://www.zotero.org/styles/global-ecology-and-biogeography</vt:lpwstr>
  </property>
  <property fmtid="{D5CDD505-2E9C-101B-9397-08002B2CF9AE}" pid="12" name="date">
    <vt:lpwstr>2026-05-15</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