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2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Network reconstruction approach conditions ecological inference in food web reconstruction</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Pincelli Hull</w:t>
      </w:r>
    </w:p>
    <w:p>
      <w:pPr>
        <w:pStyle w:val="Author"/>
      </w:pPr>
      <w:r>
        <w:t xml:space="preserve">Crispin T.S. Little</w:t>
      </w:r>
    </w:p>
    <w:p>
      <w:pPr>
        <w:pStyle w:val="Author"/>
      </w:pPr>
      <w:r>
        <w:t xml:space="preserve">Catalina Pimiento</w:t>
      </w:r>
    </w:p>
    <w:p>
      <w:pPr>
        <w:pStyle w:val="Author"/>
      </w:pPr>
      <w:r>
        <w:t xml:space="preserve">Andy Ridgwell</w:t>
      </w:r>
    </w:p>
    <w:p>
      <w:pPr>
        <w:pStyle w:val="Author"/>
      </w:pPr>
      <w:r>
        <w:t xml:space="preserve">Andrew P. Beckerman</w:t>
      </w:r>
    </w:p>
    <w:p>
      <w:pPr>
        <w:pStyle w:val="Author"/>
      </w:pPr>
      <w:r>
        <w:t xml:space="preserve">Alexander Dunhill</w:t>
      </w:r>
    </w:p>
    <w:p>
      <w:pPr>
        <w:pStyle w:val="Date"/>
      </w:pPr>
      <w:r>
        <w:t xml:space="preserve">2026-04-07</w:t>
      </w:r>
    </w:p>
    <w:p>
      <w:pPr>
        <w:pStyle w:val="AbstractTitle"/>
      </w:pPr>
      <w:r>
        <w:t xml:space="preserve">Abstract</w:t>
      </w:r>
    </w:p>
    <w:p>
      <w:pPr>
        <w:pStyle w:val="Abstract"/>
      </w:pPr>
      <w:r>
        <w:t xml:space="preserve">Aim</w:t>
      </w:r>
    </w:p>
    <w:p>
      <w:pPr>
        <w:pStyle w:val="Abstract"/>
      </w:pPr>
      <w:r>
        <w:t xml:space="preserve">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Shelly marine macrofossils.</w:t>
      </w:r>
    </w:p>
    <w:p>
      <w:pPr>
        <w:pStyle w:val="Abstract"/>
      </w:pPr>
      <w:r>
        <w:t xml:space="preserve">Methods</w:t>
      </w:r>
    </w:p>
    <w:p>
      <w:pPr>
        <w:pStyle w:val="Abstract"/>
      </w:pPr>
      <w:r>
        <w:t xml:space="preserve">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macro-, meso-, and micro-scale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w:t>
      </w:r>
    </w:p>
    <w:p>
      <w:pPr>
        <w:pStyle w:val="Abstract"/>
      </w:pPr>
      <w:r>
        <w:t xml:space="preserve">Results</w:t>
      </w:r>
    </w:p>
    <w:p>
      <w:pPr>
        <w:pStyle w:val="Abstract"/>
      </w:pPr>
      <w:r>
        <w:t xml:space="preserve">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w:t>
      </w:r>
    </w:p>
    <w:bookmarkStart w:id="9" w:name="introduction"/>
    <w:p>
      <w:pPr>
        <w:pStyle w:val="Heading1"/>
      </w:pPr>
      <w:r>
        <w:t xml:space="preserve">1. Introduction</w:t>
      </w:r>
    </w:p>
    <w:p>
      <w:pPr>
        <w:pStyle w:val="FirstParagraph"/>
      </w:pPr>
      <w:r>
        <w:t xml:space="preserve">Understanding how biodiversity is organised across space and time is a central goal of macroecology and biogeography. While early efforts focused primarily on species richness and composition, there is growing recognition that ecological communities are structured not only by which species occur, but by how they interact</w:t>
      </w:r>
      <w:r>
        <w:t xml:space="preserve"> </w:t>
      </w:r>
      <w:r>
        <w:t xml:space="preserve">(Thuiller</w:t>
      </w:r>
      <w:r>
        <w:t xml:space="preserve"> </w:t>
      </w:r>
      <w:r>
        <w:rPr>
          <w:i/>
          <w:iCs/>
        </w:rPr>
        <w:t xml:space="preserve">et al.</w:t>
      </w:r>
      <w:r>
        <w:t xml:space="preserve">,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(Poisot</w:t>
      </w:r>
      <w:r>
        <w:t xml:space="preserve"> </w:t>
      </w:r>
      <w:r>
        <w:rPr>
          <w:i/>
          <w:iCs/>
        </w:rPr>
        <w:t xml:space="preserve">et al.</w:t>
      </w:r>
      <w:r>
        <w:t xml:space="preserve">, 2015; Trøjelsgaard &amp; Olesen, 2016; Tylianakis &amp; Morris, 2017; Gravel</w:t>
      </w:r>
      <w:r>
        <w:t xml:space="preserve"> </w:t>
      </w:r>
      <w:r>
        <w:rPr>
          <w:i/>
          <w:iCs/>
        </w:rPr>
        <w:t xml:space="preserve">et al.</w:t>
      </w:r>
      <w:r>
        <w:t xml:space="preserve">, 2019)</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(Roopnarine, 2006; Poisot &amp; Gravel, 2014; Michalska-Smith &amp; Allesina, 2019; Dunhill</w:t>
      </w:r>
      <w:r>
        <w:t xml:space="preserve"> </w:t>
      </w:r>
      <w:r>
        <w:rPr>
          <w:i/>
          <w:iCs/>
        </w:rPr>
        <w:t xml:space="preserve">et al.</w:t>
      </w:r>
      <w:r>
        <w:t xml:space="preserve">, 2024; Hao</w:t>
      </w:r>
      <w:r>
        <w:t xml:space="preserve"> </w:t>
      </w:r>
      <w:r>
        <w:rPr>
          <w:i/>
          <w:iCs/>
        </w:rPr>
        <w:t xml:space="preserve">et al.</w:t>
      </w:r>
      <w:r>
        <w:t xml:space="preserve">, 2025)</w:t>
      </w:r>
      <w:r>
        <w:t xml:space="preserve">. Implicit in this expansion is the critical assumption that network properties estimated across systems are structurally comparable, and that differences among them reflect ecological signal rather than methodological artefact</w:t>
      </w:r>
      <w:r>
        <w:t xml:space="preserve"> </w:t>
      </w:r>
      <w:r>
        <w:t xml:space="preserve">(Fründ</w:t>
      </w:r>
      <w:r>
        <w:t xml:space="preserve"> </w:t>
      </w:r>
      <w:r>
        <w:rPr>
          <w:i/>
          <w:iCs/>
        </w:rPr>
        <w:t xml:space="preserve">et al.</w:t>
      </w:r>
      <w:r>
        <w:t xml:space="preserve">, 2016; Jordano, 2016)</w:t>
      </w:r>
      <w:r>
        <w:t xml:space="preserve">.</w:t>
      </w:r>
    </w:p>
    <w:p>
      <w:pPr>
        <w:pStyle w:val="BodyText"/>
      </w:pPr>
      <w:r>
        <w:t xml:space="preserve">However, most ecological networks are not fully observed as interaction data are incomplete and sampling is uneven across historical and biogeographic contexts, across both present day and deep-time</w:t>
      </w:r>
      <w:r>
        <w:t xml:space="preserve"> </w:t>
      </w:r>
      <w:r>
        <w:t xml:space="preserve">(Poisot</w:t>
      </w:r>
      <w:r>
        <w:t xml:space="preserve"> </w:t>
      </w:r>
      <w:r>
        <w:rPr>
          <w:i/>
          <w:iCs/>
        </w:rPr>
        <w:t xml:space="preserve">et al.</w:t>
      </w:r>
      <w:r>
        <w:t xml:space="preserve">, 2021; Sandra</w:t>
      </w:r>
      <w:r>
        <w:t xml:space="preserve"> </w:t>
      </w:r>
      <w:r>
        <w:rPr>
          <w:i/>
          <w:iCs/>
        </w:rPr>
        <w:t xml:space="preserve">et al.</w:t>
      </w:r>
      <w:r>
        <w:t xml:space="preserve">, 2025)</w:t>
      </w:r>
      <w:r>
        <w:t xml:space="preserve">. Interactions must often be inferred indirectly from traits, phylogeny, body size, co-occurrence, or theoretical constraints</w:t>
      </w:r>
      <w:r>
        <w:t xml:space="preserve"> </w:t>
      </w:r>
      <w:r>
        <w:t xml:space="preserve">(Morales-Castilla</w:t>
      </w:r>
      <w:r>
        <w:t xml:space="preserve"> </w:t>
      </w:r>
      <w:r>
        <w:rPr>
          <w:i/>
          <w:iCs/>
        </w:rPr>
        <w:t xml:space="preserve">et al.</w:t>
      </w:r>
      <w:r>
        <w:t xml:space="preserve">, 2015; Strydom</w:t>
      </w:r>
      <w:r>
        <w:t xml:space="preserve"> </w:t>
      </w:r>
      <w:r>
        <w:rPr>
          <w:i/>
          <w:iCs/>
        </w:rPr>
        <w:t xml:space="preserve">et al.</w:t>
      </w:r>
      <w:r>
        <w:t xml:space="preserve">, 2021)</w:t>
      </w:r>
      <w:r>
        <w:t xml:space="preserve">. Network construction therefore constitutes a model-based inference step rather than a purely descriptive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(Petchey</w:t>
      </w:r>
      <w:r>
        <w:t xml:space="preserve"> </w:t>
      </w:r>
      <w:r>
        <w:rPr>
          <w:i/>
          <w:iCs/>
        </w:rPr>
        <w:t xml:space="preserve">et al.</w:t>
      </w:r>
      <w:r>
        <w:t xml:space="preserve">, 2011; Guimarães, 2020; Gauzens</w:t>
      </w:r>
      <w:r>
        <w:t xml:space="preserve"> </w:t>
      </w:r>
      <w:r>
        <w:rPr>
          <w:i/>
          <w:iCs/>
        </w:rPr>
        <w:t xml:space="preserve">et al.</w:t>
      </w:r>
      <w:r>
        <w:t xml:space="preserve">, 2025; Strydom</w:t>
      </w:r>
      <w:r>
        <w:t xml:space="preserve"> </w:t>
      </w:r>
      <w:r>
        <w:rPr>
          <w:i/>
          <w:iCs/>
        </w:rPr>
        <w:t xml:space="preserve">et al.</w:t>
      </w:r>
      <w:r>
        <w:t xml:space="preserve">, 2026)</w:t>
      </w:r>
      <w:r>
        <w:t xml:space="preserve">. If alternative reconstruction approaches systematically generate different trophic configurations, then comparative analyses risk conflating ecological differences among communities with artefacts introduced by reconstruction choice. The reliability of macroecological inference therefore depends not only on ecological data, but on the structural assumptions embedded in network reconstruction.</w:t>
      </w:r>
    </w:p>
    <w:p>
      <w:pPr>
        <w:pStyle w:val="BodyText"/>
      </w:pPr>
      <w:r>
        <w:t xml:space="preserve">Despite rapid methodological development in interaction inference, few studies have directly evaluated how alternative reconstruction frameworks condition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Poisot</w:t>
      </w:r>
      <w:r>
        <w:t xml:space="preserve"> </w:t>
      </w:r>
      <w:r>
        <w:rPr>
          <w:i/>
          <w:iCs/>
        </w:rPr>
        <w:t xml:space="preserve">et al.</w:t>
      </w:r>
      <w:r>
        <w:t xml:space="preserve">, 2015; Delmas</w:t>
      </w:r>
      <w:r>
        <w:t xml:space="preserve"> </w:t>
      </w:r>
      <w:r>
        <w:rPr>
          <w:i/>
          <w:iCs/>
        </w:rPr>
        <w:t xml:space="preserve">et al.</w:t>
      </w:r>
      <w:r>
        <w:t xml:space="preserve">, 2018)</w:t>
      </w:r>
      <w:r>
        <w:t xml:space="preserve">. If reconstruction approaches encode distinct structural priors over interaction topology, then differences among communities may reflect reconstruction assumptions rather than ecological processes. Consequently, here we test whether macroecological inference derived from ecological networks is robust to variation in reconstruction framework, asking which aspects of network-based inference are stable across plausible representations of interaction structure and which are intrinsically reconstruction approach dependent.</w:t>
      </w:r>
    </w:p>
    <w:p>
      <w:pPr>
        <w:pStyle w:val="BodyText"/>
      </w:pPr>
      <w:r>
        <w:t xml:space="preserve">Deep-time ecosystems provide an especially stringent test of this issue because interactions are not observed directly and must be reconstructed explicitly</w:t>
      </w:r>
      <w:r>
        <w:t xml:space="preserve"> </w:t>
      </w:r>
      <w:r>
        <w:t xml:space="preserve">(Roopnarine, 2006; Dunne</w:t>
      </w:r>
      <w:r>
        <w:t xml:space="preserve"> </w:t>
      </w:r>
      <w:r>
        <w:rPr>
          <w:i/>
          <w:iCs/>
        </w:rPr>
        <w:t xml:space="preserve">et al.</w:t>
      </w:r>
      <w:r>
        <w:t xml:space="preserve">, 2008; Dunne</w:t>
      </w:r>
      <w:r>
        <w:t xml:space="preserve"> </w:t>
      </w:r>
      <w:r>
        <w:rPr>
          <w:i/>
          <w:iCs/>
        </w:rPr>
        <w:t xml:space="preserve">et al.</w:t>
      </w:r>
      <w:r>
        <w:t xml:space="preserve">, 2014; Dunhill</w:t>
      </w:r>
      <w:r>
        <w:t xml:space="preserve"> </w:t>
      </w:r>
      <w:r>
        <w:rPr>
          <w:i/>
          <w:iCs/>
        </w:rPr>
        <w:t xml:space="preserve">et al.</w:t>
      </w:r>
      <w:r>
        <w:t xml:space="preserve">, 2024; Karapunar</w:t>
      </w:r>
      <w:r>
        <w:t xml:space="preserve"> </w:t>
      </w:r>
      <w:r>
        <w:rPr>
          <w:i/>
          <w:iCs/>
        </w:rPr>
        <w:t xml:space="preserve">et al.</w:t>
      </w:r>
      <w:r>
        <w:t xml:space="preserve">, 2026)</w:t>
      </w:r>
      <w:r>
        <w:t xml:space="preserve">, rendering reconstruction approach assumptions transparent. Against this stringency, here we re-evaluate inferences made by</w:t>
      </w:r>
      <w:r>
        <w:t xml:space="preserve"> </w:t>
      </w:r>
      <w:r>
        <w:t xml:space="preserve">Dunhill</w:t>
      </w:r>
      <w:r>
        <w:t xml:space="preserve"> </w:t>
      </w:r>
      <w:r>
        <w:rPr>
          <w:i/>
          <w:iCs/>
        </w:rPr>
        <w:t xml:space="preserve">et al.</w:t>
      </w:r>
      <w:r>
        <w:t xml:space="preserve"> </w:t>
      </w:r>
      <w:r>
        <w:t xml:space="preserve">(2024)</w:t>
      </w:r>
      <w:r>
        <w:t xml:space="preserve"> </w:t>
      </w:r>
      <w:r>
        <w:t xml:space="preserve">on community structure and extinction dynamics during the Early Toarcian Extinction Event (ETEE; ~183 Ma),a marine biotic crisis in the Early Jurassic, likely caused by a volcanic-driven hyperthermal event</w:t>
      </w:r>
      <w:r>
        <w:t xml:space="preserve"> </w:t>
      </w:r>
      <w:r>
        <w:t xml:space="preserve">(Kemp</w:t>
      </w:r>
      <w:r>
        <w:t xml:space="preserve"> </w:t>
      </w:r>
      <w:r>
        <w:rPr>
          <w:i/>
          <w:iCs/>
        </w:rPr>
        <w:t xml:space="preserve">et al.</w:t>
      </w:r>
      <w:r>
        <w:t xml:space="preserve">, 2024)</w:t>
      </w:r>
      <w:r>
        <w:t xml:space="preserve">. Crucially, this re-evaluation allows us to test a pivotal but often overlooked possibility - that the ecological narratives regarding community stability or collapse might be as much a product of the specific reconstruction method chosen as they are of the fossil data itself. By applying alternative reconstruction approaches, we can determine if the</w:t>
      </w:r>
      <w:r>
        <w:t xml:space="preserve"> </w:t>
      </w:r>
      <w:r>
        <w:t xml:space="preserve">Dunhill</w:t>
      </w:r>
      <w:r>
        <w:t xml:space="preserve"> </w:t>
      </w:r>
      <w:r>
        <w:rPr>
          <w:i/>
          <w:iCs/>
        </w:rPr>
        <w:t xml:space="preserve">et al.</w:t>
      </w:r>
      <w:r>
        <w:t xml:space="preserve"> </w:t>
      </w:r>
      <w:r>
        <w:t xml:space="preserve">(2024)</w:t>
      </w:r>
      <w:r>
        <w:t xml:space="preserve"> </w:t>
      </w:r>
      <w:r>
        <w:t xml:space="preserve">conclusions remain robust or if a different choice of reconstruction method would have led to fundamentally different inferences about extinction dynamics. Using four successive assemblages, we reconstruct ecological networks under six contrasting reconstruction classes spanning feasible, realised, and structural representations. For each reconstruction framework, we quantify emergent topology across scales, measure interaction turnover, and simulate disturbance-driven collapse. By holding species composition constant while varying the food web reconstruction approach used, this design isolates the influence of reconstruction constrained structure on inferred food web organisation and extinction dynamics, allowing us to distinguish ecological signals that are robust from those that are reconstruction contingent.</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UK, spanning the upper Pliensbachian to the upper Toarcian. This interval encompasses a major volcanic-driven hyperthermal and marine extinction event. To capture network dynamics across this transition, we defined four successive palaeo-assemblages: pre-extinction (Pliensbachian), post-extinction (Lower Toarcian), early recovery, and late recovery (Middle/Upper Toarcian). Each taxon was characterized using their size and Bambach’s ecospace framework</w:t>
      </w:r>
      <w:r>
        <w:t xml:space="preserve"> </w:t>
      </w:r>
      <w:r>
        <w:t xml:space="preserve">(Bambach</w:t>
      </w:r>
      <w:r>
        <w:t xml:space="preserve"> </w:t>
      </w:r>
      <w:r>
        <w:rPr>
          <w:i/>
          <w:iCs/>
        </w:rPr>
        <w:t xml:space="preserve">et al.</w:t>
      </w:r>
      <w:r>
        <w:t xml:space="preserve">, 2007)</w:t>
      </w:r>
      <w:r>
        <w:t xml:space="preserve">, coding for tiering, motility, and feeding mode as per</w:t>
      </w:r>
      <w:r>
        <w:t xml:space="preserve"> </w:t>
      </w:r>
      <w:r>
        <w:t xml:space="preserve">Dunhill</w:t>
      </w:r>
      <w:r>
        <w:t xml:space="preserve"> </w:t>
      </w:r>
      <w:r>
        <w:rPr>
          <w:i/>
          <w:iCs/>
        </w:rPr>
        <w:t xml:space="preserve">et al.</w:t>
      </w:r>
      <w:r>
        <w:t xml:space="preserve"> </w:t>
      </w:r>
      <w:r>
        <w:t xml:space="preserve">(2024)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palaeontological research (</w:t>
      </w:r>
      <w:r>
        <w:rPr>
          <w:i/>
          <w:iCs/>
        </w:rPr>
        <w:t xml:space="preserve">e.g.,</w:t>
      </w:r>
      <w:r>
        <w:t xml:space="preserve"> </w:t>
      </w:r>
      <w:r>
        <w:t xml:space="preserve">Fricke</w:t>
      </w:r>
      <w:r>
        <w:t xml:space="preserve"> </w:t>
      </w:r>
      <w:r>
        <w:rPr>
          <w:i/>
          <w:iCs/>
        </w:rPr>
        <w:t xml:space="preserve">et al.</w:t>
      </w:r>
      <w:r>
        <w:t xml:space="preserve"> </w:t>
      </w:r>
      <w:r>
        <w:t xml:space="preserve">(2022)</w:t>
      </w:r>
      <w:r>
        <w:t xml:space="preserve">;</w:t>
      </w:r>
      <w:r>
        <w:t xml:space="preserve"> </w:t>
      </w:r>
      <w:r>
        <w:t xml:space="preserve">Roopnarine (2006)</w:t>
      </w:r>
      <w:r>
        <w:t xml:space="preserve">;</w:t>
      </w:r>
      <w:r>
        <w:t xml:space="preserve"> </w:t>
      </w:r>
      <w:r>
        <w:t xml:space="preserve">Shaw</w:t>
      </w:r>
      <w:r>
        <w:t xml:space="preserve"> </w:t>
      </w:r>
      <w:r>
        <w:rPr>
          <w:i/>
          <w:iCs/>
        </w:rPr>
        <w:t xml:space="preserve">et al.</w:t>
      </w:r>
      <w:r>
        <w:t xml:space="preserve"> </w:t>
      </w:r>
      <w:r>
        <w:t xml:space="preserve">(2024)</w:t>
      </w:r>
      <w:r>
        <w:t xml:space="preserve">) use reconstruction approaches from within the feasibility space. That is, the reconstructions identify and encode the entire feasible diet of a species to build the network. These methods, however, represent only a subset of the broader spectrum of network construction approaches. Here, we present a suite of methods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the data. Along with one feasibility reconstruction approach we include structural models that create species agnostic networks that are structurally ‘correct’ by assigning links between nodes based on assumptions of link distributions; and realised models that create networks where links between species are constrained based on some form of ‘species choice’</w:t>
      </w:r>
      <w:r>
        <w:t xml:space="preserve"> </w:t>
      </w:r>
      <w:r>
        <w:rPr>
          <w:i/>
          <w:iCs/>
        </w:rPr>
        <w:t xml:space="preserve">e.g.,</w:t>
      </w:r>
      <w:r>
        <w:t xml:space="preserve"> </w:t>
      </w:r>
      <w:r>
        <w:t xml:space="preserve">maximising energy gain.</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network reconstruction approaches that can be used to construct food webs for both this specific community but are also broadly suited to palaeo network prediction. These reconstruction approaches span all facets of the network representation space (feasibility, realised, and structural network) and are suitable for an array of different palaeo-assemblages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Reconstruction Approach</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w:t>
                  </w:r>
                  <w:r>
                    <w:t xml:space="preserve"> </w:t>
                  </w:r>
                  <w:r>
                    <w:rPr>
                      <w:i/>
                      <w:iCs/>
                    </w:rPr>
                    <w:t xml:space="preserve">et al.</w:t>
                  </w:r>
                  <w:r>
                    <w:t xml:space="preserve"> </w:t>
                  </w:r>
                  <w:r>
                    <w:t xml:space="preserve">(2008)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w:t>
                  </w:r>
                  <w:r>
                    <w:t xml:space="preserve"> </w:t>
                  </w:r>
                  <w:r>
                    <w:rPr>
                      <w:i/>
                      <w:iCs/>
                    </w:rPr>
                    <w:t xml:space="preserve">et al.</w:t>
                  </w:r>
                  <w:r>
                    <w:t xml:space="preserve"> </w:t>
                  </w:r>
                  <w:r>
                    <w:t xml:space="preserve">(2006)</w:t>
                  </w:r>
                  <w:r>
                    <w:t xml:space="preserve">;</w:t>
                  </w:r>
                  <w:r>
                    <w:t xml:space="preserve"> </w:t>
                  </w:r>
                  <w:r>
                    <w:t xml:space="preserve">Gauzens</w:t>
                  </w:r>
                  <w:r>
                    <w:t xml:space="preserve"> </w:t>
                  </w:r>
                  <w:r>
                    <w:rPr>
                      <w:i/>
                      <w:iCs/>
                    </w:rPr>
                    <w:t xml:space="preserve">et al.</w:t>
                  </w:r>
                  <w:r>
                    <w:t xml:space="preserve"> </w:t>
                  </w:r>
                  <w:r>
                    <w:t xml:space="preserve">(2023)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w:t>
                  </w:r>
                  <w:r>
                    <w:t xml:space="preserve"> </w:t>
                  </w:r>
                  <w:r>
                    <w:rPr>
                      <w:i/>
                      <w:iCs/>
                    </w:rPr>
                    <w:t xml:space="preserve">et al.</w:t>
                  </w:r>
                  <w:r>
                    <w:t xml:space="preserve"> </w:t>
                  </w:r>
                  <w:r>
                    <w:t xml:space="preserve">(2024)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w:t>
                  </w:r>
                  <w:r>
                    <w:t xml:space="preserve"> </w:t>
                  </w:r>
                  <w:r>
                    <w:rPr>
                      <w:i/>
                      <w:iCs/>
                    </w:rPr>
                    <w:t xml:space="preserve">et al.</w:t>
                  </w:r>
                  <w:r>
                    <w:t xml:space="preserve"> </w:t>
                  </w:r>
                  <w:r>
                    <w:t xml:space="preserve">(2010)</w:t>
                  </w:r>
                </w:p>
              </w:tc>
              <w:tc>
                <w:tcPr/>
                <w:p>
                  <w:pPr>
                    <w:pStyle w:val="Compact"/>
                    <w:jc w:val="center"/>
                  </w:pPr>
                  <w:r>
                    <w:t xml:space="preserve">Estimating likely interactions; simulating cascading effects.</w:t>
                  </w:r>
                </w:p>
              </w:tc>
            </w:tr>
          </w:tbl>
          <w:bookmarkEnd w:id="11"/>
          <w:p/>
        </w:tc>
      </w:tr>
    </w:tbl>
    <w:p>
      <w:pPr>
        <w:pStyle w:val="BodyText"/>
      </w:pPr>
      <w:r>
        <w:t xml:space="preserve">The three body mass-based approaches (ADBM, ATN, Body-size ratio) differ primarily in their underlying ecological assumptions. Although all three approaches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network reconstruction approaches using the approaches listed in</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(PFIM; feasibility network). Expanded descriptions of reconstruction approach assumptions, parameterisation, and link-generation rules are provided in Supplementary Material S1. For each community, 100 networks were generated per reconstruction approach per successive community (n = 2400) to capture stochastic variation in link assignment. Where reconstruction approaches required species body mass or trait values, these were sampled within biologically reasonable ranges to preserve relative differences among species. We adopted uniform sampling by default, as alternative distributions (lognormal, truncated lognormal) have negligible impact on topology (Supplementary Material S2; Figure S1). Structural models were parameterised using connectance values drawn from an empirically realistic range (0.07 – 0.34), with species richness held constant. Identical parameter draws were applied across comparable reconstruction approaches within each replicate to ensure comparability. For the Body-size ratio model, we followed the approach of</w:t>
      </w:r>
      <w:r>
        <w:t xml:space="preserve"> </w:t>
      </w:r>
      <w:r>
        <w:t xml:space="preserve">Yeakel</w:t>
      </w:r>
      <w:r>
        <w:t xml:space="preserve"> </w:t>
      </w:r>
      <w:r>
        <w:rPr>
          <w:i/>
          <w:iCs/>
        </w:rPr>
        <w:t xml:space="preserve">et al.</w:t>
      </w:r>
      <w:r>
        <w:t xml:space="preserve"> </w:t>
      </w:r>
      <w:r>
        <w:t xml:space="preserve">(2014)</w:t>
      </w:r>
      <w:r>
        <w:t xml:space="preserve"> </w:t>
      </w:r>
      <w:r>
        <w:t xml:space="preserve">and excluded the latent trait terms.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overall network properties, motif structure, and species-level variability. Differences among reconstruction approaches were assessed using a multivariate analysis of variance (MANOVA), with reconstruction approach identity as a fixed factor and the full set of network metrics as response variables. Variance partitioning was further assessed using permutational multivariate analysis of variance (PERMANOVA). Pairwise interaction turnover was quantified using link-based</w:t>
      </w:r>
      <w:r>
        <w:t xml:space="preserve"> </w:t>
      </w:r>
      <m:oMath>
        <m:r>
          <m:t>β</m:t>
        </m:r>
      </m:oMath>
      <w:r>
        <w:t xml:space="preserve">-diversity was calculated following the framework of</w:t>
      </w:r>
      <w:r>
        <w:t xml:space="preserve"> </w:t>
      </w:r>
      <w:r>
        <w:t xml:space="preserve">Poisot</w:t>
      </w:r>
      <w:r>
        <w:t xml:space="preserve"> </w:t>
      </w:r>
      <w:r>
        <w:rPr>
          <w:i/>
          <w:iCs/>
        </w:rPr>
        <w:t xml:space="preserve">et al.</w:t>
      </w:r>
      <w:r>
        <w:t xml:space="preserve"> </w:t>
      </w:r>
      <w:r>
        <w:t xml:space="preserve">(2012)</w:t>
      </w:r>
      <w:r>
        <w:t xml:space="preserve"> </w:t>
      </w:r>
      <w:r>
        <w:t xml:space="preserve">among the four of the reconstruction frameworks (ADBM, ATN, body-size ratio, and PFIM). We excluded the purely structural Random and Niche models as they are inherently species agnostic. For each pair of reconstructed networks, we represented trophic interactions as binary adjacency matrices and calculated their dissimilarity. Specifically we looked at interaction rewiring among shared species (</w:t>
      </w:r>
      <m:oMath>
        <m:sSub>
          <m:e>
            <m:r>
              <m:t>β</m:t>
            </m:r>
          </m:e>
          <m:sub>
            <m:r>
              <m:t>O</m:t>
            </m:r>
            <m:r>
              <m:t>S</m:t>
            </m:r>
          </m:sub>
        </m:sSub>
      </m:oMath>
      <w:r>
        <w:t xml:space="preserve">), which allows separation of differences arising from altered interaction identities among species common to both networks. All calculations were performed for all reconstruction combinations within the same assemblage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S2</w:t>
                  </w:r>
                </w:p>
              </w:tc>
              <w:tc>
                <w:tcPr/>
                <w:p>
                  <w:pPr>
                    <w:pStyle w:val="Compact"/>
                    <w:jc w:val="center"/>
                  </w:pPr>
                  <w:r>
                    <w:t xml:space="preserve">Number of omnivory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S4</w:t>
                  </w:r>
                </w:p>
              </w:tc>
              <w:tc>
                <w:tcPr/>
                <w:p>
                  <w:pPr>
                    <w:pStyle w:val="Compact"/>
                    <w:jc w:val="center"/>
                  </w:pPr>
                  <w:r>
                    <w:t xml:space="preserve">Number of apparent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S5</w:t>
                  </w:r>
                </w:p>
              </w:tc>
              <w:tc>
                <w:tcPr/>
                <w:p>
                  <w:pPr>
                    <w:pStyle w:val="Compact"/>
                    <w:jc w:val="center"/>
                  </w:pPr>
                  <w:r>
                    <w:t xml:space="preserve">Number of direct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Generality</w:t>
                  </w:r>
                </w:p>
              </w:tc>
              <w:tc>
                <w:tcPr/>
                <w:p>
                  <w:pPr>
                    <w:pStyle w:val="Compact"/>
                    <w:jc w:val="center"/>
                  </w:pPr>
                  <w:r>
                    <w:t xml:space="preserve">Standard deviation of normalised generality of all species within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Standard deviation of normalised vulnerability of all species within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89f4cf6a33fc88184218f6a581bc75601516373"/>
    <w:p>
      <w:pPr>
        <w:pStyle w:val="Heading2"/>
      </w:pPr>
      <w:r>
        <w:t xml:space="preserve">2.4 Extinction simulations and reconstruction approach evaluation</w:t>
      </w:r>
    </w:p>
    <w:p>
      <w:pPr>
        <w:pStyle w:val="FirstParagraph"/>
      </w:pPr>
      <w:r>
        <w:t xml:space="preserve">Following</w:t>
      </w:r>
      <w:r>
        <w:t xml:space="preserve"> </w:t>
      </w:r>
      <w:r>
        <w:t xml:space="preserve">Dunhill</w:t>
      </w:r>
      <w:r>
        <w:t xml:space="preserve"> </w:t>
      </w:r>
      <w:r>
        <w:rPr>
          <w:i/>
          <w:iCs/>
        </w:rPr>
        <w:t xml:space="preserve">et al.</w:t>
      </w:r>
      <w:r>
        <w:t xml:space="preserve"> </w:t>
      </w:r>
      <w:r>
        <w:t xml:space="preserve">(2024)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 web metrics</w:t>
      </w:r>
      <w:r>
        <w:t xml:space="preserve"> </w:t>
      </w:r>
      <w:hyperlink w:anchor="tbl-properties">
        <w:r>
          <w:rPr>
            <w:rStyle w:val="Hyperlink"/>
          </w:rPr>
          <w:t xml:space="preserve">Table 2</w:t>
        </w:r>
      </w:hyperlink>
      <w:r>
        <w:t xml:space="preserve"> </w:t>
      </w:r>
      <w:r>
        <w:t xml:space="preserve">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w:t>
      </w:r>
      <m:oMath>
        <m:r>
          <m:t>τ</m:t>
        </m:r>
      </m:oMath>
      <w:r>
        <w:t xml:space="preserve">) was used to quantify concordance in scenario ordering across reconstruction approaches. Full methodological details are provided in the Supplementary Materials.</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w:t>
      </w:r>
      <w:r>
        <w:t xml:space="preserve"> </w:t>
      </w:r>
      <w:r>
        <w:rPr>
          <w:i/>
          <w:iCs/>
        </w:rPr>
        <w:t xml:space="preserve">et al.</w:t>
      </w:r>
      <w:r>
        <w:t xml:space="preserve">, 2017)</w:t>
      </w:r>
      <w:r>
        <w:t xml:space="preserve">. All statistical analyses, model fitting (MANOVA, PERMANOVA, GAMs), and figure production were performed in R v4.5.2</w:t>
      </w:r>
      <w:r>
        <w:t xml:space="preserve"> </w:t>
      </w:r>
      <w:r>
        <w:t xml:space="preserve">(R Core Team, 2024)</w:t>
      </w:r>
      <w:r>
        <w:t xml:space="preserve">. The empirical data, derived network datasets and code implementing network reconstruction, extinction simulations, and all analytical workflows are archived at [</w:t>
      </w:r>
      <w:r>
        <w:rPr>
          <w:b/>
          <w:bCs/>
        </w:rPr>
        <w:t xml:space="preserve">TODO</w:t>
      </w:r>
      <w:r>
        <w:t xml:space="preserve"> </w:t>
      </w:r>
      <w:r>
        <w:t xml:space="preserve">Zenodo DOI].</w:t>
      </w:r>
    </w:p>
    <w:bookmarkEnd w:id="18"/>
    <w:bookmarkEnd w:id="19"/>
    <w:bookmarkStart w:id="41" w:name="results"/>
    <w:p>
      <w:pPr>
        <w:pStyle w:val="Heading1"/>
      </w:pPr>
      <w:r>
        <w:t xml:space="preserve">3. Results</w:t>
      </w:r>
    </w:p>
    <w:p>
      <w:pPr>
        <w:pStyle w:val="FirstParagraph"/>
      </w:pPr>
      <w:r>
        <w:t xml:space="preserve">Results show that reconstruction approaches that appear similar when evaluated using network metrics can yield fundamentally different ecological narratives when interrogated at the level of interactions and extinction dynamics. Across six network reconstruction approaches, inferred food web structure, species interactions, and extinction dynamics differed consistently. Multivariate analyses showed pronounced separation among reconstruction approaches in network metric space. Reconstruction approach explained most of the variance in structural properties, leaving a distinct signature independent of community composition. Notably, approaches that were statistically similar in multivariate structural space often diverged in inferred interactions or extinction dynamics. This demonstrates that structural similarity does not guarantee concordance in species-level diets or trophic roles.</w:t>
      </w:r>
    </w:p>
    <w:p>
      <w:pPr>
        <w:pStyle w:val="BodyText"/>
      </w:pPr>
      <w:r>
        <w:t xml:space="preserve">Reconstruction approach substantially influenced inferred extinction dynamics. Temporal trajectories of network collapse, interaction loss, and motif reorganisation differed among approaches. Although node-level extinction ranking were often broadly consistent, link-level outcomes and extinction inferences were highly sensitive to reconstruction assumptions. Together, these results show that ecological inferences drawn from networks depend critically on the reconstruction framework employed.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reconstruction approach systematically alters inferred food web topology. Canonical discriminant analysis identified two dominant axes of variation, explaining 86% of between reconstruction approach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064000"/>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06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reconstruction approach types. Each point represents a replicate, and ellipses indicate 95% confidence regions for each reconstruction approach. The second column represents the correlation of the various network metrics with the respective LDA axes.</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revealed that reconstruction framework accounted for the majority of variation in multivariate network structure (</w:t>
      </w:r>
      <m:oMath>
        <m:sSup>
          <m:e>
            <m:r>
              <m:t>R</m:t>
            </m:r>
          </m:e>
          <m:sup>
            <m:r>
              <m:t>2</m:t>
            </m:r>
          </m:sup>
        </m:sSup>
      </m:oMath>
      <w:r>
        <w:t xml:space="preserve"> </w:t>
      </w:r>
      <w:r>
        <w:t xml:space="preserve">= 0.795,</w:t>
      </w:r>
      <w:r>
        <w:t xml:space="preserve"> </w:t>
      </w:r>
      <m:oMath>
        <m:r>
          <m:t>p</m:t>
        </m:r>
      </m:oMath>
      <w:r>
        <w:t xml:space="preserve"> </w:t>
      </w:r>
      <w:r>
        <w:t xml:space="preserve">&lt; 0.001), whereas temporal turnover across extinction phases explained a comparatively small proportion of variance (</w:t>
      </w:r>
      <m:oMath>
        <m:sSup>
          <m:e>
            <m:r>
              <m:t>R</m:t>
            </m:r>
          </m:e>
          <m:sup>
            <m:r>
              <m:t>2</m:t>
            </m:r>
          </m:sup>
        </m:sSup>
      </m:oMath>
      <w:r>
        <w:t xml:space="preserve"> </w:t>
      </w:r>
      <w:r>
        <w:t xml:space="preserve">= 0.064,</w:t>
      </w:r>
      <w:r>
        <w:t xml:space="preserve"> </w:t>
      </w:r>
      <m:oMath>
        <m:r>
          <m:t>p</m:t>
        </m:r>
      </m:oMath>
      <w:r>
        <w:t xml:space="preserve"> </w:t>
      </w:r>
      <w:r>
        <w:t xml:space="preserve">&lt; 0.001). The reconstruction approach</w:t>
      </w:r>
      <w:r>
        <w:t xml:space="preserve"> </w:t>
      </w:r>
      <m:oMath>
        <m:r>
          <m:rPr>
            <m:sty m:val="p"/>
          </m:rPr>
          <m:t>×</m:t>
        </m:r>
      </m:oMath>
      <w:r>
        <w:t xml:space="preserve"> </w:t>
      </w:r>
      <w:r>
        <w:t xml:space="preserve">time interaction contributed a further 7.1% of variance (</w:t>
      </w:r>
      <m:oMath>
        <m:sSup>
          <m:e>
            <m:r>
              <m:t>R</m:t>
            </m:r>
          </m:e>
          <m:sup>
            <m:r>
              <m:t>2</m:t>
            </m:r>
          </m:sup>
        </m:sSup>
      </m:oMath>
      <w:r>
        <w:t xml:space="preserve"> </w:t>
      </w:r>
      <w:r>
        <w:t xml:space="preserve">= 0.071,</w:t>
      </w:r>
      <w:r>
        <w:t xml:space="preserve"> </w:t>
      </w:r>
      <m:oMath>
        <m:r>
          <m:t>p</m:t>
        </m:r>
      </m:oMath>
      <w:r>
        <w:t xml:space="preserve"> </w:t>
      </w:r>
      <w:r>
        <w:t xml:space="preserve">&lt; 0.001), indicating limited but significant time-dependent divergence among reconstruction frameworks. Thus, differences among reconstruction approaches were more than an order of magnitude greater than structural differences associated with ecological turnover through the extinction sequence, even if the Pliensbachian-Toarcian dataset was characterised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w:t>
      </w:r>
      <m:oMath>
        <m:sSup>
          <m:e>
            <m:r>
              <m:t>R</m:t>
            </m:r>
          </m:e>
          <m:sup>
            <m:r>
              <m:t>2</m:t>
            </m:r>
          </m:sup>
        </m:sSup>
      </m:oMath>
      <w:r>
        <w:t xml:space="preserve"> </w:t>
      </w:r>
      <w:r>
        <w:t xml:space="preserve">= 0.848,</w:t>
      </w:r>
      <w:r>
        <w:t xml:space="preserve"> </w:t>
      </w:r>
      <m:oMath>
        <m:r>
          <m:t>p</m:t>
        </m:r>
      </m:oMath>
      <w:r>
        <w:t xml:space="preserve"> </w:t>
      </w:r>
      <w:r>
        <w:t xml:space="preserve">&lt; 0.001). These results demonstrate that the influence of reconstruction approach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exerted a significantly stronger influence on network topology than the ecological signal of species loss. In panel A of</w:t>
      </w:r>
      <w:r>
        <w:t xml:space="preserve"> </w:t>
      </w:r>
      <w:hyperlink w:anchor="fig-anova">
        <w:r>
          <w:rPr>
            <w:rStyle w:val="Hyperlink"/>
          </w:rPr>
          <w:t xml:space="preserve">Figure 2</w:t>
        </w:r>
      </w:hyperlink>
      <w:r>
        <w:t xml:space="preserve"> </w:t>
      </w:r>
      <w:r>
        <w:t xml:space="preserve">it is clear that for certain network metrics reconstruction approaches predict different responses across time</w:t>
      </w:r>
      <w:r>
        <w:t xml:space="preserve"> </w:t>
      </w:r>
      <w:r>
        <w:rPr>
          <w:i/>
          <w:iCs/>
        </w:rPr>
        <w:t xml:space="preserve">e.g.,</w:t>
      </w:r>
      <w:r>
        <w:t xml:space="preserve"> </w:t>
      </w:r>
      <w:r>
        <w:t xml:space="preserve">connectance, as well as differing magnitudes of change</w:t>
      </w:r>
      <w:r>
        <w:t xml:space="preserve"> </w:t>
      </w:r>
      <w:r>
        <w:rPr>
          <w:i/>
          <w:iCs/>
        </w:rPr>
        <w:t xml:space="preserve">e.g.,</w:t>
      </w:r>
      <w:r>
        <w:t xml:space="preserve"> </w:t>
      </w:r>
      <w:r>
        <w:t xml:space="preserve">the number of apparent cmpetition motifs.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meso-scale motifs (</w:t>
      </w:r>
      <w:hyperlink w:anchor="fig-anova">
        <w:r>
          <w:rPr>
            <w:rStyle w:val="Hyperlink"/>
          </w:rPr>
          <w:t xml:space="preserve">Figure 2</w:t>
        </w:r>
      </w:hyperlink>
      <w:r>
        <w:t xml:space="preserve">, panel B; Table S3). While the extinction event (time bin) significantly altered network structure (p&lt;0.001), its relative importance remained secondary, typically explaining a smaller fraction of the total topological variation. This is clear in panel B of</w:t>
      </w:r>
      <w:r>
        <w:t xml:space="preserve"> </w:t>
      </w:r>
      <w:hyperlink w:anchor="fig-anova">
        <w:r>
          <w:rPr>
            <w:rStyle w:val="Hyperlink"/>
          </w:rPr>
          <w:t xml:space="preserve">Figure 2</w:t>
        </w:r>
      </w:hyperlink>
      <w:r>
        <w:t xml:space="preserve"> </w:t>
      </w:r>
      <w:r>
        <w:t xml:space="preserve">where all metrics are within the bottom-right (reconstruction approach-dominated) quadrant of this space, emphasising that framework assumptions outweigh the ecological signal of species loss. Furthermore, the high inter-reconstruction approach Coefficient of Variation (CV) observed for some metrics (Table S4, Figure S4) highlights a sensitivity. The properties that are influenced by time are also those upon which the reconstruction approaches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8107680"/>
                  <wp:effectExtent b="0" l="0" r="0" t="0"/>
                  <wp:docPr descr="" title="" id="26" name="Picture"/>
                  <a:graphic>
                    <a:graphicData uri="http://schemas.openxmlformats.org/drawingml/2006/picture">
                      <pic:pic>
                        <pic:nvPicPr>
                          <pic:cNvPr descr="figures/combined_ANOVA_time.png" id="27" name="Picture"/>
                          <pic:cNvPicPr>
                            <a:picLocks noChangeArrowheads="1" noChangeAspect="1"/>
                          </pic:cNvPicPr>
                        </pic:nvPicPr>
                        <pic:blipFill>
                          <a:blip r:embed="rId25"/>
                          <a:stretch>
                            <a:fillRect/>
                          </a:stretch>
                        </pic:blipFill>
                        <pic:spPr bwMode="auto">
                          <a:xfrm>
                            <a:off x="0" y="0"/>
                            <a:ext cx="5334000" cy="8107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A</w:t>
            </w:r>
            <w:r>
              <w:t xml:space="preserve"> </w:t>
            </w:r>
            <w:r>
              <w:t xml:space="preserve">Changes in network metrics through time, expressed as deviation from Pre-Extinction conditions (Δ). Metrics are faceted and scaled independently to highlight differences in temporal trajectories across different network properties.</w:t>
            </w:r>
            <w:r>
              <w:t xml:space="preserve"> </w:t>
            </w:r>
            <w:r>
              <w:rPr>
                <w:b/>
                <w:bCs/>
              </w:rPr>
              <w:t xml:space="preserve">B</w:t>
            </w:r>
            <w:r>
              <w:t xml:space="preserve"> </w:t>
            </w:r>
            <w:r>
              <w:t xml:space="preserve">Scatter plot illustrating the influence of reconstruction approach (x-axis) and time (y-axis) across network metrics. The dashed 1:1 diagonal represents parity of influence; metrics below this line are governed primarily by reconstruction approach and those above by time. Bubble size indicates the interaction between reconstruction approach and time, while colour indicates inter reconstruction approach disagreement (mean CV%); greener bubbles signify metrics where reconstruction approaches show the highest divergence in their structural predictions.</w:t>
            </w:r>
          </w:p>
          <w:bookmarkEnd w:id="28"/>
        </w:tc>
      </w:tr>
    </w:tbl>
    <w:bookmarkEnd w:id="29"/>
    <w:bookmarkStart w:id="34" w:name="X9fcddbbac710043f61693d23beb4156e4b28d77"/>
    <w:p>
      <w:pPr>
        <w:pStyle w:val="Heading3"/>
      </w:pPr>
      <w:r>
        <w:t xml:space="preserve">3.1.3 Inferred pairwise interactions vary widely among reconstruction approaches</w:t>
      </w:r>
    </w:p>
    <w:p>
      <w:pPr>
        <w:pStyle w:val="FirstParagraph"/>
      </w:pPr>
      <w:r>
        <w:t xml:space="preserve">Despite some network reconstruction approaches showing similar netwrok metrics, specific pairwise interactions often differed. Pairwise</w:t>
      </w:r>
      <w:r>
        <w:t xml:space="preserve"> </w:t>
      </w:r>
      <m:oMath>
        <m:sSub>
          <m:e>
            <m:r>
              <m:t>β</m:t>
            </m:r>
          </m:e>
          <m:sub>
            <m:r>
              <m:t>O</m:t>
            </m:r>
            <m:r>
              <m:t>S</m:t>
            </m:r>
          </m:sub>
        </m:sSub>
      </m:oMath>
      <w:r>
        <w:t xml:space="preserve"> </w:t>
      </w:r>
      <w:r>
        <w:t xml:space="preserve">revealed that certain reconstruction approach pairs shared very few links</w:t>
      </w:r>
      <w:r>
        <w:t xml:space="preserve">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reconstruction approaches. PFIM showed intermediate overlap with body mass-based models. These results demonstrate that agreement in overall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w:t>
            </w:r>
            <w:r>
              <w:t xml:space="preserve"> </w:t>
            </w:r>
            <m:oMath>
              <m:sSub>
                <m:e>
                  <m:r>
                    <m:t>β</m:t>
                  </m:r>
                </m:e>
                <m:sub>
                  <m:r>
                    <m:t>O</m:t>
                  </m:r>
                  <m:r>
                    <m:t>S</m:t>
                  </m:r>
                </m:sub>
              </m:sSub>
            </m:oMath>
            <w:r>
              <w:t xml:space="preserve"> </w:t>
            </w:r>
            <w:r>
              <w:t xml:space="preserve">in species interactions among four ecological network reconstruction approaches (ADBM, ATN, Body-size ratio, and PFIM). Each cell represents the mean turnover value between a pair of reconstruction approaches, with darker colours indicating greater dissimilarity in inferred interactions. High turnover values indicate strong disagreement in pairwise interactions between reconstruction approaches, whereas lower values indicate greater similarity. Note that we do not include the Random or Niche model as these reconstruction approaches are species agnostic and thus we cannot truly evaluate differences in pairwise interactions</w:t>
            </w:r>
          </w:p>
          <w:bookmarkEnd w:id="33"/>
        </w:tc>
      </w:tr>
    </w:tbl>
    <w:bookmarkEnd w:id="34"/>
    <w:bookmarkEnd w:id="35"/>
    <w:bookmarkStart w:id="40" w:name="X6f2735200bed949fd988e0a43cf05969744067d"/>
    <w:p>
      <w:pPr>
        <w:pStyle w:val="Heading2"/>
      </w:pPr>
      <w:r>
        <w:t xml:space="preserve">3.2 Reconstruction approach choice influences inferred extinction dynamics</w:t>
      </w:r>
    </w:p>
    <w:p>
      <w:pPr>
        <w:pStyle w:val="FirstParagraph"/>
      </w:pPr>
      <w:r>
        <w:t xml:space="preserve">To evaluate how reconstruction approach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reconstruction approaches, MAD-based rankings were generally positively correlated (Kendall’s</w:t>
      </w:r>
      <w:r>
        <w:t xml:space="preserve"> </w:t>
      </w:r>
      <m:oMath>
        <m:r>
          <m:t>τ</m:t>
        </m:r>
      </m:oMath>
      <w:r>
        <w:t xml:space="preserve"> </w:t>
      </w:r>
      <w:r>
        <w:t xml:space="preserve">≈ 0.13 across structural metrics), indicating weak but generally positive concordance on the relative importance of extinction drivers despite substantial differences in reconstructed network structure. However, agreement within the allometric models differed from patterns observed for reconstructed network structure.</w:t>
      </w:r>
    </w:p>
    <w:p>
      <w:pPr>
        <w:pStyle w:val="BodyText"/>
      </w:pPr>
      <w:r>
        <w:t xml:space="preserve">Node-level TSS rankings were similarly consistent across network reconstruction approaches (Kendall’s</w:t>
      </w:r>
      <w:r>
        <w:t xml:space="preserve"> </w:t>
      </w:r>
      <m:oMath>
        <m:r>
          <m:t>τ</m:t>
        </m:r>
      </m:oMath>
      <w:r>
        <w:t xml:space="preserve"> </w:t>
      </w:r>
      <w:r>
        <w:t xml:space="preserve">= 0.26 - 0.90), reflecting broadly comparable node-level removal sequences. In contrast, link-level outcomes were far more variable (Kendall’s</w:t>
      </w:r>
      <w:r>
        <w:t xml:space="preserve"> </w:t>
      </w:r>
      <m:oMath>
        <m:r>
          <m:t>τ</m:t>
        </m:r>
      </m:oMath>
      <w:r>
        <w:t xml:space="preserve"> </w:t>
      </w:r>
      <w:r>
        <w:t xml:space="preserve">= −0.48 - 0.29), highlighting that inferences about which interactions are lost, retained, or re-established during collapse and recovery are highly reconstruction approach contingent. Together, these results suggest that while alternative reconstruction approaches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reconstruction approaches for each network metric. Each panel corresponds to a different metric and displays the degree of agreement in extinction-scenario rankings across reconstruction approaches based on mean absolute differences (MAD) between observed and predicted network values. Positive</w:t>
            </w:r>
            <w:r>
              <w:t xml:space="preserve"> </w:t>
            </w:r>
            <m:oMath>
              <m:r>
                <m:t>τ</m:t>
              </m:r>
            </m:oMath>
            <w:r>
              <w:t xml:space="preserve"> </w:t>
            </w:r>
            <w:r>
              <w:t xml:space="preserve">values (purple) indicate concordant rankings between reconstruction approaches, whereas negative</w:t>
            </w:r>
            <w:r>
              <w:t xml:space="preserve"> </w:t>
            </w:r>
            <m:oMath>
              <m:r>
                <m:t>τ</m:t>
              </m:r>
            </m:oMath>
            <w:r>
              <w:t xml:space="preserve"> </w:t>
            </w:r>
            <w:r>
              <w:t xml:space="preserve">values (sienna) indicate opposing rankings. Warmer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 - that reconstructed networks provide structurally comparable representations of ecological communities, such that differences in connectance, trophic structure, motif composition, or robustness primarily reflect biological variation.</w:t>
      </w:r>
    </w:p>
    <w:p>
      <w:pPr>
        <w:pStyle w:val="BodyText"/>
      </w:pPr>
      <w:r>
        <w:t xml:space="preserve">This assumption is particularly critical to evaluate within the context of deep-time palaeoecological data. Because interactions in fossil ecosystems are never observed directly, they must explicitly be formed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palaeoecological signals. Consequently, deep-time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Reconstruction framework explained the overwhelming majority of variance in inferred food web topology, far outweighing the influence of temporal turnover across extinction and recovery phases. Across an identical regional taxon pool, alternative reconstruction approaches generated distinct structural signatures that occupied non-overlapping regions of multivariate space</w:t>
      </w:r>
      <w:r>
        <w:t xml:space="preserve"> </w:t>
      </w:r>
      <w:hyperlink w:anchor="fig-structure">
        <w:r>
          <w:rPr>
            <w:rStyle w:val="Hyperlink"/>
          </w:rPr>
          <w:t xml:space="preserve">Figure 1</w:t>
        </w:r>
      </w:hyperlink>
      <w:r>
        <w:t xml:space="preserve">, demonstrating that divergence among reconstruction approaches reflects intrinsic differences in how interactions are organised rather than temporal shifts in community composition. Even after centring metrics within time bins (extinction phases) to remove between-bin mean differences, reconstruction approach remained the dominant driver of structural variation. These results indicate that reconstruction approaches impose distinct</w:t>
      </w:r>
      <w:r>
        <w:t xml:space="preserve"> </w:t>
      </w:r>
      <w:r>
        <w:t xml:space="preserve">‘structural priors’</w:t>
      </w:r>
      <w:r>
        <w:t xml:space="preserve"> </w:t>
      </w:r>
      <w:r>
        <w:t xml:space="preserve">on ecological inference. These priors are not subtle; they propagate into emergent topology, species roles, and predictions of disturbance dynamics. Network structure is therefore not solely a property of ecological communities, but jointly determined by ecological data, reconstruction assumptions, and level of organisation</w:t>
      </w:r>
      <w:r>
        <w:t xml:space="preserve"> </w:t>
      </w:r>
      <w:r>
        <w:t xml:space="preserve">(Gauzens</w:t>
      </w:r>
      <w:r>
        <w:t xml:space="preserve"> </w:t>
      </w:r>
      <w:r>
        <w:rPr>
          <w:i/>
          <w:iCs/>
        </w:rPr>
        <w:t xml:space="preserve">et al.</w:t>
      </w:r>
      <w:r>
        <w:t xml:space="preserve">, 2025; Strydom</w:t>
      </w:r>
      <w:r>
        <w:t xml:space="preserve"> </w:t>
      </w:r>
      <w:r>
        <w:rPr>
          <w:i/>
          <w:iCs/>
        </w:rPr>
        <w:t xml:space="preserve">et al.</w:t>
      </w:r>
      <w:r>
        <w:t xml:space="preserve">, 2026)</w:t>
      </w:r>
      <w:r>
        <w:t xml:space="preserve">.</w:t>
      </w:r>
    </w:p>
    <w:p>
      <w:pPr>
        <w:pStyle w:val="BodyText"/>
      </w:pPr>
      <w:r>
        <w:t xml:space="preserve">Crucially, this dominance was not confined to multivariate summaries. Variance partitioning at the level of individual network properties revealed that reconstruction approach overwhelmingly structured specific ecological metrics, with partial η² values exceeding 0.9 for meso-scale motif composition and remaining consistently high across macro- and micro-scale properties. Thus the imprint of reconstruction framework is visible not only in aggregate topology but in the very structural features often interpreted as ecological signals — trophic height, competition, and variability in species roles. Notably, the few properties that exhibited detectable temporal sensitivity were also those with the greatest inter-reconstruction approach disagreement, indicating that temporal trends is most difficult to disentangle when reconstruction frameworks diverge most strongly. These results suggest that structural assumptions do not merely shift networks within a shared architectural space; they condition the specific patterns through which ecological change is perceived and interpreted.</w:t>
      </w:r>
    </w:p>
    <w:p>
      <w:pPr>
        <w:pStyle w:val="BodyText"/>
      </w:pPr>
      <w:r>
        <w:t xml:space="preserve">This has direct implications for the interpretation of comparative network studies. Feasible, realised, and structural reconstruction approaches encode different assumptions about constraint, optimisation, and topology, with these assumptions propagating into emergent metrics and dynamical predictions</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 Poisot &amp; Gravel, 2014; Michalska-Smith &amp; Allesina, 2019)</w:t>
      </w:r>
      <w:r>
        <w:t xml:space="preserve">. When networks reconstructed under different classes are compared across spatial gradients, disturbance regimes, or evolutionary transitions, part of the observed variation may derive from reconstruction choice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network scales (macro-, mesio-, micro- level properties). Node-level extinction rankings were broadly consistent among reconstruction approaches, whereas interaction-level outcomes and cascade trajectories were highly contingent on reconstruction approach. The predominance of reconstruction framework over temporal turnover (~80% vs. 6% variance explained) illustrates why coarse-grained patterns like node-level extinction rankings are more robust. reconstruction approach-imposed structure dominates the overall topology, leaving interaction dynamics highly contingent on framework choice. This asymmetry reveals a context-dependent pattern of robustness. Coarse-grained macroecological patterns (such as the vulnerability of a community to collapse)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the use of detailed interaction structure to diagnose mechanisms of stability and collapse. Our findings suggest that while coarse-grained patterns might be shared across methods, fine-grained mechanistic narratives (such as the specific pathways of interaction loss) are much more precarious. This implies that had</w:t>
      </w:r>
      <w:r>
        <w:t xml:space="preserve"> </w:t>
      </w:r>
      <w:r>
        <w:t xml:space="preserve">Dunhill</w:t>
      </w:r>
      <w:r>
        <w:t xml:space="preserve"> </w:t>
      </w:r>
      <w:r>
        <w:rPr>
          <w:i/>
          <w:iCs/>
        </w:rPr>
        <w:t xml:space="preserve">et al.</w:t>
      </w:r>
      <w:r>
        <w:t xml:space="preserve"> </w:t>
      </w:r>
      <w:r>
        <w:t xml:space="preserve">(2024)</w:t>
      </w:r>
      <w:r>
        <w:t xml:space="preserve"> </w:t>
      </w:r>
      <w:r>
        <w:t xml:space="preserve">selected a different reconstruction method, the resulting inferences regarding the drivers of extinctions and subsequent recovery could have pointed to entirely different ecological mechanisms. If interaction-level cascade pathways vary substantially across equally plausible reconstructions, then mechanistic narratives derived from a single inferred topology may overstate their precision</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w:t>
      </w:r>
      <w:r>
        <w:t xml:space="preserve">. The apparent determinism of extinction cascades may therefore partly reflect reconstruction-imposed structure rather than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reconstruction approach encodes a distinct set of ecological assumptions. The inferred topology and dynamics of a food web therefore reflect not only ecological data, but the theoretical assumptions embedded in the reconstruction framework. Disagreement among reconstruction approaches does not imply that any single approach is ‘wrong’, but rather that different reconstruction approaches capture different facets of ecological reality</w:t>
      </w:r>
      <w:r>
        <w:t xml:space="preserve"> </w:t>
      </w:r>
      <w:r>
        <w:t xml:space="preserve">(Petchey</w:t>
      </w:r>
      <w:r>
        <w:t xml:space="preserve"> </w:t>
      </w:r>
      <w:r>
        <w:rPr>
          <w:i/>
          <w:iCs/>
        </w:rPr>
        <w:t xml:space="preserve">et al.</w:t>
      </w:r>
      <w:r>
        <w:t xml:space="preserve">, 2011; Stouffer, 2019)</w:t>
      </w:r>
      <w:r>
        <w:t xml:space="preserve">. Disagreement among reconstruction approaches does not imply that any single approach is</w:t>
      </w:r>
      <w:r>
        <w:t xml:space="preserve"> </w:t>
      </w:r>
      <w:r>
        <w:t xml:space="preserve">‘incorrect’</w:t>
      </w:r>
      <w:r>
        <w:t xml:space="preserve">. Rather, different reconstruction approaches capture different facets of ecological constraint—trait compatibility, energetic optimisation, or topological regularity. The critical point is that these facets are not interchangeable.</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network reconstruction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(Tylianakis</w:t>
      </w:r>
      <w:r>
        <w:t xml:space="preserve"> </w:t>
      </w:r>
      <w:r>
        <w:rPr>
          <w:i/>
          <w:iCs/>
        </w:rPr>
        <w:t xml:space="preserve">et al.</w:t>
      </w:r>
      <w:r>
        <w:t xml:space="preserve">, 2008; Gilman</w:t>
      </w:r>
      <w:r>
        <w:t xml:space="preserve"> </w:t>
      </w:r>
      <w:r>
        <w:rPr>
          <w:i/>
          <w:iCs/>
        </w:rPr>
        <w:t xml:space="preserve">et al.</w:t>
      </w:r>
      <w:r>
        <w:t xml:space="preserve">, 2010)</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w:t>
      </w:r>
      <w:r>
        <w:t xml:space="preserve"> </w:t>
      </w:r>
      <w:r>
        <w:rPr>
          <w:i/>
          <w:iCs/>
        </w:rPr>
        <w:t xml:space="preserve">et al.</w:t>
      </w:r>
      <w:r>
        <w:t xml:space="preserve">, 2025; Marjakangas</w:t>
      </w:r>
      <w:r>
        <w:t xml:space="preserve"> </w:t>
      </w:r>
      <w:r>
        <w:rPr>
          <w:i/>
          <w:iCs/>
        </w:rPr>
        <w:t xml:space="preserve">et al.</w:t>
      </w:r>
      <w:r>
        <w:t xml:space="preserve">, 2025)</w:t>
      </w:r>
      <w:r>
        <w:t xml:space="preserve">. These studies frequently interpret variation in connectance, trophic height, interaction</w:t>
      </w:r>
      <w:r>
        <w:t xml:space="preserve"> </w:t>
      </w:r>
      <m:oMath>
        <m:r>
          <m:t>β</m:t>
        </m:r>
      </m:oMath>
      <w:r>
        <w:t xml:space="preserve">-diversity, or robustness as indicators of ecological differentiation among regions or time intervals</w:t>
      </w:r>
      <w:r>
        <w:t xml:space="preserve"> </w:t>
      </w:r>
      <w:r>
        <w:t xml:space="preserve">(</w:t>
      </w:r>
      <w:r>
        <w:rPr>
          <w:i/>
          <w:iCs/>
        </w:rPr>
        <w:t xml:space="preserve">e.g.,</w:t>
      </w:r>
      <w:r>
        <w:t xml:space="preserve"> </w:t>
      </w:r>
      <w:r>
        <w:t xml:space="preserve">Pellissier</w:t>
      </w:r>
      <w:r>
        <w:t xml:space="preserve"> </w:t>
      </w:r>
      <w:r>
        <w:rPr>
          <w:i/>
          <w:iCs/>
        </w:rPr>
        <w:t xml:space="preserve">et al.</w:t>
      </w:r>
      <w:r>
        <w:t xml:space="preserve">, 2018; Trøjelsgaard &amp; Olesen, 2016)</w:t>
      </w:r>
      <w:r>
        <w:t xml:space="preserve">. Our results show that such differences can systematically alter inferred topology and disturbance dynamics even when species composition is held constant. This suggests that apparent differences in network structure across spatial or climate gradients may reflect variation in reconstruction as much as ecological process.</w:t>
      </w:r>
    </w:p>
    <w:p>
      <w:pPr>
        <w:pStyle w:val="BodyText"/>
      </w:pPr>
      <w:r>
        <w:t xml:space="preserve">Deep-time palaeo 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w:t>
      </w:r>
      <w:r>
        <w:t xml:space="preserve"> </w:t>
      </w:r>
      <w:r>
        <w:rPr>
          <w:i/>
          <w:iCs/>
        </w:rPr>
        <w:t xml:space="preserve">et al.</w:t>
      </w:r>
      <w:r>
        <w:t xml:space="preserve"> </w:t>
      </w:r>
      <w:r>
        <w:t xml:space="preserve">(2024)</w:t>
      </w:r>
      <w:r>
        <w:t xml:space="preserve">;</w:t>
      </w:r>
      <w:r>
        <w:t xml:space="preserve"> </w:t>
      </w:r>
      <w:r>
        <w:t xml:space="preserve">Karapunar</w:t>
      </w:r>
      <w:r>
        <w:t xml:space="preserve"> </w:t>
      </w:r>
      <w:r>
        <w:rPr>
          <w:i/>
          <w:iCs/>
        </w:rPr>
        <w:t xml:space="preserve">et al.</w:t>
      </w:r>
      <w:r>
        <w:t xml:space="preserve"> </w:t>
      </w:r>
      <w:r>
        <w:t xml:space="preserve">(2026)</w:t>
      </w:r>
      <w:r>
        <w:t xml:space="preserve">;</w:t>
      </w:r>
      <w:r>
        <w:t xml:space="preserve"> </w:t>
      </w:r>
      <w:r>
        <w:t xml:space="preserve">Smith</w:t>
      </w:r>
      <w:r>
        <w:t xml:space="preserve"> </w:t>
      </w:r>
      <w:r>
        <w:rPr>
          <w:i/>
          <w:iCs/>
        </w:rPr>
        <w:t xml:space="preserve">et al.</w:t>
      </w:r>
      <w:r>
        <w:t xml:space="preserve"> </w:t>
      </w:r>
      <w:r>
        <w:t xml:space="preserve">(2025)</w:t>
      </w:r>
      <w:r>
        <w:t xml:space="preserve">). Fossil networks therefore represent natural experiments for evaluating resilience, trophic reorganisation, and recovery following extreme environmental change. Studies of palaeo food webs have demonstrated how network structure mediates extinction cascades and post-disturbance reassembly</w:t>
      </w:r>
      <w:r>
        <w:t xml:space="preserve"> </w:t>
      </w:r>
      <w:r>
        <w:t xml:space="preserve">(Roopnarine, 2006; Dunne</w:t>
      </w:r>
      <w:r>
        <w:t xml:space="preserve"> </w:t>
      </w:r>
      <w:r>
        <w:rPr>
          <w:i/>
          <w:iCs/>
        </w:rPr>
        <w:t xml:space="preserve">et al.</w:t>
      </w:r>
      <w:r>
        <w:t xml:space="preserve">, 2008)</w:t>
      </w:r>
      <w:r>
        <w:t xml:space="preserve">, providing empirical constraints on long-term ecological stability.</w:t>
      </w:r>
    </w:p>
    <w:p>
      <w:pPr>
        <w:pStyle w:val="BodyText"/>
      </w:pPr>
      <w:r>
        <w:t xml:space="preserve">However, our results emphasise that even in deep-time systems structural conclusions remain sensitive to reconstruction approaches. Treating reconstructed networks as ensembles rather than single deterministic representations provides a more transparent framework for incorporating uncertainty into comparative macroecology and for using palaeo data to inform expectations about modern climate-driven reorganisation.</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w:t>
      </w:r>
      <w:r>
        <w:t xml:space="preserve"> </w:t>
      </w:r>
      <w:r>
        <w:t xml:space="preserve">‘correct’</w:t>
      </w:r>
      <w:r>
        <w:t xml:space="preserve"> </w:t>
      </w:r>
      <w:r>
        <w:t xml:space="preserve">or</w:t>
      </w:r>
      <w:r>
        <w:t xml:space="preserve"> </w:t>
      </w:r>
      <w:r>
        <w:t xml:space="preserve">‘incorrect’</w:t>
      </w:r>
      <w:r>
        <w:t xml:space="preserve">. Rather, each reconstruction approach represents a distinct hypothesis about how interactions are constrained—by trait compatibility, energetic optimisation, or topological regularity</w:t>
      </w:r>
      <w:r>
        <w:t xml:space="preserve"> </w:t>
      </w:r>
      <w:r>
        <w:t xml:space="preserve">(Petchey</w:t>
      </w:r>
      <w:r>
        <w:t xml:space="preserve"> </w:t>
      </w:r>
      <w:r>
        <w:rPr>
          <w:i/>
          <w:iCs/>
        </w:rPr>
        <w:t xml:space="preserve">et al.</w:t>
      </w:r>
      <w:r>
        <w:t xml:space="preserve">,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reconstruction approaches as testable,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(Poisot</w:t>
      </w:r>
      <w:r>
        <w:t xml:space="preserve"> </w:t>
      </w:r>
      <w:r>
        <w:rPr>
          <w:i/>
          <w:iCs/>
        </w:rPr>
        <w:t xml:space="preserve">et al.</w:t>
      </w:r>
      <w:r>
        <w:t xml:space="preserve">, 2016; Banville</w:t>
      </w:r>
      <w:r>
        <w:t xml:space="preserve"> </w:t>
      </w:r>
      <w:r>
        <w:rPr>
          <w:i/>
          <w:iCs/>
        </w:rPr>
        <w:t xml:space="preserve">et al.</w:t>
      </w:r>
      <w:r>
        <w:t xml:space="preserve">, 2025)</w:t>
      </w:r>
      <w:r>
        <w:t xml:space="preserve">.</w:t>
      </w:r>
    </w:p>
    <w:bookmarkEnd w:id="45"/>
    <w:bookmarkEnd w:id="46"/>
    <w:bookmarkStart w:id="47"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different reconstruction approaches systematically influence inferred food web topology, interaction identity, and disturbance dynamics. Some coarse-grained patterns, such as relative species vulnerability, are comparatively robust across representations. In contrast, fine-scale interaction structure and cascade pathways are highly contingent on reconstruction approach.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reconstruction approaches as much as ecological processes. Network reconstruction should thus be treated as an explicit component of hypothesis specification in comparative macroecology and biogeography.</w:t>
      </w:r>
    </w:p>
    <w:p>
      <w:pPr>
        <w:pStyle w:val="BodyText"/>
      </w:pPr>
      <w:r>
        <w:t xml:space="preserve">No single reconstruction approach captures the full complexity of ecological organisation, but neither are alternative reconstruction approaches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deep-time systems to inform expectations under contemporary climate change. As ecological networks increasingly inform global change research, recognising network reconstruction as fundamental determinants of inference is critical for advancing food web ecology from descriptive reconstruction toward rigorous comparative synthesis.</w:t>
      </w:r>
    </w:p>
    <w:bookmarkEnd w:id="47"/>
    <w:bookmarkStart w:id="154" w:name="references"/>
    <w:p>
      <w:pPr>
        <w:pStyle w:val="Heading1"/>
      </w:pPr>
      <w:r>
        <w:t xml:space="preserve">References</w:t>
      </w:r>
    </w:p>
    <w:bookmarkStart w:id="153" w:name="refs"/>
    <w:bookmarkStart w:id="49" w:name="ref-allesina2012"/>
    <w:p>
      <w:pPr>
        <w:pStyle w:val="Bibliography"/>
      </w:pPr>
      <w:r>
        <w:t xml:space="preserve">Allesina, S. &amp; Tang, S. (2012)</w:t>
      </w:r>
      <w:r>
        <w:t xml:space="preserve"> </w:t>
      </w:r>
      <w:hyperlink r:id="rId48">
        <w:r>
          <w:rPr>
            <w:rStyle w:val="Hyperlink"/>
          </w:rPr>
          <w:t xml:space="preserve">Stability criteria for complex ecosystems</w:t>
        </w:r>
      </w:hyperlink>
      <w:r>
        <w:t xml:space="preserve">.</w:t>
      </w:r>
      <w:r>
        <w:t xml:space="preserve"> </w:t>
      </w:r>
      <w:r>
        <w:rPr>
          <w:i/>
          <w:iCs/>
        </w:rPr>
        <w:t xml:space="preserve">Nature</w:t>
      </w:r>
      <w:r>
        <w:t xml:space="preserve">,</w:t>
      </w:r>
      <w:r>
        <w:t xml:space="preserve"> </w:t>
      </w:r>
      <w:r>
        <w:rPr>
          <w:b/>
          <w:bCs/>
        </w:rPr>
        <w:t xml:space="preserve">483</w:t>
      </w:r>
      <w:r>
        <w:t xml:space="preserve">, 205–208.</w:t>
      </w:r>
    </w:p>
    <w:bookmarkEnd w:id="49"/>
    <w:bookmarkStart w:id="51" w:name="ref-bambach2007"/>
    <w:p>
      <w:pPr>
        <w:pStyle w:val="Bibliography"/>
      </w:pPr>
      <w:r>
        <w:t xml:space="preserve">Bambach, R.K., Bush, A.M. &amp; Erwin, D.H. (2007)</w:t>
      </w:r>
      <w:r>
        <w:t xml:space="preserve"> </w:t>
      </w:r>
      <w:hyperlink r:id="rId50">
        <w:r>
          <w:rPr>
            <w:rStyle w:val="Hyperlink"/>
          </w:rPr>
          <w:t xml:space="preserve">Autecology and the filling of ecospace: Key metazoan radiations</w:t>
        </w:r>
      </w:hyperlink>
      <w:r>
        <w:t xml:space="preserve">.</w:t>
      </w:r>
      <w:r>
        <w:t xml:space="preserve"> </w:t>
      </w:r>
      <w:r>
        <w:rPr>
          <w:i/>
          <w:iCs/>
        </w:rPr>
        <w:t xml:space="preserve">Palaeontology</w:t>
      </w:r>
      <w:r>
        <w:t xml:space="preserve">,</w:t>
      </w:r>
      <w:r>
        <w:t xml:space="preserve"> </w:t>
      </w:r>
      <w:r>
        <w:rPr>
          <w:b/>
          <w:bCs/>
        </w:rPr>
        <w:t xml:space="preserve">50</w:t>
      </w:r>
      <w:r>
        <w:t xml:space="preserve">, 1–22.</w:t>
      </w:r>
    </w:p>
    <w:bookmarkEnd w:id="51"/>
    <w:bookmarkStart w:id="53" w:name="ref-banville2025"/>
    <w:p>
      <w:pPr>
        <w:pStyle w:val="Bibliography"/>
      </w:pPr>
      <w:r>
        <w:t xml:space="preserve">Banville, F., Strydom, T., Blyth, P.S.A., Brimacombe, C., Catchen, M.D., Dansereau, G., Higino, G., Malpas, T., Mayall, H., Norman, K., Gravel, D. &amp; Poisot, T. (2025)</w:t>
      </w:r>
      <w:r>
        <w:t xml:space="preserve"> </w:t>
      </w:r>
      <w:hyperlink r:id="rId52">
        <w:r>
          <w:rPr>
            <w:rStyle w:val="Hyperlink"/>
          </w:rPr>
          <w:t xml:space="preserve">Deciphering probabilistic species interaction networks</w:t>
        </w:r>
      </w:hyperlink>
      <w:r>
        <w:t xml:space="preserve">.</w:t>
      </w:r>
      <w:r>
        <w:t xml:space="preserve"> </w:t>
      </w:r>
      <w:r>
        <w:rPr>
          <w:i/>
          <w:iCs/>
        </w:rPr>
        <w:t xml:space="preserve">Ecology Letters</w:t>
      </w:r>
      <w:r>
        <w:t xml:space="preserve">,</w:t>
      </w:r>
      <w:r>
        <w:t xml:space="preserve"> </w:t>
      </w:r>
      <w:r>
        <w:rPr>
          <w:b/>
          <w:bCs/>
        </w:rPr>
        <w:t xml:space="preserve">28</w:t>
      </w:r>
      <w:r>
        <w:t xml:space="preserve">, e70161.</w:t>
      </w:r>
    </w:p>
    <w:bookmarkEnd w:id="53"/>
    <w:bookmarkStart w:id="55" w:name="ref-Bezanson2017Julia"/>
    <w:p>
      <w:pPr>
        <w:pStyle w:val="Bibliography"/>
      </w:pPr>
      <w:r>
        <w:t xml:space="preserve">Bezanson, J., Edelman, A., Karpinski, S. &amp; Shah, V.B. (2017)</w:t>
      </w:r>
      <w:r>
        <w:t xml:space="preserve"> </w:t>
      </w:r>
      <w:hyperlink r:id="rId54">
        <w:r>
          <w:rPr>
            <w:rStyle w:val="Hyperlink"/>
          </w:rPr>
          <w:t xml:space="preserve">Julia: A fresh approach to numerical computing</w:t>
        </w:r>
      </w:hyperlink>
      <w:r>
        <w:t xml:space="preserve">.</w:t>
      </w:r>
      <w:r>
        <w:t xml:space="preserve"> </w:t>
      </w:r>
      <w:r>
        <w:rPr>
          <w:i/>
          <w:iCs/>
        </w:rPr>
        <w:t xml:space="preserve">SIAM Review</w:t>
      </w:r>
      <w:r>
        <w:t xml:space="preserve">,</w:t>
      </w:r>
      <w:r>
        <w:t xml:space="preserve"> </w:t>
      </w:r>
      <w:r>
        <w:rPr>
          <w:b/>
          <w:bCs/>
        </w:rPr>
        <w:t xml:space="preserve">59</w:t>
      </w:r>
      <w:r>
        <w:t xml:space="preserve">, 65–98.</w:t>
      </w:r>
    </w:p>
    <w:bookmarkEnd w:id="55"/>
    <w:bookmarkStart w:id="57" w:name="ref-brose2006"/>
    <w:p>
      <w:pPr>
        <w:pStyle w:val="Bibliography"/>
      </w:pPr>
      <w:r>
        <w:t xml:space="preserve">Brose, U., Jonsson, T., Berlow, E.L., Warren, P., Banasek-Richter, C., Bersier, L.-F., Blanchard, J.L., Brey, T., Carpenter, S.R., Blandenier, M.-F.C., Cushing, L., Dawah, H.A., Dell, T., Edwards, F., Harper-Smith, S., Jacob, U., Ledger, M.E., Martinez, N.D., Memmott, J., Mintenbeck, K., Pinnegar, J.K., Rall, B.C., Rayner, T.S., Reuman, D.C., Ruess, L., Ulrich, W., Williams, R.J., Woodward, G. &amp; Cohen, J.E. (2006)</w:t>
      </w:r>
      <w:r>
        <w:t xml:space="preserve"> </w:t>
      </w:r>
      <w:hyperlink r:id="rId56">
        <w:r>
          <w:rPr>
            <w:rStyle w:val="Hyperlink"/>
          </w:rPr>
          <w:t xml:space="preserve">Consumer</w:t>
        </w:r>
        <w:r>
          <w:rPr>
            <w:rStyle w:val="Hyperlink"/>
          </w:rPr>
          <w:t xml:space="preserve">resource body-size relationships in natural food webs</w:t>
        </w:r>
      </w:hyperlink>
      <w:r>
        <w:t xml:space="preserve">.</w:t>
      </w:r>
      <w:r>
        <w:t xml:space="preserve"> </w:t>
      </w:r>
      <w:r>
        <w:rPr>
          <w:i/>
          <w:iCs/>
        </w:rPr>
        <w:t xml:space="preserve">Ecology</w:t>
      </w:r>
      <w:r>
        <w:t xml:space="preserve">,</w:t>
      </w:r>
      <w:r>
        <w:t xml:space="preserve"> </w:t>
      </w:r>
      <w:r>
        <w:rPr>
          <w:b/>
          <w:bCs/>
        </w:rPr>
        <w:t xml:space="preserve">87</w:t>
      </w:r>
      <w:r>
        <w:t xml:space="preserve">, 2411–2417.</w:t>
      </w:r>
    </w:p>
    <w:bookmarkEnd w:id="57"/>
    <w:bookmarkStart w:id="59" w:name="ref-curtsdotter2011"/>
    <w:p>
      <w:pPr>
        <w:pStyle w:val="Bibliography"/>
      </w:pPr>
      <w:r>
        <w:t xml:space="preserve">Curtsdotter, A., Binzer, A., Brose, U., De Castro, F., Ebenman, B., Eklöf, A., Riede, J.O., Thierry, A. &amp; Rall, B.C. (2011)</w:t>
      </w:r>
      <w:r>
        <w:t xml:space="preserve"> </w:t>
      </w:r>
      <w:hyperlink r:id="rId58">
        <w:r>
          <w:rPr>
            <w:rStyle w:val="Hyperlink"/>
          </w:rPr>
          <w:t xml:space="preserve">Robustness to secondary extinctions: Comparing trait-based sequential deletions in static and dynamic food webs</w:t>
        </w:r>
      </w:hyperlink>
      <w:r>
        <w:t xml:space="preserve">.</w:t>
      </w:r>
      <w:r>
        <w:t xml:space="preserve"> </w:t>
      </w:r>
      <w:r>
        <w:rPr>
          <w:i/>
          <w:iCs/>
        </w:rPr>
        <w:t xml:space="preserve">Basic and Applied Ecology</w:t>
      </w:r>
      <w:r>
        <w:t xml:space="preserve">,</w:t>
      </w:r>
      <w:r>
        <w:t xml:space="preserve"> </w:t>
      </w:r>
      <w:r>
        <w:rPr>
          <w:b/>
          <w:bCs/>
        </w:rPr>
        <w:t xml:space="preserve">12</w:t>
      </w:r>
      <w:r>
        <w:t xml:space="preserve">, 571–580.</w:t>
      </w:r>
    </w:p>
    <w:bookmarkEnd w:id="59"/>
    <w:bookmarkStart w:id="61" w:name="ref-delmas2018"/>
    <w:p>
      <w:pPr>
        <w:pStyle w:val="Bibliography"/>
      </w:pPr>
      <w:r>
        <w:t xml:space="preserve">Delmas, E., Besson, M., Brice, M.-H., Burkle, L.A., Dalla Riva, G.V., Fortin, M.-J., Gravel, D., Guimarães, P.R., Hembry, D.H., Newman, E.A., Olesen, J.M., Pires, M.M., Yeakel, J.D. &amp; Poisot, T. (2018)</w:t>
      </w:r>
      <w:r>
        <w:t xml:space="preserve"> </w:t>
      </w:r>
      <w:hyperlink r:id="rId60">
        <w:r>
          <w:rPr>
            <w:rStyle w:val="Hyperlink"/>
          </w:rPr>
          <w:t xml:space="preserve">Analysing ecological networks of species interactions</w:t>
        </w:r>
      </w:hyperlink>
      <w:r>
        <w:t xml:space="preserve">.</w:t>
      </w:r>
      <w:r>
        <w:t xml:space="preserve"> </w:t>
      </w:r>
      <w:r>
        <w:rPr>
          <w:i/>
          <w:iCs/>
        </w:rPr>
        <w:t xml:space="preserve">Biological Reviews</w:t>
      </w:r>
      <w:r>
        <w:t xml:space="preserve">, 112540.</w:t>
      </w:r>
    </w:p>
    <w:bookmarkEnd w:id="61"/>
    <w:bookmarkStart w:id="63" w:name="ref-dunhill2024"/>
    <w:p>
      <w:pPr>
        <w:pStyle w:val="Bibliography"/>
      </w:pPr>
      <w:r>
        <w:t xml:space="preserve">Dunhill, A.M., Zarzyczny, K., Shaw, J.O., Atkinson, J.W., Little, C.T.S. &amp; Beckerman, A.P. (2024)</w:t>
      </w:r>
      <w:r>
        <w:t xml:space="preserve"> </w:t>
      </w:r>
      <w:hyperlink r:id="rId62">
        <w:r>
          <w:rPr>
            <w:rStyle w:val="Hyperlink"/>
          </w:rPr>
          <w:t xml:space="preserve">Extinction cascades, community collapse, and recovery across a mesozoic hyperthermal event</w:t>
        </w:r>
      </w:hyperlink>
      <w:r>
        <w:t xml:space="preserve">.</w:t>
      </w:r>
      <w:r>
        <w:t xml:space="preserve"> </w:t>
      </w:r>
      <w:r>
        <w:rPr>
          <w:i/>
          <w:iCs/>
        </w:rPr>
        <w:t xml:space="preserve">Nature Communications</w:t>
      </w:r>
      <w:r>
        <w:t xml:space="preserve">,</w:t>
      </w:r>
      <w:r>
        <w:t xml:space="preserve"> </w:t>
      </w:r>
      <w:r>
        <w:rPr>
          <w:b/>
          <w:bCs/>
        </w:rPr>
        <w:t xml:space="preserve">15</w:t>
      </w:r>
      <w:r>
        <w:t xml:space="preserve">, 8599.</w:t>
      </w:r>
    </w:p>
    <w:bookmarkEnd w:id="63"/>
    <w:bookmarkStart w:id="65" w:name="ref-dunne2014"/>
    <w:p>
      <w:pPr>
        <w:pStyle w:val="Bibliography"/>
      </w:pPr>
      <w:r>
        <w:t xml:space="preserve">Dunne, J.A., Labandeira, C.C. &amp; Williams, R.J. (2014)</w:t>
      </w:r>
      <w:r>
        <w:t xml:space="preserve"> </w:t>
      </w:r>
      <w:hyperlink r:id="rId64">
        <w:r>
          <w:rPr>
            <w:rStyle w:val="Hyperlink"/>
          </w:rPr>
          <w:t xml:space="preserve">Highly resolved early eocene food webs show development of modern trophic structure after the end-cretaceous extinction</w:t>
        </w:r>
      </w:hyperlink>
      <w:r>
        <w:t xml:space="preserve">.</w:t>
      </w:r>
      <w:r>
        <w:t xml:space="preserve"> </w:t>
      </w:r>
      <w:r>
        <w:rPr>
          <w:i/>
          <w:iCs/>
        </w:rPr>
        <w:t xml:space="preserve">Proceedings of the Royal Society B: Biological Sciences</w:t>
      </w:r>
      <w:r>
        <w:t xml:space="preserve">,</w:t>
      </w:r>
      <w:r>
        <w:t xml:space="preserve"> </w:t>
      </w:r>
      <w:r>
        <w:rPr>
          <w:b/>
          <w:bCs/>
        </w:rPr>
        <w:t xml:space="preserve">281</w:t>
      </w:r>
      <w:r>
        <w:t xml:space="preserve">, 20133280.</w:t>
      </w:r>
    </w:p>
    <w:bookmarkEnd w:id="65"/>
    <w:bookmarkStart w:id="66" w:name="ref-dunne2002"/>
    <w:p>
      <w:pPr>
        <w:pStyle w:val="Bibliography"/>
      </w:pPr>
      <w:r>
        <w:t xml:space="preserve">Dunne, J.A., Williams, R.J. &amp; Martinez, N.D. (2002) Network structure and biodiversity loss in food webs: Robustness increases with connectance.</w:t>
      </w:r>
      <w:r>
        <w:t xml:space="preserve"> </w:t>
      </w:r>
      <w:r>
        <w:rPr>
          <w:i/>
          <w:iCs/>
        </w:rPr>
        <w:t xml:space="preserve">Ecol. Lett.</w:t>
      </w:r>
      <w:r>
        <w:t xml:space="preserve">,</w:t>
      </w:r>
      <w:r>
        <w:t xml:space="preserve"> </w:t>
      </w:r>
      <w:r>
        <w:rPr>
          <w:b/>
          <w:bCs/>
        </w:rPr>
        <w:t xml:space="preserve">5</w:t>
      </w:r>
      <w:r>
        <w:t xml:space="preserve">, 558–567.</w:t>
      </w:r>
    </w:p>
    <w:bookmarkEnd w:id="66"/>
    <w:bookmarkStart w:id="68" w:name="ref-dunne2008"/>
    <w:p>
      <w:pPr>
        <w:pStyle w:val="Bibliography"/>
      </w:pPr>
      <w:r>
        <w:t xml:space="preserve">Dunne, J.A., Williams, R.J., Martinez, N.D., Wood, R.A. &amp; Erwin, D.H. (2008)</w:t>
      </w:r>
      <w:r>
        <w:t xml:space="preserve"> </w:t>
      </w:r>
      <w:hyperlink r:id="rId67">
        <w:r>
          <w:rPr>
            <w:rStyle w:val="Hyperlink"/>
          </w:rPr>
          <w:t xml:space="preserve">Compilation and network analyses of cambrian food webs</w:t>
        </w:r>
      </w:hyperlink>
      <w:r>
        <w:t xml:space="preserve">.</w:t>
      </w:r>
      <w:r>
        <w:t xml:space="preserve"> </w:t>
      </w:r>
      <w:r>
        <w:rPr>
          <w:i/>
          <w:iCs/>
        </w:rPr>
        <w:t xml:space="preserve">PLOS Biology</w:t>
      </w:r>
      <w:r>
        <w:t xml:space="preserve">,</w:t>
      </w:r>
      <w:r>
        <w:t xml:space="preserve"> </w:t>
      </w:r>
      <w:r>
        <w:rPr>
          <w:b/>
          <w:bCs/>
        </w:rPr>
        <w:t xml:space="preserve">6</w:t>
      </w:r>
      <w:r>
        <w:t xml:space="preserve">, e102.</w:t>
      </w:r>
    </w:p>
    <w:bookmarkEnd w:id="68"/>
    <w:bookmarkStart w:id="70" w:name="ref-erdos1959"/>
    <w:p>
      <w:pPr>
        <w:pStyle w:val="Bibliography"/>
      </w:pPr>
      <w:r>
        <w:t xml:space="preserve">Erdős, P. &amp; Rényi, A. (1959)</w:t>
      </w:r>
      <w:r>
        <w:t xml:space="preserve"> </w:t>
      </w:r>
      <w:hyperlink r:id="rId69">
        <w:r>
          <w:rPr>
            <w:rStyle w:val="Hyperlink"/>
          </w:rPr>
          <w:t xml:space="preserve">On random graphs. i.</w:t>
        </w:r>
      </w:hyperlink>
      <w:r>
        <w:t xml:space="preserve"> </w:t>
      </w:r>
      <w:r>
        <w:rPr>
          <w:i/>
          <w:iCs/>
        </w:rPr>
        <w:t xml:space="preserve">Publicationes Mathematicae Debrecen</w:t>
      </w:r>
      <w:r>
        <w:t xml:space="preserve">,</w:t>
      </w:r>
      <w:r>
        <w:t xml:space="preserve"> </w:t>
      </w:r>
      <w:r>
        <w:rPr>
          <w:b/>
          <w:bCs/>
        </w:rPr>
        <w:t xml:space="preserve">6</w:t>
      </w:r>
      <w:r>
        <w:t xml:space="preserve">, 290–297.</w:t>
      </w:r>
    </w:p>
    <w:bookmarkEnd w:id="70"/>
    <w:bookmarkStart w:id="72" w:name="ref-fricke2022a"/>
    <w:p>
      <w:pPr>
        <w:pStyle w:val="Bibliography"/>
      </w:pPr>
      <w:r>
        <w:t xml:space="preserve">Fricke, E.C., Hsieh, C., Middleton, O., Gorczynski, D., Cappello, C.D., Sanisidro, O., Rowan, J., Svenning, J.-C. &amp; Beaudrot, L. (2022)</w:t>
      </w:r>
      <w:r>
        <w:t xml:space="preserve"> </w:t>
      </w:r>
      <w:hyperlink r:id="rId71">
        <w:r>
          <w:rPr>
            <w:rStyle w:val="Hyperlink"/>
          </w:rPr>
          <w:t xml:space="preserve">Collapse of terrestrial mammal food webs since the late pleistocene</w:t>
        </w:r>
      </w:hyperlink>
      <w:r>
        <w:t xml:space="preserve">.</w:t>
      </w:r>
      <w:r>
        <w:t xml:space="preserve"> </w:t>
      </w:r>
      <w:r>
        <w:rPr>
          <w:i/>
          <w:iCs/>
        </w:rPr>
        <w:t xml:space="preserve">Science</w:t>
      </w:r>
      <w:r>
        <w:t xml:space="preserve">,</w:t>
      </w:r>
      <w:r>
        <w:t xml:space="preserve"> </w:t>
      </w:r>
      <w:r>
        <w:rPr>
          <w:b/>
          <w:bCs/>
        </w:rPr>
        <w:t xml:space="preserve">377</w:t>
      </w:r>
      <w:r>
        <w:t xml:space="preserve">, 1008–1011.</w:t>
      </w:r>
    </w:p>
    <w:bookmarkEnd w:id="72"/>
    <w:bookmarkStart w:id="74" w:name="ref-fründ2016"/>
    <w:p>
      <w:pPr>
        <w:pStyle w:val="Bibliography"/>
      </w:pPr>
      <w:r>
        <w:t xml:space="preserve">Fründ, J., McCann, K.S. &amp; Williams, N.M. (2016)</w:t>
      </w:r>
      <w:r>
        <w:t xml:space="preserve"> </w:t>
      </w:r>
      <w:hyperlink r:id="rId73">
        <w:r>
          <w:rPr>
            <w:rStyle w:val="Hyperlink"/>
          </w:rPr>
          <w:t xml:space="preserve">Sampling bias is a challenge for quantifying specialization and network structure: Lessons from a quantitative niche model</w:t>
        </w:r>
      </w:hyperlink>
      <w:r>
        <w:t xml:space="preserve">.</w:t>
      </w:r>
      <w:r>
        <w:t xml:space="preserve"> </w:t>
      </w:r>
      <w:r>
        <w:rPr>
          <w:i/>
          <w:iCs/>
        </w:rPr>
        <w:t xml:space="preserve">Oikos</w:t>
      </w:r>
      <w:r>
        <w:t xml:space="preserve">,</w:t>
      </w:r>
      <w:r>
        <w:t xml:space="preserve"> </w:t>
      </w:r>
      <w:r>
        <w:rPr>
          <w:b/>
          <w:bCs/>
        </w:rPr>
        <w:t xml:space="preserve">125</w:t>
      </w:r>
      <w:r>
        <w:t xml:space="preserve">, 502–513.</w:t>
      </w:r>
    </w:p>
    <w:bookmarkEnd w:id="74"/>
    <w:bookmarkStart w:id="76" w:name="ref-gauzens2023"/>
    <w:p>
      <w:pPr>
        <w:pStyle w:val="Bibliography"/>
      </w:pPr>
      <w:r>
        <w:t xml:space="preserve">Gauzens, B., Brose, U., Delmas, E. &amp; Berti, E. (2023)</w:t>
      </w:r>
      <w:r>
        <w:t xml:space="preserve"> </w:t>
      </w:r>
      <w:hyperlink r:id="rId75">
        <w:r>
          <w:rPr>
            <w:rStyle w:val="Hyperlink"/>
          </w:rPr>
          <w:t xml:space="preserve">ATNr: Allometric trophic network models in r</w:t>
        </w:r>
      </w:hyperlink>
      <w:r>
        <w:t xml:space="preserve">.</w:t>
      </w:r>
      <w:r>
        <w:t xml:space="preserve"> </w:t>
      </w:r>
      <w:r>
        <w:rPr>
          <w:i/>
          <w:iCs/>
        </w:rPr>
        <w:t xml:space="preserve">Methods in Ecology and Evolution</w:t>
      </w:r>
      <w:r>
        <w:t xml:space="preserve">,</w:t>
      </w:r>
      <w:r>
        <w:t xml:space="preserve"> </w:t>
      </w:r>
      <w:r>
        <w:rPr>
          <w:b/>
          <w:bCs/>
        </w:rPr>
        <w:t xml:space="preserve">14</w:t>
      </w:r>
      <w:r>
        <w:t xml:space="preserve">, 2766–2773.</w:t>
      </w:r>
    </w:p>
    <w:bookmarkEnd w:id="76"/>
    <w:bookmarkStart w:id="78" w:name="ref-gauzens2025"/>
    <w:p>
      <w:pPr>
        <w:pStyle w:val="Bibliography"/>
      </w:pPr>
      <w:r>
        <w:t xml:space="preserve">Gauzens, B., Thouvenot, L., Srivastava, D.S., Kratina, P., Romero, G.Q., Berti, E., O’Gorman, E.J., González, A.L., Dézerald, O., Eisenhauer, N., Pires, M., Ryser, R., Farjalla, V.F., Rogy, P., Brose, U., Petermann, J.S., Geslin, B. &amp; Hines, J. (2025)</w:t>
      </w:r>
      <w:r>
        <w:t xml:space="preserve"> </w:t>
      </w:r>
      <w:hyperlink r:id="rId77">
        <w:r>
          <w:rPr>
            <w:rStyle w:val="Hyperlink"/>
          </w:rPr>
          <w:t xml:space="preserve">Tailoring interaction network types to answer different ecological questions</w:t>
        </w:r>
      </w:hyperlink>
      <w:r>
        <w:t xml:space="preserve">.</w:t>
      </w:r>
      <w:r>
        <w:t xml:space="preserve"> </w:t>
      </w:r>
      <w:r>
        <w:rPr>
          <w:i/>
          <w:iCs/>
        </w:rPr>
        <w:t xml:space="preserve">Nature Reviews Biodiversity</w:t>
      </w:r>
      <w:r>
        <w:t xml:space="preserve">, 1–10.</w:t>
      </w:r>
    </w:p>
    <w:bookmarkEnd w:id="78"/>
    <w:bookmarkStart w:id="80" w:name="ref-gilman2010"/>
    <w:p>
      <w:pPr>
        <w:pStyle w:val="Bibliography"/>
      </w:pPr>
      <w:r>
        <w:t xml:space="preserve">Gilman, S.E., Urban, M.C., Tewksbury, J., Gilchrist, G.W. &amp; Holt, R.D. (2010)</w:t>
      </w:r>
      <w:r>
        <w:t xml:space="preserve"> </w:t>
      </w:r>
      <w:hyperlink r:id="rId79">
        <w:r>
          <w:rPr>
            <w:rStyle w:val="Hyperlink"/>
          </w:rPr>
          <w:t xml:space="preserve">A framework for community interactions under climate change</w:t>
        </w:r>
      </w:hyperlink>
      <w:r>
        <w:t xml:space="preserve">.</w:t>
      </w:r>
      <w:r>
        <w:t xml:space="preserve"> </w:t>
      </w:r>
      <w:r>
        <w:rPr>
          <w:i/>
          <w:iCs/>
        </w:rPr>
        <w:t xml:space="preserve">Trends in Ecology &amp; Evolution</w:t>
      </w:r>
      <w:r>
        <w:t xml:space="preserve">,</w:t>
      </w:r>
      <w:r>
        <w:t xml:space="preserve"> </w:t>
      </w:r>
      <w:r>
        <w:rPr>
          <w:b/>
          <w:bCs/>
        </w:rPr>
        <w:t xml:space="preserve">25</w:t>
      </w:r>
      <w:r>
        <w:t xml:space="preserve">, 325–331.</w:t>
      </w:r>
    </w:p>
    <w:bookmarkEnd w:id="80"/>
    <w:bookmarkStart w:id="82" w:name="ref-gravel2019"/>
    <w:p>
      <w:pPr>
        <w:pStyle w:val="Bibliography"/>
      </w:pPr>
      <w:r>
        <w:t xml:space="preserve">Gravel, D., Baiser, B., Dunne, J.A., Kopelke, J.-P., Martinez, N.D., Nyman, T., Poisot, T., Stouffer, D.B., Tylianakis, J.M., Wood, S.A. &amp; Roslin, T. (2019)</w:t>
      </w:r>
      <w:r>
        <w:t xml:space="preserve"> </w:t>
      </w:r>
      <w:hyperlink r:id="rId81">
        <w:r>
          <w:rPr>
            <w:rStyle w:val="Hyperlink"/>
          </w:rPr>
          <w:t xml:space="preserve">Bringing elton and grinnell together: A quantitative framework to represent the biogeography of ecological interaction networks</w:t>
        </w:r>
      </w:hyperlink>
      <w:r>
        <w:t xml:space="preserve">.</w:t>
      </w:r>
      <w:r>
        <w:t xml:space="preserve"> </w:t>
      </w:r>
      <w:r>
        <w:rPr>
          <w:i/>
          <w:iCs/>
        </w:rPr>
        <w:t xml:space="preserve">Ecography</w:t>
      </w:r>
      <w:r>
        <w:t xml:space="preserve">,</w:t>
      </w:r>
      <w:r>
        <w:t xml:space="preserve"> </w:t>
      </w:r>
      <w:r>
        <w:rPr>
          <w:b/>
          <w:bCs/>
        </w:rPr>
        <w:t xml:space="preserve">42</w:t>
      </w:r>
      <w:r>
        <w:t xml:space="preserve">, 401–415.</w:t>
      </w:r>
    </w:p>
    <w:bookmarkEnd w:id="82"/>
    <w:bookmarkStart w:id="84" w:name="ref-guimarães2020"/>
    <w:p>
      <w:pPr>
        <w:pStyle w:val="Bibliography"/>
      </w:pPr>
      <w:r>
        <w:t xml:space="preserve">Guimarães, P.R. (2020)</w:t>
      </w:r>
      <w:r>
        <w:t xml:space="preserve"> </w:t>
      </w:r>
      <w:hyperlink r:id="rId83">
        <w:r>
          <w:rPr>
            <w:rStyle w:val="Hyperlink"/>
          </w:rPr>
          <w:t xml:space="preserve">The structure of ecological networks across levels of organization</w:t>
        </w:r>
      </w:hyperlink>
      <w:r>
        <w:t xml:space="preserve">.</w:t>
      </w:r>
      <w:r>
        <w:t xml:space="preserve"> </w:t>
      </w:r>
      <w:r>
        <w:rPr>
          <w:i/>
          <w:iCs/>
        </w:rPr>
        <w:t xml:space="preserve">Annual Review of Ecology, Evolution, and Systematics</w:t>
      </w:r>
      <w:r>
        <w:t xml:space="preserve">,</w:t>
      </w:r>
      <w:r>
        <w:t xml:space="preserve"> </w:t>
      </w:r>
      <w:r>
        <w:rPr>
          <w:b/>
          <w:bCs/>
        </w:rPr>
        <w:t xml:space="preserve">51</w:t>
      </w:r>
      <w:r>
        <w:t xml:space="preserve">.</w:t>
      </w:r>
    </w:p>
    <w:bookmarkEnd w:id="84"/>
    <w:bookmarkStart w:id="86" w:name="ref-hao2025"/>
    <w:p>
      <w:pPr>
        <w:pStyle w:val="Bibliography"/>
      </w:pPr>
      <w:r>
        <w:t xml:space="preserve">Hao, X., Holyoak, M., Zhang, Z. &amp; Yan, C. (2025)</w:t>
      </w:r>
      <w:r>
        <w:t xml:space="preserve"> </w:t>
      </w:r>
      <w:hyperlink r:id="rId85">
        <w:r>
          <w:rPr>
            <w:rStyle w:val="Hyperlink"/>
          </w:rPr>
          <w:t xml:space="preserve">Global projection of terrestrial vertebrate food webs under future climate and land-use changes</w:t>
        </w:r>
      </w:hyperlink>
      <w:r>
        <w:t xml:space="preserve">.</w:t>
      </w:r>
      <w:r>
        <w:t xml:space="preserve"> </w:t>
      </w:r>
      <w:r>
        <w:rPr>
          <w:i/>
          <w:iCs/>
        </w:rPr>
        <w:t xml:space="preserve">Global Change Biology</w:t>
      </w:r>
      <w:r>
        <w:t xml:space="preserve">,</w:t>
      </w:r>
      <w:r>
        <w:t xml:space="preserve"> </w:t>
      </w:r>
      <w:r>
        <w:rPr>
          <w:b/>
          <w:bCs/>
        </w:rPr>
        <w:t xml:space="preserve">31</w:t>
      </w:r>
      <w:r>
        <w:t xml:space="preserve">, e70061.</w:t>
      </w:r>
    </w:p>
    <w:bookmarkEnd w:id="86"/>
    <w:bookmarkStart w:id="88" w:name="ref-jordano2016"/>
    <w:p>
      <w:pPr>
        <w:pStyle w:val="Bibliography"/>
      </w:pPr>
      <w:r>
        <w:t xml:space="preserve">Jordano, P. (2016)</w:t>
      </w:r>
      <w:r>
        <w:t xml:space="preserve"> </w:t>
      </w:r>
      <w:hyperlink r:id="rId87">
        <w:r>
          <w:rPr>
            <w:rStyle w:val="Hyperlink"/>
          </w:rPr>
          <w:t xml:space="preserve">Sampling networks of ecological interactions</w:t>
        </w:r>
      </w:hyperlink>
      <w:r>
        <w:t xml:space="preserve">.</w:t>
      </w:r>
      <w:r>
        <w:t xml:space="preserve"> </w:t>
      </w:r>
      <w:r>
        <w:rPr>
          <w:i/>
          <w:iCs/>
        </w:rPr>
        <w:t xml:space="preserve">Functional Ecology</w:t>
      </w:r>
      <w:r>
        <w:t xml:space="preserve">.</w:t>
      </w:r>
    </w:p>
    <w:bookmarkEnd w:id="88"/>
    <w:bookmarkStart w:id="90" w:name="ref-karapunar2026"/>
    <w:p>
      <w:pPr>
        <w:pStyle w:val="Bibliography"/>
      </w:pPr>
      <w:r>
        <w:t xml:space="preserve">Karapunar, B., Strydom, T., Beckerman, A.P., Ridgwell, A., Wignall, P.B., Dunne, J.A., Little, C.T.S., Hull, P., Pimiento, C. &amp; Dunhill, A. (2026)</w:t>
      </w:r>
      <w:r>
        <w:t xml:space="preserve"> </w:t>
      </w:r>
      <w:hyperlink r:id="rId89">
        <w:r>
          <w:rPr>
            <w:rStyle w:val="Hyperlink"/>
          </w:rPr>
          <w:t xml:space="preserve">No global collapse of food webs across the permian-triassic mass extinction</w:t>
        </w:r>
      </w:hyperlink>
      <w:r>
        <w:t xml:space="preserve">.</w:t>
      </w:r>
      <w:r>
        <w:t xml:space="preserve"> </w:t>
      </w:r>
      <w:r>
        <w:rPr>
          <w:i/>
          <w:iCs/>
        </w:rPr>
        <w:t xml:space="preserve">BioRxiv</w:t>
      </w:r>
      <w:r>
        <w:t xml:space="preserve">.</w:t>
      </w:r>
    </w:p>
    <w:bookmarkEnd w:id="90"/>
    <w:bookmarkStart w:id="92" w:name="ref-kemp2024"/>
    <w:p>
      <w:pPr>
        <w:pStyle w:val="Bibliography"/>
      </w:pPr>
      <w:r>
        <w:t xml:space="preserve">Kemp, D.B., Han, Z., Hu, X., Chen, W., Jin, S., Izumi, K., Yan, Q., Baranyi, V., Jin, X., Corso, J.D. &amp; Ge, Y. (2024)</w:t>
      </w:r>
      <w:r>
        <w:t xml:space="preserve"> </w:t>
      </w:r>
      <w:hyperlink r:id="rId91">
        <w:r>
          <w:rPr>
            <w:rStyle w:val="Hyperlink"/>
          </w:rPr>
          <w:t xml:space="preserve">Global hydroclimate perturbations during the toarcian oceanic anoxic event</w:t>
        </w:r>
      </w:hyperlink>
      <w:r>
        <w:t xml:space="preserve">.</w:t>
      </w:r>
      <w:r>
        <w:t xml:space="preserve"> </w:t>
      </w:r>
      <w:r>
        <w:rPr>
          <w:i/>
          <w:iCs/>
        </w:rPr>
        <w:t xml:space="preserve">Earth-Science Reviews</w:t>
      </w:r>
      <w:r>
        <w:t xml:space="preserve">,</w:t>
      </w:r>
      <w:r>
        <w:t xml:space="preserve"> </w:t>
      </w:r>
      <w:r>
        <w:rPr>
          <w:b/>
          <w:bCs/>
        </w:rPr>
        <w:t xml:space="preserve">258</w:t>
      </w:r>
      <w:r>
        <w:t xml:space="preserve">, 104946.</w:t>
      </w:r>
    </w:p>
    <w:bookmarkEnd w:id="92"/>
    <w:bookmarkStart w:id="94" w:name="ref-marjakangas2025"/>
    <w:p>
      <w:pPr>
        <w:pStyle w:val="Bibliography"/>
      </w:pPr>
      <w:r>
        <w:t xml:space="preserve">Marjakangas, E.-L., Dalsgaard, B. &amp; Ordonez, A. (2025)</w:t>
      </w:r>
      <w:r>
        <w:t xml:space="preserve"> </w:t>
      </w:r>
      <w:hyperlink r:id="rId93">
        <w:r>
          <w:rPr>
            <w:rStyle w:val="Hyperlink"/>
          </w:rPr>
          <w:t xml:space="preserve">Fundamental interaction niches: Towards a functional understanding of ecological networks’ resilience</w:t>
        </w:r>
      </w:hyperlink>
      <w:r>
        <w:t xml:space="preserve">.</w:t>
      </w:r>
      <w:r>
        <w:t xml:space="preserve"> </w:t>
      </w:r>
      <w:r>
        <w:rPr>
          <w:i/>
          <w:iCs/>
        </w:rPr>
        <w:t xml:space="preserve">Ecology Letters</w:t>
      </w:r>
      <w:r>
        <w:t xml:space="preserve">,</w:t>
      </w:r>
      <w:r>
        <w:t xml:space="preserve"> </w:t>
      </w:r>
      <w:r>
        <w:rPr>
          <w:b/>
          <w:bCs/>
        </w:rPr>
        <w:t xml:space="preserve">28</w:t>
      </w:r>
      <w:r>
        <w:t xml:space="preserve">, e70146.</w:t>
      </w:r>
    </w:p>
    <w:bookmarkEnd w:id="94"/>
    <w:bookmarkStart w:id="96" w:name="ref-michalska-smith2019"/>
    <w:p>
      <w:pPr>
        <w:pStyle w:val="Bibliography"/>
      </w:pPr>
      <w:r>
        <w:t xml:space="preserve">Michalska-Smith, M.J. &amp; Allesina, S. (2019)</w:t>
      </w:r>
      <w:r>
        <w:t xml:space="preserve"> </w:t>
      </w:r>
      <w:hyperlink r:id="rId95">
        <w:r>
          <w:rPr>
            <w:rStyle w:val="Hyperlink"/>
          </w:rPr>
          <w:t xml:space="preserve">Telling ecological networks apart by their structure: A computational challenge</w:t>
        </w:r>
      </w:hyperlink>
      <w:r>
        <w:t xml:space="preserve">.</w:t>
      </w:r>
      <w:r>
        <w:t xml:space="preserve"> </w:t>
      </w:r>
      <w:r>
        <w:rPr>
          <w:i/>
          <w:iCs/>
        </w:rPr>
        <w:t xml:space="preserve">PLOS Computational Biology</w:t>
      </w:r>
      <w:r>
        <w:t xml:space="preserve">,</w:t>
      </w:r>
      <w:r>
        <w:t xml:space="preserve"> </w:t>
      </w:r>
      <w:r>
        <w:rPr>
          <w:b/>
          <w:bCs/>
        </w:rPr>
        <w:t xml:space="preserve">15</w:t>
      </w:r>
      <w:r>
        <w:t xml:space="preserve">, e1007076.</w:t>
      </w:r>
    </w:p>
    <w:bookmarkEnd w:id="96"/>
    <w:bookmarkStart w:id="98" w:name="ref-milo2002"/>
    <w:p>
      <w:pPr>
        <w:pStyle w:val="Bibliography"/>
      </w:pPr>
      <w:r>
        <w:t xml:space="preserve">Milo, R., Shen-Orr, S., Itzkovitz, S., Kashtan, N., Chklovskii, D. &amp; Alon, U. (2002)</w:t>
      </w:r>
      <w:r>
        <w:t xml:space="preserve"> </w:t>
      </w:r>
      <w:hyperlink r:id="rId97">
        <w:r>
          <w:rPr>
            <w:rStyle w:val="Hyperlink"/>
          </w:rPr>
          <w:t xml:space="preserve">Network motifs: Simple building blocks of complex networks</w:t>
        </w:r>
      </w:hyperlink>
      <w:r>
        <w:t xml:space="preserve">.</w:t>
      </w:r>
      <w:r>
        <w:t xml:space="preserve"> </w:t>
      </w:r>
      <w:r>
        <w:rPr>
          <w:i/>
          <w:iCs/>
        </w:rPr>
        <w:t xml:space="preserve">Science</w:t>
      </w:r>
      <w:r>
        <w:t xml:space="preserve">,</w:t>
      </w:r>
      <w:r>
        <w:t xml:space="preserve"> </w:t>
      </w:r>
      <w:r>
        <w:rPr>
          <w:b/>
          <w:bCs/>
        </w:rPr>
        <w:t xml:space="preserve">298</w:t>
      </w:r>
      <w:r>
        <w:t xml:space="preserve">, 824–827.</w:t>
      </w:r>
    </w:p>
    <w:bookmarkEnd w:id="98"/>
    <w:bookmarkStart w:id="100" w:name="ref-morales-castilla2015"/>
    <w:p>
      <w:pPr>
        <w:pStyle w:val="Bibliography"/>
      </w:pPr>
      <w:r>
        <w:t xml:space="preserve">Morales-Castilla, I., Matias, M.G., Gravel, D. &amp; Araújo, M.B. (2015)</w:t>
      </w:r>
      <w:r>
        <w:t xml:space="preserve"> </w:t>
      </w:r>
      <w:hyperlink r:id="rId99">
        <w:r>
          <w:rPr>
            <w:rStyle w:val="Hyperlink"/>
          </w:rPr>
          <w:t xml:space="preserve">Inferring biotic interactions from proxies</w:t>
        </w:r>
      </w:hyperlink>
      <w:r>
        <w:t xml:space="preserve">.</w:t>
      </w:r>
      <w:r>
        <w:t xml:space="preserve"> </w:t>
      </w:r>
      <w:r>
        <w:rPr>
          <w:i/>
          <w:iCs/>
        </w:rPr>
        <w:t xml:space="preserve">Trends in Ecology &amp; Evolution</w:t>
      </w:r>
      <w:r>
        <w:t xml:space="preserve">,</w:t>
      </w:r>
      <w:r>
        <w:t xml:space="preserve"> </w:t>
      </w:r>
      <w:r>
        <w:rPr>
          <w:b/>
          <w:bCs/>
        </w:rPr>
        <w:t xml:space="preserve">30</w:t>
      </w:r>
      <w:r>
        <w:t xml:space="preserve">, 347–356.</w:t>
      </w:r>
    </w:p>
    <w:bookmarkEnd w:id="100"/>
    <w:bookmarkStart w:id="102" w:name="ref-pellissier2018"/>
    <w:p>
      <w:pPr>
        <w:pStyle w:val="Bibliography"/>
      </w:pPr>
      <w:r>
        <w:t xml:space="preserve">Pellissier, L., Albouy, C., Bascompte, J., Farwig, N., Graham, C., Loreau, M., Maglianesi, M.A., Melián, C.J., Pitteloud, C., Roslin, T., Rohr, R., Saavedra, S., Thuiller, W., Woodward, G., Zimmermann, N.E. &amp; Gravel, D. (2018)</w:t>
      </w:r>
      <w:r>
        <w:t xml:space="preserve"> </w:t>
      </w:r>
      <w:hyperlink r:id="rId101">
        <w:r>
          <w:rPr>
            <w:rStyle w:val="Hyperlink"/>
          </w:rPr>
          <w:t xml:space="preserve">Comparing species interaction networks along environmental gradients</w:t>
        </w:r>
      </w:hyperlink>
      <w:r>
        <w:t xml:space="preserve">.</w:t>
      </w:r>
      <w:r>
        <w:t xml:space="preserve"> </w:t>
      </w:r>
      <w:r>
        <w:rPr>
          <w:i/>
          <w:iCs/>
        </w:rPr>
        <w:t xml:space="preserve">Biological Reviews</w:t>
      </w:r>
      <w:r>
        <w:t xml:space="preserve">,</w:t>
      </w:r>
      <w:r>
        <w:t xml:space="preserve"> </w:t>
      </w:r>
      <w:r>
        <w:rPr>
          <w:b/>
          <w:bCs/>
        </w:rPr>
        <w:t xml:space="preserve">93</w:t>
      </w:r>
      <w:r>
        <w:t xml:space="preserve">, 785–800.</w:t>
      </w:r>
    </w:p>
    <w:bookmarkEnd w:id="102"/>
    <w:bookmarkStart w:id="104" w:name="ref-petchey2011"/>
    <w:p>
      <w:pPr>
        <w:pStyle w:val="Bibliography"/>
      </w:pPr>
      <w:r>
        <w:t xml:space="preserve">Petchey, O.L., Beckerman, A.P., Riede, J.O. &amp; Warren, P.H. (2011)</w:t>
      </w:r>
      <w:r>
        <w:t xml:space="preserve"> </w:t>
      </w:r>
      <w:hyperlink r:id="rId103">
        <w:r>
          <w:rPr>
            <w:rStyle w:val="Hyperlink"/>
          </w:rPr>
          <w:t xml:space="preserve">Fit, efficiency, and biology: Some thoughts on judging food web models</w:t>
        </w:r>
      </w:hyperlink>
      <w:r>
        <w:t xml:space="preserve">.</w:t>
      </w:r>
      <w:r>
        <w:t xml:space="preserve"> </w:t>
      </w:r>
      <w:r>
        <w:rPr>
          <w:i/>
          <w:iCs/>
        </w:rPr>
        <w:t xml:space="preserve">Journal of Theoretical Biology</w:t>
      </w:r>
      <w:r>
        <w:t xml:space="preserve">,</w:t>
      </w:r>
      <w:r>
        <w:t xml:space="preserve"> </w:t>
      </w:r>
      <w:r>
        <w:rPr>
          <w:b/>
          <w:bCs/>
        </w:rPr>
        <w:t xml:space="preserve">279</w:t>
      </w:r>
      <w:r>
        <w:t xml:space="preserve">, 169–171.</w:t>
      </w:r>
    </w:p>
    <w:bookmarkEnd w:id="104"/>
    <w:bookmarkStart w:id="106" w:name="ref-petchey2008"/>
    <w:p>
      <w:pPr>
        <w:pStyle w:val="Bibliography"/>
      </w:pPr>
      <w:r>
        <w:t xml:space="preserve">Petchey, O.L., Beckerman, A.P., Riede, J.O. &amp; Warren, P.H. (2008)</w:t>
      </w:r>
      <w:r>
        <w:t xml:space="preserve"> </w:t>
      </w:r>
      <w:hyperlink r:id="rId105">
        <w:r>
          <w:rPr>
            <w:rStyle w:val="Hyperlink"/>
          </w:rPr>
          <w:t xml:space="preserve">Size, foraging, and food web structure</w:t>
        </w:r>
      </w:hyperlink>
      <w:r>
        <w:t xml:space="preserve">.</w:t>
      </w:r>
      <w:r>
        <w:t xml:space="preserve"> </w:t>
      </w:r>
      <w:r>
        <w:rPr>
          <w:i/>
          <w:iCs/>
        </w:rPr>
        <w:t xml:space="preserve">Proceedings of the National Academy of Sciences</w:t>
      </w:r>
      <w:r>
        <w:t xml:space="preserve">,</w:t>
      </w:r>
      <w:r>
        <w:t xml:space="preserve"> </w:t>
      </w:r>
      <w:r>
        <w:rPr>
          <w:b/>
          <w:bCs/>
        </w:rPr>
        <w:t xml:space="preserve">105</w:t>
      </w:r>
      <w:r>
        <w:t xml:space="preserve">, 4191–4196.</w:t>
      </w:r>
    </w:p>
    <w:bookmarkEnd w:id="106"/>
    <w:bookmarkStart w:id="108" w:name="ref-poisot2021"/>
    <w:p>
      <w:pPr>
        <w:pStyle w:val="Bibliography"/>
      </w:pPr>
      <w:r>
        <w:t xml:space="preserve">Poisot, T., Bergeron, G., Cazelles, K., Dallas, T., Gravel, D., MacDonald, A., Mercier, B., Violet, C. &amp; Vissault, S. (2021)</w:t>
      </w:r>
      <w:r>
        <w:t xml:space="preserve"> </w:t>
      </w:r>
      <w:hyperlink r:id="rId107">
        <w:r>
          <w:rPr>
            <w:rStyle w:val="Hyperlink"/>
          </w:rPr>
          <w:t xml:space="preserve">Global knowledge gaps in species interaction networks data</w:t>
        </w:r>
      </w:hyperlink>
      <w:r>
        <w:t xml:space="preserve">.</w:t>
      </w:r>
      <w:r>
        <w:t xml:space="preserve"> </w:t>
      </w:r>
      <w:r>
        <w:rPr>
          <w:i/>
          <w:iCs/>
        </w:rPr>
        <w:t xml:space="preserve">Journal of Biogeography</w:t>
      </w:r>
      <w:r>
        <w:t xml:space="preserve">, jbi.14127.</w:t>
      </w:r>
    </w:p>
    <w:bookmarkEnd w:id="108"/>
    <w:bookmarkStart w:id="110" w:name="ref-poisot2012a"/>
    <w:p>
      <w:pPr>
        <w:pStyle w:val="Bibliography"/>
      </w:pPr>
      <w:r>
        <w:t xml:space="preserve">Poisot, T., Canard, E., Mouillot, D., Mouquet, N. &amp; Gravel, D. (2012)</w:t>
      </w:r>
      <w:r>
        <w:t xml:space="preserve"> </w:t>
      </w:r>
      <w:hyperlink r:id="rId109">
        <w:r>
          <w:rPr>
            <w:rStyle w:val="Hyperlink"/>
          </w:rPr>
          <w:t xml:space="preserve">The dissimilarity of species interaction networks</w:t>
        </w:r>
      </w:hyperlink>
      <w:r>
        <w:t xml:space="preserve">.</w:t>
      </w:r>
      <w:r>
        <w:t xml:space="preserve"> </w:t>
      </w:r>
      <w:r>
        <w:rPr>
          <w:i/>
          <w:iCs/>
        </w:rPr>
        <w:t xml:space="preserve">Ecology Letters</w:t>
      </w:r>
      <w:r>
        <w:t xml:space="preserve">,</w:t>
      </w:r>
      <w:r>
        <w:t xml:space="preserve"> </w:t>
      </w:r>
      <w:r>
        <w:rPr>
          <w:b/>
          <w:bCs/>
        </w:rPr>
        <w:t xml:space="preserve">15</w:t>
      </w:r>
      <w:r>
        <w:t xml:space="preserve">, 1353–1361.</w:t>
      </w:r>
    </w:p>
    <w:bookmarkEnd w:id="110"/>
    <w:bookmarkStart w:id="112" w:name="ref-poisot2016"/>
    <w:p>
      <w:pPr>
        <w:pStyle w:val="Bibliography"/>
      </w:pPr>
      <w:r>
        <w:t xml:space="preserve">Poisot, T., Cirtwill, A., Cazelles, K., Gravel, D., Fortin, M.-J. &amp; Stouffer, D. (2016)</w:t>
      </w:r>
      <w:r>
        <w:t xml:space="preserve"> </w:t>
      </w:r>
      <w:hyperlink r:id="rId111">
        <w:r>
          <w:rPr>
            <w:rStyle w:val="Hyperlink"/>
          </w:rPr>
          <w:t xml:space="preserve">The structure of probabilistic networks</w:t>
        </w:r>
      </w:hyperlink>
      <w:r>
        <w:t xml:space="preserve">.</w:t>
      </w:r>
      <w:r>
        <w:t xml:space="preserve"> </w:t>
      </w:r>
      <w:r>
        <w:rPr>
          <w:i/>
          <w:iCs/>
        </w:rPr>
        <w:t xml:space="preserve">Methods in Ecology and Evolution</w:t>
      </w:r>
      <w:r>
        <w:t xml:space="preserve">,</w:t>
      </w:r>
      <w:r>
        <w:t xml:space="preserve"> </w:t>
      </w:r>
      <w:r>
        <w:rPr>
          <w:b/>
          <w:bCs/>
        </w:rPr>
        <w:t xml:space="preserve">7</w:t>
      </w:r>
      <w:r>
        <w:t xml:space="preserve">, 303312.</w:t>
      </w:r>
    </w:p>
    <w:bookmarkEnd w:id="112"/>
    <w:bookmarkStart w:id="114" w:name="ref-poisot2014"/>
    <w:p>
      <w:pPr>
        <w:pStyle w:val="Bibliography"/>
      </w:pPr>
      <w:r>
        <w:t xml:space="preserve">Poisot, T. &amp; Gravel, D. (2014)</w:t>
      </w:r>
      <w:r>
        <w:t xml:space="preserve"> </w:t>
      </w:r>
      <w:hyperlink r:id="rId113">
        <w:r>
          <w:rPr>
            <w:rStyle w:val="Hyperlink"/>
          </w:rPr>
          <w:t xml:space="preserve">When is an ecological network complex? Connectance drives degree distribution and emerging network properties</w:t>
        </w:r>
      </w:hyperlink>
      <w:r>
        <w:t xml:space="preserve">.</w:t>
      </w:r>
      <w:r>
        <w:t xml:space="preserve"> </w:t>
      </w:r>
      <w:r>
        <w:rPr>
          <w:i/>
          <w:iCs/>
        </w:rPr>
        <w:t xml:space="preserve">PeerJ</w:t>
      </w:r>
      <w:r>
        <w:t xml:space="preserve">,</w:t>
      </w:r>
      <w:r>
        <w:t xml:space="preserve"> </w:t>
      </w:r>
      <w:r>
        <w:rPr>
          <w:b/>
          <w:bCs/>
        </w:rPr>
        <w:t xml:space="preserve">2</w:t>
      </w:r>
      <w:r>
        <w:t xml:space="preserve">, e251.</w:t>
      </w:r>
    </w:p>
    <w:bookmarkEnd w:id="114"/>
    <w:bookmarkStart w:id="116" w:name="ref-poisot2015"/>
    <w:p>
      <w:pPr>
        <w:pStyle w:val="Bibliography"/>
      </w:pPr>
      <w:r>
        <w:t xml:space="preserve">Poisot, T., Stouffer, D.B. &amp; Gravel, D. (2015)</w:t>
      </w:r>
      <w:r>
        <w:t xml:space="preserve"> </w:t>
      </w:r>
      <w:hyperlink r:id="rId115">
        <w:r>
          <w:rPr>
            <w:rStyle w:val="Hyperlink"/>
          </w:rPr>
          <w:t xml:space="preserve">Beyond species: Why ecological interaction networks vary through space and time</w:t>
        </w:r>
      </w:hyperlink>
      <w:r>
        <w:t xml:space="preserve">.</w:t>
      </w:r>
      <w:r>
        <w:t xml:space="preserve"> </w:t>
      </w:r>
      <w:r>
        <w:rPr>
          <w:i/>
          <w:iCs/>
        </w:rPr>
        <w:t xml:space="preserve">Oikos</w:t>
      </w:r>
      <w:r>
        <w:t xml:space="preserve">,</w:t>
      </w:r>
      <w:r>
        <w:t xml:space="preserve"> </w:t>
      </w:r>
      <w:r>
        <w:rPr>
          <w:b/>
          <w:bCs/>
        </w:rPr>
        <w:t xml:space="preserve">124</w:t>
      </w:r>
      <w:r>
        <w:t xml:space="preserve">, 243–251.</w:t>
      </w:r>
    </w:p>
    <w:bookmarkEnd w:id="116"/>
    <w:bookmarkStart w:id="118" w:name="ref-RCoreTeam2024"/>
    <w:p>
      <w:pPr>
        <w:pStyle w:val="Bibliography"/>
      </w:pPr>
      <w:r>
        <w:t xml:space="preserve">R Core Team (2024)</w:t>
      </w:r>
      <w:r>
        <w:t xml:space="preserve"> </w:t>
      </w:r>
      <w:hyperlink r:id="rId117">
        <w:r>
          <w:rPr>
            <w:rStyle w:val="Hyperlink"/>
            <w:i/>
            <w:iCs/>
          </w:rPr>
          <w:t xml:space="preserve">R: A language and environment for statistical computing</w:t>
        </w:r>
      </w:hyperlink>
      <w:r>
        <w:t xml:space="preserve">, R Foundation for Statistical Computing, Vienna, Austria.</w:t>
      </w:r>
    </w:p>
    <w:bookmarkEnd w:id="118"/>
    <w:bookmarkStart w:id="120" w:name="ref-rohr2010"/>
    <w:p>
      <w:pPr>
        <w:pStyle w:val="Bibliography"/>
      </w:pPr>
      <w:r>
        <w:t xml:space="preserve">Rohr, R., Scherer, H., Kehrli, P., Mazza, C. &amp; Bersier, L.-F. (2010)</w:t>
      </w:r>
      <w:r>
        <w:t xml:space="preserve"> </w:t>
      </w:r>
      <w:hyperlink r:id="rId119">
        <w:r>
          <w:rPr>
            <w:rStyle w:val="Hyperlink"/>
          </w:rPr>
          <w:t xml:space="preserve">Modeling food webs: Exploring unexplained structure using latent traits.</w:t>
        </w:r>
      </w:hyperlink>
      <w:r>
        <w:t xml:space="preserve"> </w:t>
      </w:r>
      <w:r>
        <w:rPr>
          <w:i/>
          <w:iCs/>
        </w:rPr>
        <w:t xml:space="preserve">The American Naturalist</w:t>
      </w:r>
      <w:r>
        <w:t xml:space="preserve">,</w:t>
      </w:r>
      <w:r>
        <w:t xml:space="preserve"> </w:t>
      </w:r>
      <w:r>
        <w:rPr>
          <w:b/>
          <w:bCs/>
        </w:rPr>
        <w:t xml:space="preserve">176</w:t>
      </w:r>
      <w:r>
        <w:t xml:space="preserve">, 170–177.</w:t>
      </w:r>
    </w:p>
    <w:bookmarkEnd w:id="120"/>
    <w:bookmarkStart w:id="122" w:name="ref-roopnarine2006"/>
    <w:p>
      <w:pPr>
        <w:pStyle w:val="Bibliography"/>
      </w:pPr>
      <w:r>
        <w:t xml:space="preserve">Roopnarine, P.D. (2006)</w:t>
      </w:r>
      <w:r>
        <w:t xml:space="preserve"> </w:t>
      </w:r>
      <w:hyperlink r:id="rId121">
        <w:r>
          <w:rPr>
            <w:rStyle w:val="Hyperlink"/>
          </w:rPr>
          <w:t xml:space="preserve">Extinction cascades and catastrophe in ancient food webs</w:t>
        </w:r>
      </w:hyperlink>
      <w:r>
        <w:t xml:space="preserve">.</w:t>
      </w:r>
      <w:r>
        <w:t xml:space="preserve"> </w:t>
      </w:r>
      <w:r>
        <w:rPr>
          <w:i/>
          <w:iCs/>
        </w:rPr>
        <w:t xml:space="preserve">Paleobiology</w:t>
      </w:r>
      <w:r>
        <w:t xml:space="preserve">,</w:t>
      </w:r>
      <w:r>
        <w:t xml:space="preserve"> </w:t>
      </w:r>
      <w:r>
        <w:rPr>
          <w:b/>
          <w:bCs/>
        </w:rPr>
        <w:t xml:space="preserve">32</w:t>
      </w:r>
      <w:r>
        <w:t xml:space="preserve">, 1–19.</w:t>
      </w:r>
    </w:p>
    <w:bookmarkEnd w:id="122"/>
    <w:bookmarkStart w:id="124" w:name="ref-sandra2025"/>
    <w:p>
      <w:pPr>
        <w:pStyle w:val="Bibliography"/>
      </w:pPr>
      <w:r>
        <w:t xml:space="preserve">Sandra, H.-P., Traveset, A., Nogales, M., Heleno, R., Llewelyn, J. &amp; Strona, G. (2025)</w:t>
      </w:r>
      <w:r>
        <w:t xml:space="preserve"> </w:t>
      </w:r>
      <w:hyperlink r:id="rId123">
        <w:r>
          <w:rPr>
            <w:rStyle w:val="Hyperlink"/>
          </w:rPr>
          <w:t xml:space="preserve">Sampling biases across interaction types affect the robustness of ecological multilayer networks</w:t>
        </w:r>
      </w:hyperlink>
      <w:r>
        <w:t xml:space="preserve">.</w:t>
      </w:r>
      <w:r>
        <w:t xml:space="preserve"> </w:t>
      </w:r>
      <w:r>
        <w:rPr>
          <w:i/>
          <w:iCs/>
        </w:rPr>
        <w:t xml:space="preserve">Ecological Informatics</w:t>
      </w:r>
      <w:r>
        <w:t xml:space="preserve">, 103183.</w:t>
      </w:r>
    </w:p>
    <w:bookmarkEnd w:id="124"/>
    <w:bookmarkStart w:id="126" w:name="ref-shaw2024"/>
    <w:p>
      <w:pPr>
        <w:pStyle w:val="Bibliography"/>
      </w:pPr>
      <w:r>
        <w:t xml:space="preserve">Shaw, J.O., Dunhill, A.M., Beckerman, A.P., Dunne, J.A. &amp; Hull, P.M. (2024)</w:t>
      </w:r>
      <w:r>
        <w:t xml:space="preserve"> </w:t>
      </w:r>
      <w:hyperlink r:id="rId125">
        <w:r>
          <w:rPr>
            <w:rStyle w:val="Hyperlink"/>
          </w:rPr>
          <w:t xml:space="preserve">A framework for reconstructing ancient food webs using functional trait data</w:t>
        </w:r>
      </w:hyperlink>
      <w:r>
        <w:t xml:space="preserve">. 2024.01.30.578036.</w:t>
      </w:r>
    </w:p>
    <w:bookmarkEnd w:id="126"/>
    <w:bookmarkStart w:id="128" w:name="ref-smith2025"/>
    <w:p>
      <w:pPr>
        <w:pStyle w:val="Bibliography"/>
      </w:pPr>
      <w:r>
        <w:t xml:space="preserve">Smith, Q.A., Tomé, C.P., Gearty, W., Smith, F.A., Shizuka, D. &amp; Lyons, S.K. (2025)</w:t>
      </w:r>
      <w:r>
        <w:t xml:space="preserve"> </w:t>
      </w:r>
      <w:hyperlink r:id="rId127">
        <w:r>
          <w:rPr>
            <w:rStyle w:val="Hyperlink"/>
          </w:rPr>
          <w:t xml:space="preserve">Consequences of the megafauna extinction: Changes in food web networks on the edwards plateau across the pleistocene</w:t>
        </w:r>
        <w:r>
          <w:rPr>
            <w:rStyle w:val="Hyperlink"/>
          </w:rPr>
          <w:t xml:space="preserve">holocene transition</w:t>
        </w:r>
      </w:hyperlink>
      <w:r>
        <w:t xml:space="preserve">.</w:t>
      </w:r>
      <w:r>
        <w:t xml:space="preserve"> </w:t>
      </w:r>
      <w:r>
        <w:rPr>
          <w:i/>
          <w:iCs/>
        </w:rPr>
        <w:t xml:space="preserve">Global Ecology and Biogeography</w:t>
      </w:r>
      <w:r>
        <w:t xml:space="preserve">,</w:t>
      </w:r>
      <w:r>
        <w:t xml:space="preserve"> </w:t>
      </w:r>
      <w:r>
        <w:rPr>
          <w:b/>
          <w:bCs/>
        </w:rPr>
        <w:t xml:space="preserve">34</w:t>
      </w:r>
      <w:r>
        <w:t xml:space="preserve">, e70113.</w:t>
      </w:r>
    </w:p>
    <w:bookmarkEnd w:id="128"/>
    <w:bookmarkStart w:id="130" w:name="ref-stouffer2019"/>
    <w:p>
      <w:pPr>
        <w:pStyle w:val="Bibliography"/>
      </w:pPr>
      <w:r>
        <w:t xml:space="preserve">Stouffer, D.B. (2019)</w:t>
      </w:r>
      <w:r>
        <w:t xml:space="preserve"> </w:t>
      </w:r>
      <w:hyperlink r:id="rId129">
        <w:r>
          <w:rPr>
            <w:rStyle w:val="Hyperlink"/>
          </w:rPr>
          <w:t xml:space="preserve">All ecological models are wrong, but some are useful</w:t>
        </w:r>
      </w:hyperlink>
      <w:r>
        <w:t xml:space="preserve">.</w:t>
      </w:r>
      <w:r>
        <w:t xml:space="preserve"> </w:t>
      </w:r>
      <w:r>
        <w:rPr>
          <w:i/>
          <w:iCs/>
        </w:rPr>
        <w:t xml:space="preserve">Journal of Animal Ecology</w:t>
      </w:r>
      <w:r>
        <w:t xml:space="preserve">,</w:t>
      </w:r>
      <w:r>
        <w:t xml:space="preserve"> </w:t>
      </w:r>
      <w:r>
        <w:rPr>
          <w:b/>
          <w:bCs/>
        </w:rPr>
        <w:t xml:space="preserve">88</w:t>
      </w:r>
      <w:r>
        <w:t xml:space="preserve">, 192–195.</w:t>
      </w:r>
    </w:p>
    <w:bookmarkEnd w:id="130"/>
    <w:bookmarkStart w:id="132" w:name="ref-stouffer2007"/>
    <w:p>
      <w:pPr>
        <w:pStyle w:val="Bibliography"/>
      </w:pPr>
      <w:r>
        <w:t xml:space="preserve">Stouffer, D.B., Camacho, J., Jiang, W. &amp; Nunes Amaral, L.A. (2007)</w:t>
      </w:r>
      <w:r>
        <w:t xml:space="preserve"> </w:t>
      </w:r>
      <w:hyperlink r:id="rId131">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w:t>
      </w:r>
      <w:r>
        <w:t xml:space="preserve"> </w:t>
      </w:r>
      <w:r>
        <w:rPr>
          <w:b/>
          <w:bCs/>
        </w:rPr>
        <w:t xml:space="preserve">274</w:t>
      </w:r>
      <w:r>
        <w:t xml:space="preserve">, 1931–1940.</w:t>
      </w:r>
    </w:p>
    <w:bookmarkEnd w:id="132"/>
    <w:bookmarkStart w:id="134" w:name="ref-strydom2021"/>
    <w:p>
      <w:pPr>
        <w:pStyle w:val="Bibliography"/>
      </w:pPr>
      <w:r>
        <w:t xml:space="preserve">Strydom, T., Catchen, M.D., Banville, F., Caron, D., Dansereau, G., Desjardins-Proulx, P., Forero-Muñoz, N.R., Higino, G., Mercier, B., Gonzalez, A., Gravel, D., Pollock, L. &amp; Poisot, T. (2021)</w:t>
      </w:r>
      <w:r>
        <w:t xml:space="preserve"> </w:t>
      </w:r>
      <w:hyperlink r:id="rId133">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w:t>
      </w:r>
      <w:r>
        <w:t xml:space="preserve"> </w:t>
      </w:r>
      <w:r>
        <w:rPr>
          <w:b/>
          <w:bCs/>
        </w:rPr>
        <w:t xml:space="preserve">376</w:t>
      </w:r>
      <w:r>
        <w:t xml:space="preserve">, 20210063.</w:t>
      </w:r>
    </w:p>
    <w:bookmarkEnd w:id="134"/>
    <w:bookmarkStart w:id="136" w:name="ref-strydom2026"/>
    <w:p>
      <w:pPr>
        <w:pStyle w:val="Bibliography"/>
      </w:pPr>
      <w:r>
        <w:t xml:space="preserve">Strydom, T., Dunhill, A.M., Dunne, J.A., Poisot, T. &amp; Beckerman, A.P. (2026)</w:t>
      </w:r>
      <w:r>
        <w:t xml:space="preserve"> </w:t>
      </w:r>
      <w:hyperlink r:id="rId135">
        <w:r>
          <w:rPr>
            <w:rStyle w:val="Hyperlink"/>
          </w:rPr>
          <w:t xml:space="preserve">Scaling from metawebs to realised webs: A hierarchical approach to network ecology</w:t>
        </w:r>
      </w:hyperlink>
      <w:r>
        <w:t xml:space="preserve">.</w:t>
      </w:r>
      <w:r>
        <w:t xml:space="preserve"> </w:t>
      </w:r>
      <w:r>
        <w:rPr>
          <w:i/>
          <w:iCs/>
        </w:rPr>
        <w:t xml:space="preserve">EcoEvoRxiv</w:t>
      </w:r>
      <w:r>
        <w:t xml:space="preserve">.</w:t>
      </w:r>
    </w:p>
    <w:bookmarkEnd w:id="136"/>
    <w:bookmarkStart w:id="138" w:name="ref-thuiller2024"/>
    <w:p>
      <w:pPr>
        <w:pStyle w:val="Bibliography"/>
      </w:pPr>
      <w:r>
        <w:t xml:space="preserve">Thuiller, W., Calderón-Sanou, I., Chalmandrier, L., Gaüzère, P., O’Connor, L.M.J., Ohlmann, M., Poggiato, G. &amp; Münkemüller, T. (2024)</w:t>
      </w:r>
      <w:r>
        <w:t xml:space="preserve"> </w:t>
      </w:r>
      <w:hyperlink r:id="rId137">
        <w:r>
          <w:rPr>
            <w:rStyle w:val="Hyperlink"/>
          </w:rPr>
          <w:t xml:space="preserve">Navigating the integration of biotic interactions in biogeography</w:t>
        </w:r>
      </w:hyperlink>
      <w:r>
        <w:t xml:space="preserve">.</w:t>
      </w:r>
      <w:r>
        <w:t xml:space="preserve"> </w:t>
      </w:r>
      <w:r>
        <w:rPr>
          <w:i/>
          <w:iCs/>
        </w:rPr>
        <w:t xml:space="preserve">Journal of Biogeography</w:t>
      </w:r>
      <w:r>
        <w:t xml:space="preserve">,</w:t>
      </w:r>
      <w:r>
        <w:t xml:space="preserve"> </w:t>
      </w:r>
      <w:r>
        <w:rPr>
          <w:b/>
          <w:bCs/>
        </w:rPr>
        <w:t xml:space="preserve">51</w:t>
      </w:r>
      <w:r>
        <w:t xml:space="preserve">, 550–559.</w:t>
      </w:r>
    </w:p>
    <w:bookmarkEnd w:id="138"/>
    <w:bookmarkStart w:id="140" w:name="ref-trøjelsgaard2016"/>
    <w:p>
      <w:pPr>
        <w:pStyle w:val="Bibliography"/>
      </w:pPr>
      <w:r>
        <w:t xml:space="preserve">Trøjelsgaard, K. &amp; Olesen, J.M. (2016)</w:t>
      </w:r>
      <w:r>
        <w:t xml:space="preserve"> </w:t>
      </w:r>
      <w:hyperlink r:id="rId139">
        <w:r>
          <w:rPr>
            <w:rStyle w:val="Hyperlink"/>
          </w:rPr>
          <w:t xml:space="preserve">Ecological networks in motion: Micro- and macroscopic variability across scales</w:t>
        </w:r>
      </w:hyperlink>
      <w:r>
        <w:t xml:space="preserve">.</w:t>
      </w:r>
      <w:r>
        <w:t xml:space="preserve"> </w:t>
      </w:r>
      <w:r>
        <w:rPr>
          <w:i/>
          <w:iCs/>
        </w:rPr>
        <w:t xml:space="preserve">Functional Ecology</w:t>
      </w:r>
      <w:r>
        <w:t xml:space="preserve">,</w:t>
      </w:r>
      <w:r>
        <w:t xml:space="preserve"> </w:t>
      </w:r>
      <w:r>
        <w:rPr>
          <w:b/>
          <w:bCs/>
        </w:rPr>
        <w:t xml:space="preserve">30</w:t>
      </w:r>
      <w:r>
        <w:t xml:space="preserve">, 1926–1935.</w:t>
      </w:r>
    </w:p>
    <w:bookmarkEnd w:id="140"/>
    <w:bookmarkStart w:id="142" w:name="ref-tylianakis2008"/>
    <w:p>
      <w:pPr>
        <w:pStyle w:val="Bibliography"/>
      </w:pPr>
      <w:r>
        <w:t xml:space="preserve">Tylianakis, J.M., Didham, R.K., Bascompte, J. &amp; Wardle, D.A. (2008)</w:t>
      </w:r>
      <w:r>
        <w:t xml:space="preserve"> </w:t>
      </w:r>
      <w:hyperlink r:id="rId141">
        <w:r>
          <w:rPr>
            <w:rStyle w:val="Hyperlink"/>
          </w:rPr>
          <w:t xml:space="preserve">Global change and species interactions in terrestrial ecosystems</w:t>
        </w:r>
      </w:hyperlink>
      <w:r>
        <w:t xml:space="preserve">.</w:t>
      </w:r>
      <w:r>
        <w:t xml:space="preserve"> </w:t>
      </w:r>
      <w:r>
        <w:rPr>
          <w:i/>
          <w:iCs/>
        </w:rPr>
        <w:t xml:space="preserve">Ecology Letters</w:t>
      </w:r>
      <w:r>
        <w:t xml:space="preserve">,</w:t>
      </w:r>
      <w:r>
        <w:t xml:space="preserve"> </w:t>
      </w:r>
      <w:r>
        <w:rPr>
          <w:b/>
          <w:bCs/>
        </w:rPr>
        <w:t xml:space="preserve">11</w:t>
      </w:r>
      <w:r>
        <w:t xml:space="preserve">, 1351–1363.</w:t>
      </w:r>
    </w:p>
    <w:bookmarkEnd w:id="142"/>
    <w:bookmarkStart w:id="144" w:name="ref-tylianakis2017"/>
    <w:p>
      <w:pPr>
        <w:pStyle w:val="Bibliography"/>
      </w:pPr>
      <w:r>
        <w:t xml:space="preserve">Tylianakis, J.M. &amp; Morris, R.J. (2017)</w:t>
      </w:r>
      <w:r>
        <w:t xml:space="preserve"> </w:t>
      </w:r>
      <w:hyperlink r:id="rId143">
        <w:r>
          <w:rPr>
            <w:rStyle w:val="Hyperlink"/>
          </w:rPr>
          <w:t xml:space="preserve">Ecological networks across environmental gradients</w:t>
        </w:r>
      </w:hyperlink>
      <w:r>
        <w:t xml:space="preserve">.</w:t>
      </w:r>
      <w:r>
        <w:t xml:space="preserve"> </w:t>
      </w:r>
      <w:r>
        <w:rPr>
          <w:i/>
          <w:iCs/>
        </w:rPr>
        <w:t xml:space="preserve">Annual Review of Ecology, Evolution, and Systematics</w:t>
      </w:r>
      <w:r>
        <w:t xml:space="preserve">,</w:t>
      </w:r>
      <w:r>
        <w:t xml:space="preserve"> </w:t>
      </w:r>
      <w:r>
        <w:rPr>
          <w:b/>
          <w:bCs/>
        </w:rPr>
        <w:t xml:space="preserve">48</w:t>
      </w:r>
      <w:r>
        <w:t xml:space="preserve">, 25–48.</w:t>
      </w:r>
    </w:p>
    <w:bookmarkEnd w:id="144"/>
    <w:bookmarkStart w:id="146" w:name="ref-williams2000"/>
    <w:p>
      <w:pPr>
        <w:pStyle w:val="Bibliography"/>
      </w:pPr>
      <w:r>
        <w:t xml:space="preserve">Williams, R.J. &amp; Martinez, N.D. (2000)</w:t>
      </w:r>
      <w:r>
        <w:t xml:space="preserve"> </w:t>
      </w:r>
      <w:hyperlink r:id="rId145">
        <w:r>
          <w:rPr>
            <w:rStyle w:val="Hyperlink"/>
          </w:rPr>
          <w:t xml:space="preserve">Simple rules yield complex food webs</w:t>
        </w:r>
      </w:hyperlink>
      <w:r>
        <w:t xml:space="preserve">.</w:t>
      </w:r>
      <w:r>
        <w:t xml:space="preserve"> </w:t>
      </w:r>
      <w:r>
        <w:rPr>
          <w:i/>
          <w:iCs/>
        </w:rPr>
        <w:t xml:space="preserve">Nature</w:t>
      </w:r>
      <w:r>
        <w:t xml:space="preserve">,</w:t>
      </w:r>
      <w:r>
        <w:t xml:space="preserve"> </w:t>
      </w:r>
      <w:r>
        <w:rPr>
          <w:b/>
          <w:bCs/>
        </w:rPr>
        <w:t xml:space="preserve">404</w:t>
      </w:r>
      <w:r>
        <w:t xml:space="preserve">, 180–183.</w:t>
      </w:r>
    </w:p>
    <w:bookmarkEnd w:id="146"/>
    <w:bookmarkStart w:id="148" w:name="ref-williams2004"/>
    <w:p>
      <w:pPr>
        <w:pStyle w:val="Bibliography"/>
      </w:pPr>
      <w:r>
        <w:t xml:space="preserve">Williams, R.J. &amp; Martinez, N.D. (2004)</w:t>
      </w:r>
      <w:r>
        <w:t xml:space="preserve"> </w:t>
      </w:r>
      <w:hyperlink r:id="rId147">
        <w:r>
          <w:rPr>
            <w:rStyle w:val="Hyperlink"/>
          </w:rPr>
          <w:t xml:space="preserve">Stabilization of chaotic and non-permanent food-web dynamics</w:t>
        </w:r>
      </w:hyperlink>
      <w:r>
        <w:t xml:space="preserve">.</w:t>
      </w:r>
      <w:r>
        <w:t xml:space="preserve"> </w:t>
      </w:r>
      <w:r>
        <w:rPr>
          <w:i/>
          <w:iCs/>
        </w:rPr>
        <w:t xml:space="preserve">The European Physical Journal B - Condensed Matter</w:t>
      </w:r>
      <w:r>
        <w:t xml:space="preserve">,</w:t>
      </w:r>
      <w:r>
        <w:t xml:space="preserve"> </w:t>
      </w:r>
      <w:r>
        <w:rPr>
          <w:b/>
          <w:bCs/>
        </w:rPr>
        <w:t xml:space="preserve">38</w:t>
      </w:r>
      <w:r>
        <w:t xml:space="preserve">, 297–303.</w:t>
      </w:r>
    </w:p>
    <w:bookmarkEnd w:id="148"/>
    <w:bookmarkStart w:id="150" w:name="ref-williams2008"/>
    <w:p>
      <w:pPr>
        <w:pStyle w:val="Bibliography"/>
      </w:pPr>
      <w:r>
        <w:t xml:space="preserve">Williams, R.J. &amp; Martinez, N.D. (2008)</w:t>
      </w:r>
      <w:r>
        <w:t xml:space="preserve"> </w:t>
      </w:r>
      <w:hyperlink r:id="rId149">
        <w:r>
          <w:rPr>
            <w:rStyle w:val="Hyperlink"/>
          </w:rPr>
          <w:t xml:space="preserve">Success and its limits among structural models of complex food webs</w:t>
        </w:r>
      </w:hyperlink>
      <w:r>
        <w:t xml:space="preserve">.</w:t>
      </w:r>
      <w:r>
        <w:t xml:space="preserve"> </w:t>
      </w:r>
      <w:r>
        <w:rPr>
          <w:i/>
          <w:iCs/>
        </w:rPr>
        <w:t xml:space="preserve">The Journal of Animal Ecology</w:t>
      </w:r>
      <w:r>
        <w:t xml:space="preserve">,</w:t>
      </w:r>
      <w:r>
        <w:t xml:space="preserve"> </w:t>
      </w:r>
      <w:r>
        <w:rPr>
          <w:b/>
          <w:bCs/>
        </w:rPr>
        <w:t xml:space="preserve">77</w:t>
      </w:r>
      <w:r>
        <w:t xml:space="preserve">, 512–519.</w:t>
      </w:r>
    </w:p>
    <w:bookmarkEnd w:id="150"/>
    <w:bookmarkStart w:id="152" w:name="ref-yeakel2014"/>
    <w:p>
      <w:pPr>
        <w:pStyle w:val="Bibliography"/>
      </w:pPr>
      <w:r>
        <w:t xml:space="preserve">Yeakel, J.D., Pires, M.M., Rudolf, L., Dominy, N.J., Koch, P.L., Guimarães, P.R. &amp; Gross, T. (2014)</w:t>
      </w:r>
      <w:r>
        <w:t xml:space="preserve"> </w:t>
      </w:r>
      <w:hyperlink r:id="rId151">
        <w:r>
          <w:rPr>
            <w:rStyle w:val="Hyperlink"/>
          </w:rPr>
          <w:t xml:space="preserve">Collapse of an ecological network in ancient egypt</w:t>
        </w:r>
      </w:hyperlink>
      <w:r>
        <w:t xml:space="preserve">.</w:t>
      </w:r>
      <w:r>
        <w:t xml:space="preserve"> </w:t>
      </w:r>
      <w:r>
        <w:rPr>
          <w:i/>
          <w:iCs/>
        </w:rPr>
        <w:t xml:space="preserve">PNAS</w:t>
      </w:r>
      <w:r>
        <w:t xml:space="preserve">,</w:t>
      </w:r>
      <w:r>
        <w:t xml:space="preserve"> </w:t>
      </w:r>
      <w:r>
        <w:rPr>
          <w:b/>
          <w:bCs/>
        </w:rPr>
        <w:t xml:space="preserve">111</w:t>
      </w:r>
      <w:r>
        <w:t xml:space="preserve">, 14472–14477.</w:t>
      </w:r>
    </w:p>
    <w:bookmarkEnd w:id="152"/>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36" Target="media/rId36.png" /><Relationship Type="http://schemas.openxmlformats.org/officeDocument/2006/relationships/hyperlink" Id="rId111" Target="https://doi.org/10" TargetMode="External" /><Relationship Type="http://schemas.openxmlformats.org/officeDocument/2006/relationships/hyperlink" Id="rId58" Target="https://doi.org/10.1016/j.baae.2011.09.008" TargetMode="External" /><Relationship Type="http://schemas.openxmlformats.org/officeDocument/2006/relationships/hyperlink" Id="rId91" Target="https://doi.org/10.1016/j.earscirev.2024.104946" TargetMode="External" /><Relationship Type="http://schemas.openxmlformats.org/officeDocument/2006/relationships/hyperlink" Id="rId123" Target="https://doi.org/10.1016/j.ecoinf.2025.103183" TargetMode="External" /><Relationship Type="http://schemas.openxmlformats.org/officeDocument/2006/relationships/hyperlink" Id="rId103" Target="https://doi.org/10.1016/j.jtbi.2011.03.019" TargetMode="External" /><Relationship Type="http://schemas.openxmlformats.org/officeDocument/2006/relationships/hyperlink" Id="rId79" Target="https://doi.org/10.1016/j.tree.2010.03.002" TargetMode="External" /><Relationship Type="http://schemas.openxmlformats.org/officeDocument/2006/relationships/hyperlink" Id="rId99" Target="https://doi.org/10.1016/j.tree.2015.03.014" TargetMode="External" /><Relationship Type="http://schemas.openxmlformats.org/officeDocument/2006/relationships/hyperlink" Id="rId145"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2" Target="https://doi.org/10.1038/s41467-024-53000-2" TargetMode="External" /><Relationship Type="http://schemas.openxmlformats.org/officeDocument/2006/relationships/hyperlink" Id="rId77" Target="https://doi.org/10.1038/s44358-025-00056-7" TargetMode="External" /><Relationship Type="http://schemas.openxmlformats.org/officeDocument/2006/relationships/hyperlink" Id="rId105" Target="https://doi.org/10.1073/pnas.0710672105" TargetMode="External" /><Relationship Type="http://schemas.openxmlformats.org/officeDocument/2006/relationships/hyperlink" Id="rId151" Target="https://doi.org/10.1073/pnas.1408471111" TargetMode="External" /><Relationship Type="http://schemas.openxmlformats.org/officeDocument/2006/relationships/hyperlink" Id="rId119" Target="https://doi.org/10.1086/653667" TargetMode="External" /><Relationship Type="http://schemas.openxmlformats.org/officeDocument/2006/relationships/hyperlink" Id="rId131" Target="https://doi.org/10.1098/rspb.2007.0571" TargetMode="External" /><Relationship Type="http://schemas.openxmlformats.org/officeDocument/2006/relationships/hyperlink" Id="rId64" Target="https://doi.org/10.1098/rspb.2013.3280" TargetMode="External" /><Relationship Type="http://schemas.openxmlformats.org/officeDocument/2006/relationships/hyperlink" Id="rId133" Target="https://doi.org/10.1098/rstb.2021.0063" TargetMode="External" /><Relationship Type="http://schemas.openxmlformats.org/officeDocument/2006/relationships/hyperlink" Id="rId125" Target="https://doi.org/10.1101/2024.01.30.578036" TargetMode="External" /><Relationship Type="http://schemas.openxmlformats.org/officeDocument/2006/relationships/hyperlink" Id="rId139" Target="https://doi.org/10.1111/1365-2435.12710" TargetMode="External" /><Relationship Type="http://schemas.openxmlformats.org/officeDocument/2006/relationships/hyperlink" Id="rId87" Target="https://doi.org/10.1111/1365-2435.12763" TargetMode="External" /><Relationship Type="http://schemas.openxmlformats.org/officeDocument/2006/relationships/hyperlink" Id="rId129" Target="https://doi.org/10.1111/1365-2656.12949" TargetMode="External" /><Relationship Type="http://schemas.openxmlformats.org/officeDocument/2006/relationships/hyperlink" Id="rId75" Target="https://doi.org/10.1111/2041-210X.14212" TargetMode="External" /><Relationship Type="http://schemas.openxmlformats.org/officeDocument/2006/relationships/hyperlink" Id="rId101" Target="https://doi.org/10.1111/brv.12366" TargetMode="External" /><Relationship Type="http://schemas.openxmlformats.org/officeDocument/2006/relationships/hyperlink" Id="rId60" Target="https://doi.org/10.1111/brv.12433" TargetMode="External" /><Relationship Type="http://schemas.openxmlformats.org/officeDocument/2006/relationships/hyperlink" Id="rId81" Target="https://doi.org/10.1111/ecog.04006" TargetMode="External" /><Relationship Type="http://schemas.openxmlformats.org/officeDocument/2006/relationships/hyperlink" Id="rId109" Target="https://doi.org/10.1111/ele.12002" TargetMode="External" /><Relationship Type="http://schemas.openxmlformats.org/officeDocument/2006/relationships/hyperlink" Id="rId93"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85" Target="https://doi.org/10.1111/gcb.70061" TargetMode="External" /><Relationship Type="http://schemas.openxmlformats.org/officeDocument/2006/relationships/hyperlink" Id="rId127" Target="https://doi.org/10.1111/geb.70113" TargetMode="External" /><Relationship Type="http://schemas.openxmlformats.org/officeDocument/2006/relationships/hyperlink" Id="rId149" Target="https://doi.org/10.1111/j.1365-2656.2008.01362.x" TargetMode="External" /><Relationship Type="http://schemas.openxmlformats.org/officeDocument/2006/relationships/hyperlink" Id="rId141"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07" Target="https://doi.org/10.1111/jbi.14127" TargetMode="External" /><Relationship Type="http://schemas.openxmlformats.org/officeDocument/2006/relationships/hyperlink" Id="rId137" Target="https://doi.org/10.1111/jbi.14734" TargetMode="External" /><Relationship Type="http://schemas.openxmlformats.org/officeDocument/2006/relationships/hyperlink" Id="rId115" Target="https://doi.org/10.1111/oik.01719" TargetMode="External" /><Relationship Type="http://schemas.openxmlformats.org/officeDocument/2006/relationships/hyperlink" Id="rId73" Target="https://doi.org/10.1111/oik.02256" TargetMode="External" /><Relationship Type="http://schemas.openxmlformats.org/officeDocument/2006/relationships/hyperlink" Id="rId97" Target="https://doi.org/10.1126/science.298.5594.824" TargetMode="External" /><Relationship Type="http://schemas.openxmlformats.org/officeDocument/2006/relationships/hyperlink" Id="rId71" Target="https://doi.org/10.1126/science.abn4012" TargetMode="External" /><Relationship Type="http://schemas.openxmlformats.org/officeDocument/2006/relationships/hyperlink" Id="rId54" Target="https://doi.org/10.1137/141000671" TargetMode="External" /><Relationship Type="http://schemas.openxmlformats.org/officeDocument/2006/relationships/hyperlink" Id="rId147" Target="https://doi.org/10.1140/epjb/e2004-00122-1" TargetMode="External" /><Relationship Type="http://schemas.openxmlformats.org/officeDocument/2006/relationships/hyperlink" Id="rId83" Target="https://doi.org/10.1146/annurev-ecolsys-012220-120819" TargetMode="External" /><Relationship Type="http://schemas.openxmlformats.org/officeDocument/2006/relationships/hyperlink" Id="rId143" Target="https://doi.org/10.1146/annurev-ecolsys-110316-022821" TargetMode="External" /><Relationship Type="http://schemas.openxmlformats.org/officeDocument/2006/relationships/hyperlink" Id="rId67" Target="https://doi.org/10.1371/journal.pbio.0060102" TargetMode="External" /><Relationship Type="http://schemas.openxmlformats.org/officeDocument/2006/relationships/hyperlink" Id="rId95" Target="https://doi.org/10.1371/journal.pcbi.1007076" TargetMode="External" /><Relationship Type="http://schemas.openxmlformats.org/officeDocument/2006/relationships/hyperlink" Id="rId56" Target="https://doi.org/10.1890/0012-9658(2006)87[2411:CBRINF]2.0.CO;2" TargetMode="External" /><Relationship Type="http://schemas.openxmlformats.org/officeDocument/2006/relationships/hyperlink" Id="rId135" Target="https://doi.org/10.32942/X2JW8K" TargetMode="External" /><Relationship Type="http://schemas.openxmlformats.org/officeDocument/2006/relationships/hyperlink" Id="rId69" Target="https://doi.org/10.5486/pmd.1959.6.3-4.12" TargetMode="External" /><Relationship Type="http://schemas.openxmlformats.org/officeDocument/2006/relationships/hyperlink" Id="rId89" Target="https://doi.org/10.64898/2026.02.24.707709" TargetMode="External" /><Relationship Type="http://schemas.openxmlformats.org/officeDocument/2006/relationships/hyperlink" Id="rId113" Target="https://doi.org/10.7717/peerj.251" TargetMode="External" /><Relationship Type="http://schemas.openxmlformats.org/officeDocument/2006/relationships/hyperlink" Id="rId117" Target="https://www.R-project.org/" TargetMode="External" /><Relationship Type="http://schemas.openxmlformats.org/officeDocument/2006/relationships/hyperlink" Id="rId121"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 TargetMode="External" /><Relationship Type="http://schemas.openxmlformats.org/officeDocument/2006/relationships/hyperlink" Id="rId58" Target="https://doi.org/10.1016/j.baae.2011.09.008" TargetMode="External" /><Relationship Type="http://schemas.openxmlformats.org/officeDocument/2006/relationships/hyperlink" Id="rId91" Target="https://doi.org/10.1016/j.earscirev.2024.104946" TargetMode="External" /><Relationship Type="http://schemas.openxmlformats.org/officeDocument/2006/relationships/hyperlink" Id="rId123" Target="https://doi.org/10.1016/j.ecoinf.2025.103183" TargetMode="External" /><Relationship Type="http://schemas.openxmlformats.org/officeDocument/2006/relationships/hyperlink" Id="rId103" Target="https://doi.org/10.1016/j.jtbi.2011.03.019" TargetMode="External" /><Relationship Type="http://schemas.openxmlformats.org/officeDocument/2006/relationships/hyperlink" Id="rId79" Target="https://doi.org/10.1016/j.tree.2010.03.002" TargetMode="External" /><Relationship Type="http://schemas.openxmlformats.org/officeDocument/2006/relationships/hyperlink" Id="rId99" Target="https://doi.org/10.1016/j.tree.2015.03.014" TargetMode="External" /><Relationship Type="http://schemas.openxmlformats.org/officeDocument/2006/relationships/hyperlink" Id="rId145"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2" Target="https://doi.org/10.1038/s41467-024-53000-2" TargetMode="External" /><Relationship Type="http://schemas.openxmlformats.org/officeDocument/2006/relationships/hyperlink" Id="rId77" Target="https://doi.org/10.1038/s44358-025-00056-7" TargetMode="External" /><Relationship Type="http://schemas.openxmlformats.org/officeDocument/2006/relationships/hyperlink" Id="rId105" Target="https://doi.org/10.1073/pnas.0710672105" TargetMode="External" /><Relationship Type="http://schemas.openxmlformats.org/officeDocument/2006/relationships/hyperlink" Id="rId151" Target="https://doi.org/10.1073/pnas.1408471111" TargetMode="External" /><Relationship Type="http://schemas.openxmlformats.org/officeDocument/2006/relationships/hyperlink" Id="rId119" Target="https://doi.org/10.1086/653667" TargetMode="External" /><Relationship Type="http://schemas.openxmlformats.org/officeDocument/2006/relationships/hyperlink" Id="rId131" Target="https://doi.org/10.1098/rspb.2007.0571" TargetMode="External" /><Relationship Type="http://schemas.openxmlformats.org/officeDocument/2006/relationships/hyperlink" Id="rId64" Target="https://doi.org/10.1098/rspb.2013.3280" TargetMode="External" /><Relationship Type="http://schemas.openxmlformats.org/officeDocument/2006/relationships/hyperlink" Id="rId133" Target="https://doi.org/10.1098/rstb.2021.0063" TargetMode="External" /><Relationship Type="http://schemas.openxmlformats.org/officeDocument/2006/relationships/hyperlink" Id="rId125" Target="https://doi.org/10.1101/2024.01.30.578036" TargetMode="External" /><Relationship Type="http://schemas.openxmlformats.org/officeDocument/2006/relationships/hyperlink" Id="rId139" Target="https://doi.org/10.1111/1365-2435.12710" TargetMode="External" /><Relationship Type="http://schemas.openxmlformats.org/officeDocument/2006/relationships/hyperlink" Id="rId87" Target="https://doi.org/10.1111/1365-2435.12763" TargetMode="External" /><Relationship Type="http://schemas.openxmlformats.org/officeDocument/2006/relationships/hyperlink" Id="rId129" Target="https://doi.org/10.1111/1365-2656.12949" TargetMode="External" /><Relationship Type="http://schemas.openxmlformats.org/officeDocument/2006/relationships/hyperlink" Id="rId75" Target="https://doi.org/10.1111/2041-210X.14212" TargetMode="External" /><Relationship Type="http://schemas.openxmlformats.org/officeDocument/2006/relationships/hyperlink" Id="rId101" Target="https://doi.org/10.1111/brv.12366" TargetMode="External" /><Relationship Type="http://schemas.openxmlformats.org/officeDocument/2006/relationships/hyperlink" Id="rId60" Target="https://doi.org/10.1111/brv.12433" TargetMode="External" /><Relationship Type="http://schemas.openxmlformats.org/officeDocument/2006/relationships/hyperlink" Id="rId81" Target="https://doi.org/10.1111/ecog.04006" TargetMode="External" /><Relationship Type="http://schemas.openxmlformats.org/officeDocument/2006/relationships/hyperlink" Id="rId109" Target="https://doi.org/10.1111/ele.12002" TargetMode="External" /><Relationship Type="http://schemas.openxmlformats.org/officeDocument/2006/relationships/hyperlink" Id="rId93"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85" Target="https://doi.org/10.1111/gcb.70061" TargetMode="External" /><Relationship Type="http://schemas.openxmlformats.org/officeDocument/2006/relationships/hyperlink" Id="rId127" Target="https://doi.org/10.1111/geb.70113" TargetMode="External" /><Relationship Type="http://schemas.openxmlformats.org/officeDocument/2006/relationships/hyperlink" Id="rId149" Target="https://doi.org/10.1111/j.1365-2656.2008.01362.x" TargetMode="External" /><Relationship Type="http://schemas.openxmlformats.org/officeDocument/2006/relationships/hyperlink" Id="rId141"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07" Target="https://doi.org/10.1111/jbi.14127" TargetMode="External" /><Relationship Type="http://schemas.openxmlformats.org/officeDocument/2006/relationships/hyperlink" Id="rId137" Target="https://doi.org/10.1111/jbi.14734" TargetMode="External" /><Relationship Type="http://schemas.openxmlformats.org/officeDocument/2006/relationships/hyperlink" Id="rId115" Target="https://doi.org/10.1111/oik.01719" TargetMode="External" /><Relationship Type="http://schemas.openxmlformats.org/officeDocument/2006/relationships/hyperlink" Id="rId73" Target="https://doi.org/10.1111/oik.02256" TargetMode="External" /><Relationship Type="http://schemas.openxmlformats.org/officeDocument/2006/relationships/hyperlink" Id="rId97" Target="https://doi.org/10.1126/science.298.5594.824" TargetMode="External" /><Relationship Type="http://schemas.openxmlformats.org/officeDocument/2006/relationships/hyperlink" Id="rId71" Target="https://doi.org/10.1126/science.abn4012" TargetMode="External" /><Relationship Type="http://schemas.openxmlformats.org/officeDocument/2006/relationships/hyperlink" Id="rId54" Target="https://doi.org/10.1137/141000671" TargetMode="External" /><Relationship Type="http://schemas.openxmlformats.org/officeDocument/2006/relationships/hyperlink" Id="rId147" Target="https://doi.org/10.1140/epjb/e2004-00122-1" TargetMode="External" /><Relationship Type="http://schemas.openxmlformats.org/officeDocument/2006/relationships/hyperlink" Id="rId83" Target="https://doi.org/10.1146/annurev-ecolsys-012220-120819" TargetMode="External" /><Relationship Type="http://schemas.openxmlformats.org/officeDocument/2006/relationships/hyperlink" Id="rId143" Target="https://doi.org/10.1146/annurev-ecolsys-110316-022821" TargetMode="External" /><Relationship Type="http://schemas.openxmlformats.org/officeDocument/2006/relationships/hyperlink" Id="rId67" Target="https://doi.org/10.1371/journal.pbio.0060102" TargetMode="External" /><Relationship Type="http://schemas.openxmlformats.org/officeDocument/2006/relationships/hyperlink" Id="rId95" Target="https://doi.org/10.1371/journal.pcbi.1007076" TargetMode="External" /><Relationship Type="http://schemas.openxmlformats.org/officeDocument/2006/relationships/hyperlink" Id="rId56" Target="https://doi.org/10.1890/0012-9658(2006)87[2411:CBRINF]2.0.CO;2" TargetMode="External" /><Relationship Type="http://schemas.openxmlformats.org/officeDocument/2006/relationships/hyperlink" Id="rId135" Target="https://doi.org/10.32942/X2JW8K" TargetMode="External" /><Relationship Type="http://schemas.openxmlformats.org/officeDocument/2006/relationships/hyperlink" Id="rId69" Target="https://doi.org/10.5486/pmd.1959.6.3-4.12" TargetMode="External" /><Relationship Type="http://schemas.openxmlformats.org/officeDocument/2006/relationships/hyperlink" Id="rId89" Target="https://doi.org/10.64898/2026.02.24.707709" TargetMode="External" /><Relationship Type="http://schemas.openxmlformats.org/officeDocument/2006/relationships/hyperlink" Id="rId113" Target="https://doi.org/10.7717/peerj.251" TargetMode="External" /><Relationship Type="http://schemas.openxmlformats.org/officeDocument/2006/relationships/hyperlink" Id="rId117" Target="https://www.R-project.org/" TargetMode="External" /><Relationship Type="http://schemas.openxmlformats.org/officeDocument/2006/relationships/hyperlink" Id="rId121"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reconstruction approach conditions ecological inference in food web reconstruction</dc:title>
  <dc:creator>Tanya Strydom; Baran Karapunar; Jennifer A. Dunne; Pincelli Hull; Crispin T.S. Little; Catalina Pimiento; Andy Ridgwell; Andrew P. Beckerman; Alexander Dunhill</dc:creator>
  <cp:keywords>Ecological networks, Biotic interactions, Community assembly, Environmental gradients, Interaction turnover, Trophic organisation, Ecosystem resilience, Macroecology</cp:keywords>
  <dcterms:created xsi:type="dcterms:W3CDTF">2026-04-07T15:43:46Z</dcterms:created>
  <dcterms:modified xsi:type="dcterms:W3CDTF">2026-04-07T15:43:46Z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dynamics.LocationCleveland Basin, United Kingdom.Time periodToarcian extinction event (Early Jurassic, late Pliensbachian–late Toarcian, ~183 Ma).Major taxa studiedShelly marine macrofossils.MethodsWe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macro-, meso-, and micro-scale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approaches.ResultsReconstruction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substantially.Main conclusionsNetwork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https://www.zotero.org/styles/global-ecology-and-biogeography</vt:lpwstr>
  </property>
  <property fmtid="{D5CDD505-2E9C-101B-9397-08002B2CF9AE}" pid="12" name="date">
    <vt:lpwstr>2026-04-07</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