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2026-02-12</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networks—particularly those assembled from incomplete interaction data—require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Early Jurassic (upper Pliensbachian–upper Toarcian, ~183 Ma).</w:t>
      </w:r>
    </w:p>
    <w:p>
      <w:pPr>
        <w:pStyle w:val="Abstract"/>
      </w:pPr>
      <w:r>
        <w:t xml:space="preserve">Major taxa studied</w:t>
      </w:r>
    </w:p>
    <w:p>
      <w:pPr>
        <w:pStyle w:val="Abstract"/>
      </w:pPr>
      <w:r>
        <w:t xml:space="preserve">Marine invertebrate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secondary extinctions, and compared predicted community states using mean absolute differences and rank concordance metrics.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Ecological networks provide a powerful framework for understanding how communities are structured across space and time. By representing species and their interactions explicitly, food webs allow ecologists to quantify complexity, trophic organization, vulnerability, and the propagation of disturbance through ecosystems</w:t>
      </w:r>
      <w:r>
        <w:t xml:space="preserve"> </w:t>
      </w:r>
      <w:r>
        <w:t xml:space="preserve">(Delmas et al., 2018)</w:t>
      </w:r>
      <w:r>
        <w:t xml:space="preserve">. Network approaches have therefore become central to comparative ecology, from evaluating latitudinal gradients in interaction structure to assessing how communities reorganize following environmental change</w:t>
      </w:r>
      <w:r>
        <w:t xml:space="preserve"> </w:t>
      </w:r>
      <w:r>
        <w:t xml:space="preserve">(Gravel et al., 2019; Hao et al., 2025; Poisot et al., 2015; Tylianakis &amp; Morris, 2017)</w:t>
      </w:r>
      <w:r>
        <w:t xml:space="preserve">. However, ecological networks are rarely fully observed (even in modern systems), and interaction data are incomplete, biased, and scale dependent</w:t>
      </w:r>
      <w:r>
        <w:t xml:space="preserve"> </w:t>
      </w:r>
      <w:r>
        <w:t xml:space="preserve">(Catchen et al., 2023; Poisot et al., 2021; Sandra et al., 2025)</w:t>
      </w:r>
      <w:r>
        <w:t xml:space="preserve">. In most contexts (including historical, biogeographic, and deep-time systems) interactions must be inferred indirectly from traits, co-occurrence, phylogeny, or ecological theory</w:t>
      </w:r>
      <w:r>
        <w:t xml:space="preserve"> </w:t>
      </w:r>
      <w:r>
        <w:t xml:space="preserve">(Morales-Castilla et al., 2015; Strydom et al., 2021)</w:t>
      </w:r>
      <w:r>
        <w:t xml:space="preserve">. As a result, network construction is not simply a descriptive exercise but an inferential one where models are used to predict links that are plausible, probable, or theoretically consistent with ecological constraints</w:t>
      </w:r>
      <w:r>
        <w:t xml:space="preserve"> </w:t>
      </w:r>
      <w:r>
        <w:t xml:space="preserve">(Strydom et al., 2026)</w:t>
      </w:r>
      <w:r>
        <w:t xml:space="preserve">. Despite rapid methodological development in interaction inference, few studies have systematically compared alternative reconstruction frameworks within the same empirical system to evaluate how model choice propagates into ecological inference.</w:t>
      </w:r>
    </w:p>
    <w:p>
      <w:pPr>
        <w:pStyle w:val="BodyText"/>
      </w:pPr>
      <w:r>
        <w:t xml:space="preserve">This issue is particularly important for comparative studies. While inference from ecological networks regarding structure and complexity is a mathematical task and is therefore relatively independent of biological assumptions</w:t>
      </w:r>
      <w:r>
        <w:t xml:space="preserve"> </w:t>
      </w:r>
      <w:r>
        <w:t xml:space="preserve">(Delmas et al., 2019)</w:t>
      </w:r>
      <w:r>
        <w:t xml:space="preserve">, their implications for stability and dynamics depend critically on assumptions about the distribution and strength of interaction</w:t>
      </w:r>
      <w:r>
        <w:t xml:space="preserve"> </w:t>
      </w:r>
      <w:r>
        <w:t xml:space="preserve">(Allesina &amp; Tang, 2012; Poisot et al., 2015)</w:t>
      </w:r>
      <w:r>
        <w:t xml:space="preserve">. Network properties such as connectance, trophic organization, motif frequency, and robustness are often compared across communities to infer ecological differences attributable to environmental gradients, disturbance regimes, or evolutionary history</w:t>
      </w:r>
      <w:r>
        <w:t xml:space="preserve"> </w:t>
      </w:r>
      <w:r>
        <w:t xml:space="preserve">(Dunhill et al., 2024; Michalska-Smith &amp; Allesina, 2019; Poisot &amp; Gravel, 2014; Roopnarine, 2006)</w:t>
      </w:r>
      <w:r>
        <w:t xml:space="preserve">. However, if network structure depends strongly on the reconstruction model employed, then methodological variation may be conflated with biological signal. Understanding which ecological conclusions are robust to reconstruction assumptions (and which are model-dependent) is therefore essential for reliable cross-system inference. Recent work in network ecology has clarified that reconstruction approaches differ fundamentally in the type of network that they represent</w:t>
      </w:r>
      <w:r>
        <w:t xml:space="preserve"> </w:t>
      </w:r>
      <w:r>
        <w:t xml:space="preserve">(Gauzens et al., 2025; Strydom et al., 2026)</w:t>
      </w:r>
      <w:r>
        <w:t xml:space="preserve">. Broadly, these include: feasible networks, which map the set of interactions that are biologically possible given trait or phylogenetic compatibility; realised networks, which incorporate energetic or foraging constraints to approximate the subset of interactions likely to occur; and structural networks, which reproduce general topological properties without assigning biologically explicit species identities</w:t>
      </w:r>
      <w:r>
        <w:t xml:space="preserve"> </w:t>
      </w:r>
      <w:r>
        <w:t xml:space="preserve">(Allesina et al., 2008)</w:t>
      </w:r>
      <w:r>
        <w:t xml:space="preserve">. Each representation encodes distinct ecological assumptions about how interactions arise and persist. Yet these classes are rarely evaluated comparatively within the same empirical system.</w:t>
      </w:r>
    </w:p>
    <w:p>
      <w:pPr>
        <w:pStyle w:val="BodyText"/>
      </w:pPr>
      <w:r>
        <w:t xml:space="preserve">Although modern ecological networks often incorporate direct observations, analyses across historical or biogeographic gradients rely on inferred interactions. In these cases, reconstruction becomes structural hypothesis testing rather than data recovery. Yet most studies adopt a single reconstruction framework without assessing how alternative models might alter inferred ecological patterns, leaving it unclear whether signals such as extinction cascades or stability metrics reflect ecological reality or modelling artefacts. Deep-time ecosystems provide a stringent test of this issue, because interactions are not observed directly</w:t>
      </w:r>
      <w:r>
        <w:t xml:space="preserve"> </w:t>
      </w:r>
      <w:r>
        <w:t xml:space="preserve">(Dunhill et al., 2024; Dunne et al., 2008; Dunne et al., 2014; Roopnarine, 2006)</w:t>
      </w:r>
      <w:r>
        <w:t xml:space="preserve">, reconstruction assumptions must be explicit, allowing model effects on ecological inference to be isolated.</w:t>
      </w:r>
    </w:p>
    <w:p>
      <w:pPr>
        <w:pStyle w:val="BodyText"/>
      </w:pPr>
      <w:r>
        <w:t xml:space="preserve">Here we assess how alternative network reconstruction frameworks influence inferred food web structure and extinction dynamics through a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from an identical taxon pool using six contrasting models spanning feasible, realised, and structural network representations. For each community, we compare macro-, meso-, and micro-scale network properties, quantify turnover in inferred interactions, and evaluate extinction dynamics under replicated disturbance simulations. In holding species composition constant while varying reconstruction framework, we isolate the contribution of model structure to ecological inference. This design allows us to distinguish signals that are consistent across models (indicating robust ecological patterns) from those that vary strongly with reconstruction assumptions. In doing so, we provide a general framework for evaluating uncertainty in reconstructed ecological networks and for improving the reliability of comparative network analyses across spatial and temporal scales.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w:t>
      </w:r>
      <w:r>
        <w:t xml:space="preserve"> </w:t>
      </w:r>
      <w:r>
        <w:t xml:space="preserve">(Bambach et al., 2007)</w:t>
      </w:r>
      <w:r>
        <w:t xml:space="preserve">.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 web inference model (PFIM; feasibility web). Expanded descriptions of model assumptions, parameterisation, and link-generation rules are provided in Supplementary Material S1. For each community, 100 networks were generated per model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We simulated species loss under multiple scenarios, including trait-based, network-position-based, and random removals, allowing cascading extinctions to propagate. Simulated outcomes were compared to observed or expected community states using mean absolute differences (MAD)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8"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8"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Body-size 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Body-size ratio model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74676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43" w:name="discussion"/>
    <w:p>
      <w:pPr>
        <w:pStyle w:val="Heading1"/>
      </w:pPr>
      <w:r>
        <w:t xml:space="preserve">4. Discussion</w:t>
      </w:r>
    </w:p>
    <w:bookmarkStart w:id="39" w:name="X97f48f798b4217c0affa90fbfb1db2e476bb466"/>
    <w:p>
      <w:pPr>
        <w:pStyle w:val="Heading2"/>
      </w:pPr>
      <w:r>
        <w:t xml:space="preserve">4.1 Model choice as a component of ecological inference</w:t>
      </w:r>
    </w:p>
    <w:p>
      <w:pPr>
        <w:pStyle w:val="FirstParagraph"/>
      </w:pPr>
      <w:r>
        <w:t xml:space="preserve">Reconstructing ecological networks from incomplete interaction data (whether in contemporary, historical, or deep-time systems) is fundamentally an exercise in inference under uncertainty. Even in modern ecosystems, interaction networks are rarely fully observed</w:t>
      </w:r>
      <w:r>
        <w:t xml:space="preserve"> </w:t>
      </w:r>
      <w:r>
        <w:t xml:space="preserve">(Poisot et al., 2021)</w:t>
      </w:r>
      <w:r>
        <w:t xml:space="preserve">, and link prediction often relies on traits, phylogeny, co-occurrence, or mechanistic assumptions</w:t>
      </w:r>
      <w:r>
        <w:t xml:space="preserve"> </w:t>
      </w:r>
      <w:r>
        <w:t xml:space="preserve">(Delmas et al., 2019; Morales-Castilla et al., 2015; Strydom et al., 2026)</w:t>
      </w:r>
      <w:r>
        <w:t xml:space="preserve">. Theoretical work has long demonstrated that network structure strongly conditions ecological dynamics, including robustness to species loss and the propagation of disturbance</w:t>
      </w:r>
      <w:r>
        <w:t xml:space="preserve"> </w:t>
      </w:r>
      <w:r>
        <w:t xml:space="preserve">(Allesina &amp; Tang, 2012; Dunne et al., 2002; Solé &amp; Montoya, 2001)</w:t>
      </w:r>
      <w:r>
        <w:t xml:space="preserve">. Our results extend this insight by showing that the reconstruction framework itself functions as a structural prior - in shaping interaction topology, it directly influences inferred food web organisation and community responses to disturbance.</w:t>
      </w:r>
    </w:p>
    <w:p>
      <w:pPr>
        <w:pStyle w:val="BodyText"/>
      </w:pPr>
      <w:r>
        <w:t xml:space="preserve">Differences among models arise not from the species pool alone, but from assumptions embedded in each model family</w:t>
      </w:r>
      <w:r>
        <w:t xml:space="preserve"> </w:t>
      </w:r>
      <w:r>
        <w:t xml:space="preserve">(Pichler &amp; Hartig, 2023; Strydom et al., 2021; Strydom et al., 2026)</w:t>
      </w:r>
      <w:r>
        <w:t xml:space="preserve">. These include how trophic links are defined (trait compatibility versus energetic optimisation), how interaction probabilities are parameterised, and whether topology is constrained by macroecological regularities (</w:t>
      </w:r>
      <w:r>
        <w:rPr>
          <w:i/>
          <w:iCs/>
        </w:rPr>
        <w:t xml:space="preserve">e.g.,</w:t>
      </w:r>
      <w:r>
        <w:t xml:space="preserve"> </w:t>
      </w:r>
      <w:r>
        <w:t xml:space="preserve">niche structure) or mechanistic rules (</w:t>
      </w:r>
      <w:r>
        <w:rPr>
          <w:i/>
          <w:iCs/>
        </w:rPr>
        <w:t xml:space="preserve">e.g.,</w:t>
      </w:r>
      <w:r>
        <w:t xml:space="preserve"> </w:t>
      </w:r>
      <w:r>
        <w:t xml:space="preserve">body-size scaling). Consequently, network reconstruction is not a neutral technical step; it encodes ecological hypotheses that shape both emergent structure and dynamical predictions. This sensitivity parallels challenges in contemporary network ecology, where model and metric selection influence interpretations of connectance, modularity, motif frequencies, and stability</w:t>
      </w:r>
      <w:r>
        <w:t xml:space="preserve"> </w:t>
      </w:r>
      <w:r>
        <w:t xml:space="preserve">(Michalska-Smith &amp; Allesina, 2019; Poisot &amp; Gravel, 2014)</w:t>
      </w:r>
      <w:r>
        <w:t xml:space="preserve">.</w:t>
      </w:r>
    </w:p>
    <w:p>
      <w:pPr>
        <w:pStyle w:val="BodyText"/>
      </w:pPr>
      <w:r>
        <w:t xml:space="preserve">Multivariate analyses revealed that reconstruction approaches differ along a small number of dominant axes corresponding to horizontal interaction density and vertical trophic organisation. These axes capture systematic, model-specific signatures independent of species composition, indicating that reconstruction framework acts as a major determinant of inferred ecological structure. Although some models converged on global metrics (</w:t>
      </w:r>
      <w:r>
        <w:rPr>
          <w:i/>
          <w:iCs/>
        </w:rPr>
        <w:t xml:space="preserve">e.g.,</w:t>
      </w:r>
      <w:r>
        <w:t xml:space="preserve"> </w:t>
      </w:r>
      <w:r>
        <w:t xml:space="preserve">ADBM and ATN models), pairwise β-turnover revealed disagreements in inferred species-level interactions. Structural similarity therefore does not guarantee concordance in trophic roles. Importantly, extinction scenario inference was scale dependent. Species-level extinction rankings were relatively consistent across models, whereas interaction-level outcomes were highly sensitive to reconstruction assumptions. This asymmetry reflects the dependence of cascade dynamics on link configuration and interaction distribution</w:t>
      </w:r>
      <w:r>
        <w:t xml:space="preserve"> </w:t>
      </w:r>
      <w:r>
        <w:t xml:space="preserve">(Allesina &amp; Tang, 2012; Curtsdotter et al., 2011; Dunne et al., 2002)</w:t>
      </w:r>
      <w:r>
        <w:t xml:space="preserve">. Thus, while certain aggregate patterns may be robust to modelling choices, fine-grained interaction-level inference remains intrinsically model contingent.</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researchers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Viewed through the lens of accuracy (here referring to model convergence/robustness) and precision, our results suggest that some paleoecological inferences are robust across reconstruction assumptions, while others remain intrinsically uncertain. Models consistently recover similar high-level extinction patterns, implying relative accuracy, but disagree on interaction-level details and temporal dynamics, indicating limited precision in reconstructing the fine structure of collapse. Recognizing and explicitly accounting for these differences is essential for advancing paleoecology beyond descriptive reconstruction toward rigorous comparative inference.</w:t>
      </w:r>
    </w:p>
    <w:bookmarkEnd w:id="39"/>
    <w:bookmarkStart w:id="40" w:name="X1d1c79d1e582d89aa689a379fcfcee8351f733c"/>
    <w:p>
      <w:pPr>
        <w:pStyle w:val="Heading2"/>
      </w:pPr>
      <w:r>
        <w:t xml:space="preserve">4.2 Matching ecological questions to network representations</w:t>
      </w:r>
    </w:p>
    <w:p>
      <w:pPr>
        <w:pStyle w:val="FirstParagraph"/>
      </w:pPr>
      <w:r>
        <w:t xml:space="preserve">A central implication is that network representations are question specific. Different ecological questions require different classes of network models, a distinction increasingly recognised in contemporary ecology</w:t>
      </w:r>
      <w:r>
        <w:t xml:space="preserve"> </w:t>
      </w:r>
      <w:r>
        <w:t xml:space="preserve">(Gauzens et al., 2025; Gravel et al., 2013; Tylianakis &amp; Morris, 2017)</w:t>
      </w:r>
      <w:r>
        <w:t xml:space="preserve">.</w:t>
      </w:r>
    </w:p>
    <w:p>
      <w:pPr>
        <w:pStyle w:val="BodyText"/>
      </w:pPr>
      <w:r>
        <w:rPr>
          <w:b/>
          <w:bCs/>
        </w:rPr>
        <w:t xml:space="preserve">Feasibility networks:</w:t>
      </w:r>
      <w:r>
        <w:t xml:space="preserve"> </w:t>
      </w:r>
      <w:r>
        <w:t xml:space="preserve">(trait- or phylogeny-based metaweb approaches) delineate the set of biologically plausible interactions. These are well suited for investigating potential dietary breadth, interaction diversity, or assembly constraints across spatial or environmental gradients</w:t>
      </w:r>
      <w:r>
        <w:t xml:space="preserve"> </w:t>
      </w:r>
      <w:r>
        <w:t xml:space="preserve">(Gravel et al., 2019)</w:t>
      </w:r>
      <w:r>
        <w:t xml:space="preserve">. However, because they maximise compatibility rather than realised foraging dynamics, they may overestimate interaction density when used to infer cascade processes.</w:t>
      </w:r>
    </w:p>
    <w:p>
      <w:pPr>
        <w:pStyle w:val="BodyText"/>
      </w:pPr>
      <w:r>
        <w:rPr>
          <w:b/>
          <w:bCs/>
        </w:rPr>
        <w:t xml:space="preserve">Realised networks:</w:t>
      </w:r>
      <w:r>
        <w:t xml:space="preserve"> </w:t>
      </w:r>
      <w:r>
        <w:t xml:space="preserve">(allometric or energetic models such as ADBM and ATN) embed foraging and metabolic rules to approximate likely trophic interactions</w:t>
      </w:r>
      <w:r>
        <w:t xml:space="preserve"> </w:t>
      </w:r>
      <w:r>
        <w:t xml:space="preserve">(Brose et al., 2006; Gauzens et al., 2023; Petchey et al., 2008)</w:t>
      </w:r>
      <w:r>
        <w:t xml:space="preserve">. In our analyses, these models produced more nonlinear and abrupt disturbance trajectories, consistent with energetic bottlenecks and constraint propagation. They are therefore more appropriate for questions concerning energy flow, trophic stability, and secondary extinction dynamics.</w:t>
      </w:r>
    </w:p>
    <w:p>
      <w:pPr>
        <w:pStyle w:val="BodyText"/>
      </w:pPr>
      <w:r>
        <w:rPr>
          <w:b/>
          <w:bCs/>
        </w:rPr>
        <w:t xml:space="preserve">Structural networks:</w:t>
      </w:r>
      <w:r>
        <w:t xml:space="preserve"> </w:t>
      </w:r>
      <w:r>
        <w:t xml:space="preserve">(such as the niche or cascade models) prioritise topological regularities over species identity</w:t>
      </w:r>
      <w:r>
        <w:t xml:space="preserve"> </w:t>
      </w:r>
      <w:r>
        <w:t xml:space="preserve">(Allesina et al., 2008; Williams &amp; Martinez, 2008)</w:t>
      </w:r>
      <w:r>
        <w:t xml:space="preserve">. These approaches are particularly useful when evaluating macroecological scaling relationships, connectance patterns, motif distributions, or theoretical expectations for network structure. However, because species identity is decoupled from interaction assignment, they are less suitable for species-specific ecological inference.</w:t>
      </w:r>
    </w:p>
    <w:p>
      <w:pPr>
        <w:pStyle w:val="BodyText"/>
      </w:pPr>
      <w:r>
        <w:t xml:space="preserve">Rather than asking which model is</w:t>
      </w:r>
      <w:r>
        <w:t xml:space="preserve"> </w:t>
      </w:r>
      <w:r>
        <w:t xml:space="preserve">‘correct’</w:t>
      </w:r>
      <w:r>
        <w:t xml:space="preserve">, the more productive question is which representation best aligns with the inferential goal. Network reconstruction should therefore be treated as part of hypothesis specification, not merely data preparation.</w:t>
      </w:r>
    </w:p>
    <w:bookmarkEnd w:id="40"/>
    <w:bookmarkStart w:id="41" w:name="X34631db3006f2a7f7ac97e08b5eb5259783a01f"/>
    <w:p>
      <w:pPr>
        <w:pStyle w:val="Heading2"/>
      </w:pPr>
      <w:r>
        <w:t xml:space="preserve">4.3 Implications for ecological network analysis</w:t>
      </w:r>
    </w:p>
    <w:p>
      <w:pPr>
        <w:pStyle w:val="FirstParagraph"/>
      </w:pPr>
      <w:r>
        <w:t xml:space="preserve">Although the present analyses were conducted within a single regional species pool, the implications extend broadly to comparative ecology and biogeography. Networks assembled across environmental gradients, latitudinal bands, disturbance regimes, or temporal intervals often differ in sampling intensity, trait resolution, and reconstruction methodology</w:t>
      </w:r>
      <w:r>
        <w:t xml:space="preserve"> </w:t>
      </w:r>
      <w:r>
        <w:t xml:space="preserve">(Delmas et al., 2018; Poisot et al., 2021; Tylianakis &amp; Morris, 2017)</w:t>
      </w:r>
      <w:r>
        <w:t xml:space="preserve">. Without explicitly accounting for reconstruction framework, methodological variation may be conflated with ecological signal.</w:t>
      </w:r>
    </w:p>
    <w:p>
      <w:pPr>
        <w:pStyle w:val="BodyText"/>
      </w:pPr>
      <w:r>
        <w:t xml:space="preserve">Three general implications follow.</w:t>
      </w:r>
    </w:p>
    <w:p>
      <w:pPr>
        <w:pStyle w:val="BodyText"/>
      </w:pPr>
      <w:r>
        <w:t xml:space="preserve">First, reconstruction assumptions should be treated as explicit components of study design. Because network models encode hypotheses about how interactions arise, observed differences in connectance, trophic organisation, or robustness may reflect structural priors rather than ecological processes.</w:t>
      </w:r>
    </w:p>
    <w:p>
      <w:pPr>
        <w:pStyle w:val="BodyText"/>
      </w:pPr>
      <w:r>
        <w:t xml:space="preserve">Second, cross-system comparisons should standardise reconstruction framework wherever possible. Comparing networks generated using different model families risks attributing differences in structure or stability to environmental gradients when they may instead arise from modelling choices.</w:t>
      </w:r>
    </w:p>
    <w:p>
      <w:pPr>
        <w:pStyle w:val="BodyText"/>
      </w:pPr>
      <w:r>
        <w:t xml:space="preserve">Third, ensemble or sensitivity-based approaches provide a pathway to more robust inference. Evaluating ecological patterns across multiple plausible reconstructions allows identification of signals that are consistent across models and those that are assumption dependent. In this study, species-level vulnerability patterns were comparatively robust, whereas interaction-level cascades were highly variable. Such scale-dependent robustness clarifies where ecological inference is reliable and where it remains uncertain.</w:t>
      </w:r>
    </w:p>
    <w:p>
      <w:pPr>
        <w:pStyle w:val="BodyText"/>
      </w:pPr>
      <w:r>
        <w:t xml:space="preserve">These considerations are particularly relevant for global change research. As ecological communities reorganise under climate change, habitat loss, and species invasions, reconstructed or partially observed networks are increasingly used to infer vulnerability, tipping points, and resilience</w:t>
      </w:r>
      <w:r>
        <w:t xml:space="preserve"> </w:t>
      </w:r>
      <w:r>
        <w:t xml:space="preserve">(Michalska-Smith &amp; Allesina, 2019; Tylianakis &amp; Morris, 2017)</w:t>
      </w:r>
      <w:r>
        <w:t xml:space="preserve">. Recognising reconstruction framework as a structural prior strengthens interpretation of such comparative analyses.</w:t>
      </w:r>
    </w:p>
    <w:bookmarkEnd w:id="41"/>
    <w:bookmarkStart w:id="42" w:name="X91c48ad4bed7f6714cefe93b775bfe1474b9677"/>
    <w:p>
      <w:pPr>
        <w:pStyle w:val="Heading2"/>
      </w:pPr>
      <w:r>
        <w:t xml:space="preserve">4.4 Toward probabilistic and ensemble reconstruction frameworks</w:t>
      </w:r>
    </w:p>
    <w:p>
      <w:pPr>
        <w:pStyle w:val="FirstParagraph"/>
      </w:pPr>
      <w:r>
        <w:t xml:space="preserve">Advances in modern network ecology offer promising directions for explicitly incorporating uncertainty into reconstruction. Probabilistic and Bayesian link-prediction approaches allow interaction probabilities to be estimated rather than assumed deterministic</w:t>
      </w:r>
      <w:r>
        <w:t xml:space="preserve"> </w:t>
      </w:r>
      <w:r>
        <w:t xml:space="preserve">(Baskerville et al., 2011; Elmasri et al., 2020; Poisot et al., 2016)</w:t>
      </w:r>
      <w:r>
        <w:t xml:space="preserve">. Maximum entropy methods can infer network structure under incomplete information while constraining macroecological properties</w:t>
      </w:r>
      <w:r>
        <w:t xml:space="preserve"> </w:t>
      </w:r>
      <w:r>
        <w:t xml:space="preserve">(Banville et al., 2023)</w:t>
      </w:r>
      <w:r>
        <w:t xml:space="preserve">. Trait-based and joint species distribution approaches integrate environmental, phylogenetic, and functional information to improve link inference across gradients</w:t>
      </w:r>
      <w:r>
        <w:t xml:space="preserve"> </w:t>
      </w:r>
      <w:r>
        <w:t xml:space="preserve">(Bartomeus et al., 2016; Ovaskainen et al., 2017)</w:t>
      </w:r>
      <w:r>
        <w:t xml:space="preserve">. Adopting such approaches would allow reconstructed networks to be treated as probabilistic ensembles rather than fixed topologies, improving both transparency and robustness</w:t>
      </w:r>
      <w:r>
        <w:t xml:space="preserve"> </w:t>
      </w:r>
      <w:r>
        <w:t xml:space="preserve">(Banville et al., 2025; Perez-Lamarque et al., 2026; Poisot et al., 2016)</w:t>
      </w:r>
      <w:r>
        <w:t xml:space="preserve">. In this framework, variation among reconstruction models becomes a quantifiable component of uncertainty rather than a hidden source of bias.</w:t>
      </w:r>
    </w:p>
    <w:bookmarkEnd w:id="42"/>
    <w:bookmarkEnd w:id="43"/>
    <w:bookmarkStart w:id="44" w:name="conclusions"/>
    <w:p>
      <w:pPr>
        <w:pStyle w:val="Heading1"/>
      </w:pPr>
      <w:r>
        <w:t xml:space="preserve">5. Conclusions</w:t>
      </w:r>
    </w:p>
    <w:p>
      <w:pPr>
        <w:pStyle w:val="FirstParagraph"/>
      </w:pPr>
      <w:r>
        <w:t xml:space="preserve">Ecological network reconstruction is not merely a technical step but a fundamental component of ecological inference. By comparing six contrasting reconstruction frameworks applied to an identical species pool, we demonstrate that model choice strongly shapes inferred food-web structure, interaction identity, and disturbance dynamics. Broad species-level patterns may be robust across reconstruction approaches, but interaction-level outcomes and cascade pathways are highly contingent on model assumptions. These findings highlight that network reconstruction is inherently hypothesis-driven. Each model encodes distinct ecological assumptions that influence both emergent topology and dynamical predictions. No single representation captures all aspects of ecological reality. However, aligning reconstruction framework with inferential goals, standardising methods across comparisons, and adopting ensemble or sensitivity approaches can distinguish robust ecological signals from model-dependent artefacts. As ecological network analyses continue to expand across spatial, temporal, and environmental gradients, recognising reconstruction framework as a structural prior will be essential for strengthening the reliability and interpretability of comparative ecological research.</w:t>
      </w:r>
    </w:p>
    <w:bookmarkEnd w:id="44"/>
    <w:bookmarkStart w:id="146" w:name="references"/>
    <w:p>
      <w:pPr>
        <w:pStyle w:val="Heading1"/>
      </w:pPr>
      <w:r>
        <w:t xml:space="preserve">References</w:t>
      </w:r>
    </w:p>
    <w:bookmarkStart w:id="145" w:name="refs"/>
    <w:bookmarkStart w:id="46"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5">
        <w:r>
          <w:rPr>
            <w:rStyle w:val="Hyperlink"/>
          </w:rPr>
          <w:t xml:space="preserve">https://doi.org/10.1126/science.1156269</w:t>
        </w:r>
      </w:hyperlink>
    </w:p>
    <w:bookmarkEnd w:id="46"/>
    <w:bookmarkStart w:id="48"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7">
        <w:r>
          <w:rPr>
            <w:rStyle w:val="Hyperlink"/>
          </w:rPr>
          <w:t xml:space="preserve">https://doi.org/10.1038/nature10832</w:t>
        </w:r>
      </w:hyperlink>
    </w:p>
    <w:bookmarkEnd w:id="48"/>
    <w:bookmarkStart w:id="50"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9">
        <w:r>
          <w:rPr>
            <w:rStyle w:val="Hyperlink"/>
          </w:rPr>
          <w:t xml:space="preserve">https://doi.org/10.1111/j.1475-4983.2006.00611.x</w:t>
        </w:r>
      </w:hyperlink>
    </w:p>
    <w:bookmarkEnd w:id="50"/>
    <w:bookmarkStart w:id="52"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1">
        <w:r>
          <w:rPr>
            <w:rStyle w:val="Hyperlink"/>
          </w:rPr>
          <w:t xml:space="preserve">https://doi.org/10.1371/journal.pcbi.1011458</w:t>
        </w:r>
      </w:hyperlink>
    </w:p>
    <w:bookmarkEnd w:id="52"/>
    <w:bookmarkStart w:id="54"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3">
        <w:r>
          <w:rPr>
            <w:rStyle w:val="Hyperlink"/>
          </w:rPr>
          <w:t xml:space="preserve">https://doi.org/10.1111/ele.70161</w:t>
        </w:r>
      </w:hyperlink>
    </w:p>
    <w:bookmarkEnd w:id="54"/>
    <w:bookmarkStart w:id="56" w:name="ref-bartomeus2016"/>
    <w:p>
      <w:pPr>
        <w:pStyle w:val="Bibliography"/>
      </w:pPr>
      <w:r>
        <w:t xml:space="preserve">Bartomeus, I., Gravel, D., Tylianakis, J. M., Aizen, M. A., Dickie, I. A., &amp; Bernard-Verdier, M. (2016). A common framework for identifying linkage rules across different types of interactions.</w:t>
      </w:r>
      <w:r>
        <w:t xml:space="preserve"> </w:t>
      </w:r>
      <w:r>
        <w:rPr>
          <w:i/>
          <w:iCs/>
        </w:rPr>
        <w:t xml:space="preserve">Functional Ecology</w:t>
      </w:r>
      <w:r>
        <w:t xml:space="preserve">,</w:t>
      </w:r>
      <w:r>
        <w:t xml:space="preserve"> </w:t>
      </w:r>
      <w:r>
        <w:rPr>
          <w:i/>
          <w:iCs/>
        </w:rPr>
        <w:t xml:space="preserve">30</w:t>
      </w:r>
      <w:r>
        <w:t xml:space="preserve">(12), 1894–1903.</w:t>
      </w:r>
      <w:r>
        <w:t xml:space="preserve"> </w:t>
      </w:r>
      <w:hyperlink r:id="rId55">
        <w:r>
          <w:rPr>
            <w:rStyle w:val="Hyperlink"/>
          </w:rPr>
          <w:t xml:space="preserve">https://doi.org/10.1111/1365-2435.12666</w:t>
        </w:r>
      </w:hyperlink>
    </w:p>
    <w:bookmarkEnd w:id="56"/>
    <w:bookmarkStart w:id="58"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7">
        <w:r>
          <w:rPr>
            <w:rStyle w:val="Hyperlink"/>
          </w:rPr>
          <w:t xml:space="preserve">https://doi.org/10.1371/journal.pcbi.1002321</w:t>
        </w:r>
      </w:hyperlink>
    </w:p>
    <w:bookmarkEnd w:id="58"/>
    <w:bookmarkStart w:id="60"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9">
        <w:r>
          <w:rPr>
            <w:rStyle w:val="Hyperlink"/>
          </w:rPr>
          <w:t xml:space="preserve">https://doi.org/10.1890/0012-9658(2006)87[2411:CBRINF]2.0.CO;2</w:t>
        </w:r>
      </w:hyperlink>
    </w:p>
    <w:bookmarkEnd w:id="60"/>
    <w:bookmarkStart w:id="62"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1">
        <w:r>
          <w:rPr>
            <w:rStyle w:val="Hyperlink"/>
          </w:rPr>
          <w:t xml:space="preserve">https://ecoevorxiv.org/repository/view/5348/</w:t>
        </w:r>
      </w:hyperlink>
    </w:p>
    <w:bookmarkEnd w:id="62"/>
    <w:bookmarkStart w:id="64"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3">
        <w:r>
          <w:rPr>
            <w:rStyle w:val="Hyperlink"/>
          </w:rPr>
          <w:t xml:space="preserve">https://doi.org/10.1016/j.baae.2011.09.008</w:t>
        </w:r>
      </w:hyperlink>
    </w:p>
    <w:bookmarkEnd w:id="64"/>
    <w:bookmarkStart w:id="66"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5">
        <w:r>
          <w:rPr>
            <w:rStyle w:val="Hyperlink"/>
          </w:rPr>
          <w:t xml:space="preserve">https://doi.org/10.1111/brv.12433</w:t>
        </w:r>
      </w:hyperlink>
    </w:p>
    <w:bookmarkEnd w:id="66"/>
    <w:bookmarkStart w:id="67"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5">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1">
        <w:r>
          <w:rPr>
            <w:rStyle w:val="Hyperlink"/>
          </w:rPr>
          <w:t xml:space="preserve">https://doi.org/10.1111/2041-210X.14212</w:t>
        </w:r>
      </w:hyperlink>
    </w:p>
    <w:bookmarkEnd w:id="82"/>
    <w:bookmarkStart w:id="84"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3">
        <w:r>
          <w:rPr>
            <w:rStyle w:val="Hyperlink"/>
          </w:rPr>
          <w:t xml:space="preserve">https://doi.org/10.1038/s44358-025-00056-7</w:t>
        </w:r>
      </w:hyperlink>
    </w:p>
    <w:bookmarkEnd w:id="84"/>
    <w:bookmarkStart w:id="86"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5">
        <w:r>
          <w:rPr>
            <w:rStyle w:val="Hyperlink"/>
          </w:rPr>
          <w:t xml:space="preserve">https://doi.org/10.1111/ecog.04006</w:t>
        </w:r>
      </w:hyperlink>
    </w:p>
    <w:bookmarkEnd w:id="86"/>
    <w:bookmarkStart w:id="88" w:name="ref-gravel2013"/>
    <w:p>
      <w:pPr>
        <w:pStyle w:val="Bibliography"/>
      </w:pPr>
      <w:r>
        <w:t xml:space="preserve">Gravel, D., Poisot, T., Albouy, C., Velez, L., &amp; Mouillot, D. (2013). Inferring food web structure from predator</w:t>
      </w:r>
      <w:r>
        <w:t xml:space="preserve">prey body size relationships.</w:t>
      </w:r>
      <w:r>
        <w:t xml:space="preserve"> </w:t>
      </w:r>
      <w:r>
        <w:rPr>
          <w:i/>
          <w:iCs/>
        </w:rPr>
        <w:t xml:space="preserve">Methods in Ecology and Evolution</w:t>
      </w:r>
      <w:r>
        <w:t xml:space="preserve">,</w:t>
      </w:r>
      <w:r>
        <w:t xml:space="preserve"> </w:t>
      </w:r>
      <w:r>
        <w:rPr>
          <w:i/>
          <w:iCs/>
        </w:rPr>
        <w:t xml:space="preserve">4</w:t>
      </w:r>
      <w:r>
        <w:t xml:space="preserve">(11), 1083–1090. https://doi.org/</w:t>
      </w:r>
      <w:hyperlink r:id="rId87">
        <w:r>
          <w:rPr>
            <w:rStyle w:val="Hyperlink"/>
          </w:rPr>
          <w:t xml:space="preserve">https://doi.org/10.1111/2041-210X.12103</w:t>
        </w:r>
      </w:hyperlink>
    </w:p>
    <w:bookmarkEnd w:id="88"/>
    <w:bookmarkStart w:id="90"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9">
        <w:r>
          <w:rPr>
            <w:rStyle w:val="Hyperlink"/>
          </w:rPr>
          <w:t xml:space="preserve">https://doi.org/10.1111/gcb.70061</w:t>
        </w:r>
      </w:hyperlink>
    </w:p>
    <w:bookmarkEnd w:id="90"/>
    <w:bookmarkStart w:id="92"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1">
        <w:r>
          <w:rPr>
            <w:rStyle w:val="Hyperlink"/>
          </w:rPr>
          <w:t xml:space="preserve">https://doi.org/10.1371/journal.pcbi.1007076</w:t>
        </w:r>
      </w:hyperlink>
    </w:p>
    <w:bookmarkEnd w:id="92"/>
    <w:bookmarkStart w:id="94"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3">
        <w:r>
          <w:rPr>
            <w:rStyle w:val="Hyperlink"/>
          </w:rPr>
          <w:t xml:space="preserve">https://doi.org/10.1126/science.298.5594.824</w:t>
        </w:r>
      </w:hyperlink>
    </w:p>
    <w:bookmarkEnd w:id="94"/>
    <w:bookmarkStart w:id="96"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5">
        <w:r>
          <w:rPr>
            <w:rStyle w:val="Hyperlink"/>
          </w:rPr>
          <w:t xml:space="preserve">https://doi.org/10.1016/j.tree.2015.03.014</w:t>
        </w:r>
      </w:hyperlink>
    </w:p>
    <w:bookmarkEnd w:id="96"/>
    <w:bookmarkStart w:id="98" w:name="ref-ovaskainen2017"/>
    <w:p>
      <w:pPr>
        <w:pStyle w:val="Bibliography"/>
      </w:pPr>
      <w:r>
        <w:t xml:space="preserve">Ovaskainen, O., Tikhonov, G., Norberg, A., Blanchet, F. G., Duan, L., Dunson, D., Roslin, T., &amp; Abrego, N. (2017). How to make more out of community data? A conceptual framework and its implementation as models and software.</w:t>
      </w:r>
      <w:r>
        <w:t xml:space="preserve"> </w:t>
      </w:r>
      <w:r>
        <w:rPr>
          <w:i/>
          <w:iCs/>
        </w:rPr>
        <w:t xml:space="preserve">Ecology Letters</w:t>
      </w:r>
      <w:r>
        <w:t xml:space="preserve">,</w:t>
      </w:r>
      <w:r>
        <w:t xml:space="preserve"> </w:t>
      </w:r>
      <w:r>
        <w:rPr>
          <w:i/>
          <w:iCs/>
        </w:rPr>
        <w:t xml:space="preserve">20</w:t>
      </w:r>
      <w:r>
        <w:t xml:space="preserve">(5), 561–576.</w:t>
      </w:r>
      <w:r>
        <w:t xml:space="preserve"> </w:t>
      </w:r>
      <w:hyperlink r:id="rId97">
        <w:r>
          <w:rPr>
            <w:rStyle w:val="Hyperlink"/>
          </w:rPr>
          <w:t xml:space="preserve">https://doi.org/10.1111/ele.12757</w:t>
        </w:r>
      </w:hyperlink>
    </w:p>
    <w:bookmarkEnd w:id="98"/>
    <w:bookmarkStart w:id="10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9">
        <w:r>
          <w:rPr>
            <w:rStyle w:val="Hyperlink"/>
          </w:rPr>
          <w:t xml:space="preserve">https://doi.org/10.1101/2025.10.08.681159</w:t>
        </w:r>
      </w:hyperlink>
    </w:p>
    <w:bookmarkEnd w:id="100"/>
    <w:bookmarkStart w:id="10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01">
        <w:r>
          <w:rPr>
            <w:rStyle w:val="Hyperlink"/>
          </w:rPr>
          <w:t xml:space="preserve">https://doi.org/10.1073/pnas.0710672105</w:t>
        </w:r>
      </w:hyperlink>
    </w:p>
    <w:bookmarkEnd w:id="102"/>
    <w:bookmarkStart w:id="104"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3">
        <w:r>
          <w:rPr>
            <w:rStyle w:val="Hyperlink"/>
          </w:rPr>
          <w:t xml:space="preserve">https://doi.org/10.1111/2041-210X.14061</w:t>
        </w:r>
      </w:hyperlink>
    </w:p>
    <w:bookmarkEnd w:id="104"/>
    <w:bookmarkStart w:id="106"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5">
        <w:r>
          <w:rPr>
            <w:rStyle w:val="Hyperlink"/>
          </w:rPr>
          <w:t xml:space="preserve">https://doi.org/10.1111/jbi.14127</w:t>
        </w:r>
      </w:hyperlink>
    </w:p>
    <w:bookmarkEnd w:id="106"/>
    <w:bookmarkStart w:id="108"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7">
        <w:r>
          <w:rPr>
            <w:rStyle w:val="Hyperlink"/>
          </w:rPr>
          <w:t xml:space="preserve">https://doi.org/10.1111/ele.12002</w:t>
        </w:r>
      </w:hyperlink>
    </w:p>
    <w:bookmarkEnd w:id="108"/>
    <w:bookmarkStart w:id="110"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9">
        <w:r>
          <w:rPr>
            <w:rStyle w:val="Hyperlink"/>
          </w:rPr>
          <w:t xml:space="preserve">https://doi.org/10</w:t>
        </w:r>
      </w:hyperlink>
    </w:p>
    <w:bookmarkEnd w:id="110"/>
    <w:bookmarkStart w:id="112"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1">
        <w:r>
          <w:rPr>
            <w:rStyle w:val="Hyperlink"/>
          </w:rPr>
          <w:t xml:space="preserve">https://doi.org/10.7717/peerj.251</w:t>
        </w:r>
      </w:hyperlink>
    </w:p>
    <w:bookmarkEnd w:id="112"/>
    <w:bookmarkStart w:id="114"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3">
        <w:r>
          <w:rPr>
            <w:rStyle w:val="Hyperlink"/>
          </w:rPr>
          <w:t xml:space="preserve">https://doi.org/10.1111/oik.01719</w:t>
        </w:r>
      </w:hyperlink>
    </w:p>
    <w:bookmarkEnd w:id="114"/>
    <w:bookmarkStart w:id="116"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5">
        <w:r>
          <w:rPr>
            <w:rStyle w:val="Hyperlink"/>
          </w:rPr>
          <w:t xml:space="preserve">https://doi.org/10.1086/653667</w:t>
        </w:r>
      </w:hyperlink>
    </w:p>
    <w:bookmarkEnd w:id="116"/>
    <w:bookmarkStart w:id="118"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7">
        <w:r>
          <w:rPr>
            <w:rStyle w:val="Hyperlink"/>
          </w:rPr>
          <w:t xml:space="preserve">https://www.jstor.org/stable/4096814</w:t>
        </w:r>
      </w:hyperlink>
    </w:p>
    <w:bookmarkEnd w:id="118"/>
    <w:bookmarkStart w:id="120"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19">
        <w:r>
          <w:rPr>
            <w:rStyle w:val="Hyperlink"/>
          </w:rPr>
          <w:t xml:space="preserve">https://doi.org/10.1016/j.ecoinf.2025.103183</w:t>
        </w:r>
      </w:hyperlink>
    </w:p>
    <w:bookmarkEnd w:id="120"/>
    <w:bookmarkStart w:id="122"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1">
        <w:r>
          <w:rPr>
            <w:rStyle w:val="Hyperlink"/>
          </w:rPr>
          <w:t xml:space="preserve">https://doi.org/10.1101/2024.01.30.578036</w:t>
        </w:r>
      </w:hyperlink>
    </w:p>
    <w:bookmarkEnd w:id="122"/>
    <w:bookmarkStart w:id="124"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3">
        <w:r>
          <w:rPr>
            <w:rStyle w:val="Hyperlink"/>
          </w:rPr>
          <w:t xml:space="preserve">https://doi.org/10.1098/rspb.2001.1767</w:t>
        </w:r>
      </w:hyperlink>
    </w:p>
    <w:bookmarkEnd w:id="124"/>
    <w:bookmarkStart w:id="126"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5">
        <w:r>
          <w:rPr>
            <w:rStyle w:val="Hyperlink"/>
          </w:rPr>
          <w:t xml:space="preserve">https://doi.org/10.1890/04-0957</w:t>
        </w:r>
      </w:hyperlink>
    </w:p>
    <w:bookmarkEnd w:id="126"/>
    <w:bookmarkStart w:id="128"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7">
        <w:r>
          <w:rPr>
            <w:rStyle w:val="Hyperlink"/>
          </w:rPr>
          <w:t xml:space="preserve">https://doi.org/10.1111/1365-2656.12949</w:t>
        </w:r>
      </w:hyperlink>
    </w:p>
    <w:bookmarkEnd w:id="128"/>
    <w:bookmarkStart w:id="13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9">
        <w:r>
          <w:rPr>
            <w:rStyle w:val="Hyperlink"/>
          </w:rPr>
          <w:t xml:space="preserve">https://doi.org/10.1098/rspb.2007.0571</w:t>
        </w:r>
      </w:hyperlink>
    </w:p>
    <w:bookmarkEnd w:id="130"/>
    <w:bookmarkStart w:id="13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1">
        <w:r>
          <w:rPr>
            <w:rStyle w:val="Hyperlink"/>
          </w:rPr>
          <w:t xml:space="preserve">https://doi.org/10.1098/rstb.2021.0063</w:t>
        </w:r>
      </w:hyperlink>
    </w:p>
    <w:bookmarkEnd w:id="132"/>
    <w:bookmarkStart w:id="134"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3">
        <w:r>
          <w:rPr>
            <w:rStyle w:val="Hyperlink"/>
          </w:rPr>
          <w:t xml:space="preserve">https://doi.org/10.32942/X2JW8K</w:t>
        </w:r>
      </w:hyperlink>
    </w:p>
    <w:bookmarkEnd w:id="134"/>
    <w:bookmarkStart w:id="136"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5">
        <w:r>
          <w:rPr>
            <w:rStyle w:val="Hyperlink"/>
          </w:rPr>
          <w:t xml:space="preserve">https://doi.org/10.1146/annurev-ecolsys-110316-022821</w:t>
        </w:r>
      </w:hyperlink>
    </w:p>
    <w:bookmarkEnd w:id="136"/>
    <w:bookmarkStart w:id="138"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7">
        <w:r>
          <w:rPr>
            <w:rStyle w:val="Hyperlink"/>
          </w:rPr>
          <w:t xml:space="preserve">https://doi.org/10.1140/epjb/e2004-00122-1</w:t>
        </w:r>
      </w:hyperlink>
    </w:p>
    <w:bookmarkEnd w:id="138"/>
    <w:bookmarkStart w:id="14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39">
        <w:r>
          <w:rPr>
            <w:rStyle w:val="Hyperlink"/>
          </w:rPr>
          <w:t xml:space="preserve">https://doi.org/10.1038/35004572</w:t>
        </w:r>
      </w:hyperlink>
    </w:p>
    <w:bookmarkEnd w:id="140"/>
    <w:bookmarkStart w:id="142"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1">
        <w:r>
          <w:rPr>
            <w:rStyle w:val="Hyperlink"/>
          </w:rPr>
          <w:t xml:space="preserve">https://doi.org/10.1111/j.1365-2656.2008.01362.x</w:t>
        </w:r>
      </w:hyperlink>
    </w:p>
    <w:bookmarkEnd w:id="142"/>
    <w:bookmarkStart w:id="144"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3">
        <w:r>
          <w:rPr>
            <w:rStyle w:val="Hyperlink"/>
          </w:rPr>
          <w:t xml:space="preserve">https://doi.org/10.1073/pnas.1408471111</w:t>
        </w:r>
      </w:hyperlink>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9"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95" Target="https://doi.org/10.1016/j.tree.2015.03.014" TargetMode="External" /><Relationship Type="http://schemas.openxmlformats.org/officeDocument/2006/relationships/hyperlink" Id="rId139"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3"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3"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55" Target="https://doi.org/10.1111/1365-2435.12666" TargetMode="External" /><Relationship Type="http://schemas.openxmlformats.org/officeDocument/2006/relationships/hyperlink" Id="rId127" Target="https://doi.org/10.1111/1365-2656.12949" TargetMode="External" /><Relationship Type="http://schemas.openxmlformats.org/officeDocument/2006/relationships/hyperlink" Id="rId87" Target="https://doi.org/10.1111/2041-210X.12103" TargetMode="External" /><Relationship Type="http://schemas.openxmlformats.org/officeDocument/2006/relationships/hyperlink" Id="rId103" Target="https://doi.org/10.1111/2041-210X.14061" TargetMode="External" /><Relationship Type="http://schemas.openxmlformats.org/officeDocument/2006/relationships/hyperlink" Id="rId81" Target="https://doi.org/10.1111/2041-210X.14212" TargetMode="External" /><Relationship Type="http://schemas.openxmlformats.org/officeDocument/2006/relationships/hyperlink" Id="rId65"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97" Target="https://doi.org/10.1111/ele.12757" TargetMode="External" /><Relationship Type="http://schemas.openxmlformats.org/officeDocument/2006/relationships/hyperlink" Id="rId53"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41" Target="https://doi.org/10.1111/j.1365-2656.2008.01362.x" TargetMode="External" /><Relationship Type="http://schemas.openxmlformats.org/officeDocument/2006/relationships/hyperlink" Id="rId49"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13" Target="https://doi.org/10.1111/oik.01719" TargetMode="External" /><Relationship Type="http://schemas.openxmlformats.org/officeDocument/2006/relationships/hyperlink" Id="rId45" Target="https://doi.org/10.1126/science.1156269" TargetMode="External" /><Relationship Type="http://schemas.openxmlformats.org/officeDocument/2006/relationships/hyperlink" Id="rId93"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137" Target="https://doi.org/10.1140/epjb/e2004-00122-1" TargetMode="External" /><Relationship Type="http://schemas.openxmlformats.org/officeDocument/2006/relationships/hyperlink" Id="rId135"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7"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1" Target="https://doi.org/10.1371/journal.pcbi.1011458" TargetMode="External" /><Relationship Type="http://schemas.openxmlformats.org/officeDocument/2006/relationships/hyperlink" Id="rId59"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61" Target="https://ecoevorxiv.org/repository/view/5348/" TargetMode="External" /><Relationship Type="http://schemas.openxmlformats.org/officeDocument/2006/relationships/hyperlink" Id="rId11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95" Target="https://doi.org/10.1016/j.tree.2015.03.014" TargetMode="External" /><Relationship Type="http://schemas.openxmlformats.org/officeDocument/2006/relationships/hyperlink" Id="rId139"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3"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3"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55" Target="https://doi.org/10.1111/1365-2435.12666" TargetMode="External" /><Relationship Type="http://schemas.openxmlformats.org/officeDocument/2006/relationships/hyperlink" Id="rId127" Target="https://doi.org/10.1111/1365-2656.12949" TargetMode="External" /><Relationship Type="http://schemas.openxmlformats.org/officeDocument/2006/relationships/hyperlink" Id="rId87" Target="https://doi.org/10.1111/2041-210X.12103" TargetMode="External" /><Relationship Type="http://schemas.openxmlformats.org/officeDocument/2006/relationships/hyperlink" Id="rId103" Target="https://doi.org/10.1111/2041-210X.14061" TargetMode="External" /><Relationship Type="http://schemas.openxmlformats.org/officeDocument/2006/relationships/hyperlink" Id="rId81" Target="https://doi.org/10.1111/2041-210X.14212" TargetMode="External" /><Relationship Type="http://schemas.openxmlformats.org/officeDocument/2006/relationships/hyperlink" Id="rId65" Target="https://doi.org/10.1111/brv.12433" TargetMode="External" /><Relationship Type="http://schemas.openxmlformats.org/officeDocument/2006/relationships/hyperlink" Id="rId85"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97" Target="https://doi.org/10.1111/ele.12757" TargetMode="External" /><Relationship Type="http://schemas.openxmlformats.org/officeDocument/2006/relationships/hyperlink" Id="rId53" Target="https://doi.org/10.1111/ele.70161" TargetMode="External" /><Relationship Type="http://schemas.openxmlformats.org/officeDocument/2006/relationships/hyperlink" Id="rId89" Target="https://doi.org/10.1111/gcb.70061" TargetMode="External" /><Relationship Type="http://schemas.openxmlformats.org/officeDocument/2006/relationships/hyperlink" Id="rId141" Target="https://doi.org/10.1111/j.1365-2656.2008.01362.x" TargetMode="External" /><Relationship Type="http://schemas.openxmlformats.org/officeDocument/2006/relationships/hyperlink" Id="rId49"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13" Target="https://doi.org/10.1111/oik.01719" TargetMode="External" /><Relationship Type="http://schemas.openxmlformats.org/officeDocument/2006/relationships/hyperlink" Id="rId45" Target="https://doi.org/10.1126/science.1156269" TargetMode="External" /><Relationship Type="http://schemas.openxmlformats.org/officeDocument/2006/relationships/hyperlink" Id="rId93"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137" Target="https://doi.org/10.1140/epjb/e2004-00122-1" TargetMode="External" /><Relationship Type="http://schemas.openxmlformats.org/officeDocument/2006/relationships/hyperlink" Id="rId135"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7"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1" Target="https://doi.org/10.1371/journal.pcbi.1011458" TargetMode="External" /><Relationship Type="http://schemas.openxmlformats.org/officeDocument/2006/relationships/hyperlink" Id="rId59"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61" Target="https://ecoevorxiv.org/repository/view/5348/" TargetMode="External" /><Relationship Type="http://schemas.openxmlformats.org/officeDocument/2006/relationships/hyperlink" Id="rId11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2026-02-12T12:51:44Z</dcterms:created>
  <dcterms:modified xsi:type="dcterms:W3CDTF">2026-02-12T12:51:44Z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networks—particularly those assembled from incomplete interaction data—require model-based reconstruction. We test how alternative reconstruction frameworks condition ecological inference by quantifying their effects on network structure and disturbance dynamics.LocationCleveland Basin, United Kingdom.Time periodEarly Jurassic (upper Pliensbachian–upper Toarcian, ~183 Ma).Major taxa studiedMarine invertebrate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secondary extinctions, and compared predicted community states using mean absolute differences and rank concordance metrics.ResultsReconstruction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2026-02-12</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