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Dunhill</w:t>
      </w:r>
    </w:p>
    <w:p>
      <w:pPr>
        <w:pStyle w:val="Date"/>
      </w:pPr>
      <w:r>
        <w:t xml:space="preserve">2026-05-28</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w:t>
      </w:r>
      <w:r>
        <w:rPr>
          <w:i/>
          <w:iCs/>
        </w:rPr>
        <w:t xml:space="preserve">e.g.,</w:t>
      </w:r>
      <w:r>
        <w:t xml:space="preserve"> </w:t>
      </w:r>
      <w:r>
        <w:t xml:space="preserve">based on traits or theoretical constraints);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with each other is a central goal of ecology.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using various models are structurally comparable, and that differences among network properties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observational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 approaches.</w:t>
      </w:r>
    </w:p>
    <w:p>
      <w:pPr>
        <w:pStyle w:val="BodyText"/>
      </w:pPr>
      <w:r>
        <w:t xml:space="preserve">Despite rapid methodological development in interaction inference, few studies have directly evaluated how alternative reconstruction frameworks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If reconstruction approaches encode distinct structural constraints over interaction topology, then differences among communities may reflect reconstruction assumptions rather than ecological processes.</w:t>
      </w:r>
    </w:p>
    <w:p>
      <w:pPr>
        <w:pStyle w:val="BodyText"/>
      </w:pPr>
      <w:r>
        <w:t xml:space="preserve">Deep-time ecosystems provide an especially useful test of this issue because trophic interactions are not observed directly and must be inferred from traits, co-occurrence, and theoretical constraints</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Karapunar</w:t>
      </w:r>
      <w:r>
        <w:t xml:space="preserve"> </w:t>
      </w:r>
      <w:r>
        <w:rPr>
          <w:i/>
          <w:iCs/>
        </w:rPr>
        <w:t xml:space="preserve">et al.</w:t>
      </w:r>
      <w:r>
        <w:t xml:space="preserve">, 2026)</w:t>
      </w:r>
      <w:r>
        <w:t xml:space="preserve">. As a result, ecological networks in these systems are inherently reconstruction-dependent, rendering the assumptions embedded within different reconstruction frameworks both explicit and consequential. Among such systems, the Early Toarcian Extinction Event (ETEE; ~183 Ma) provides a particularly informative case study. The ETEE was a major Early Jurassic biotic crisis associated with rapid climatic warming, widespread marine oxygen depletion, and substantial ecological turnover</w:t>
      </w:r>
      <w:r>
        <w:t xml:space="preserve"> </w:t>
      </w:r>
      <w:r>
        <w:t xml:space="preserve">(Kemp</w:t>
      </w:r>
      <w:r>
        <w:t xml:space="preserve"> </w:t>
      </w:r>
      <w:r>
        <w:rPr>
          <w:i/>
          <w:iCs/>
        </w:rPr>
        <w:t xml:space="preserve">et al.</w:t>
      </w:r>
      <w:r>
        <w:t xml:space="preserve">, 2024)</w:t>
      </w:r>
      <w:r>
        <w:t xml:space="preserve">. Although considered a second-order extinction event globally, it nevertheless resulted in the loss of approximately 26% of marine genera worldwide</w:t>
      </w:r>
      <w:r>
        <w:t xml:space="preserve"> </w:t>
      </w:r>
      <w:r>
        <w:t xml:space="preserve">(Little &amp; Benton, 1995)</w:t>
      </w:r>
      <w:r>
        <w:t xml:space="preserve">. Ecological disruption was especially severe in shallow marine ecosystems, where environmental stress drove extensive restructuring of benthic communities and food webs. In the Cleveland Basin of Yorkshire, the ETEE caused the extinction of around 60% of marine species, including up to 87% of benthic taxa</w:t>
      </w:r>
      <w:r>
        <w:t xml:space="preserve"> </w:t>
      </w:r>
      <w:r>
        <w:t xml:space="preserve">(Caswell</w:t>
      </w:r>
      <w:r>
        <w:t xml:space="preserve"> </w:t>
      </w:r>
      <w:r>
        <w:rPr>
          <w:i/>
          <w:iCs/>
        </w:rPr>
        <w:t xml:space="preserve">et al.</w:t>
      </w:r>
      <w:r>
        <w:t xml:space="preserve">, 2009)</w:t>
      </w:r>
      <w:r>
        <w:t xml:space="preserve">. Fossil assemblages from this interval therefore record both the collapse of established communities and the subsequent recovery and reassembly of marine ecosystems under rapidly changing environmental conditions. Recent work has shown that the event selectively impacted specialist and infaunal organisms, leading to simplified ecosystems increasingly dominated by ecological generalists and opportunistic taxa</w:t>
      </w:r>
      <w:r>
        <w:t xml:space="preserve"> </w:t>
      </w:r>
      <w:r>
        <w:t xml:space="preserve">(Dunhill</w:t>
      </w:r>
      <w:r>
        <w:t xml:space="preserve"> </w:t>
      </w:r>
      <w:r>
        <w:rPr>
          <w:i/>
          <w:iCs/>
        </w:rPr>
        <w:t xml:space="preserve">et al.</w:t>
      </w:r>
      <w:r>
        <w:t xml:space="preserve">, 2024)</w:t>
      </w:r>
      <w:r>
        <w:t xml:space="preserve">. These changes were accompanied by major shifts in community structure, trophic interactions, and ecosystem connectivity, with evidence suggesting that ecological recovery following the extinction was both prolonged and uneven across marine habitats.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 In particular, recent work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 has used reconstructed food webs to draw ecological conclusions about community stability and collapse during this event. This creates a rare opportunity to ask a more general question: to what extent are such inferences contingent on the specific reconstruction framework used to generate the network?</w:t>
      </w:r>
    </w:p>
    <w:p>
      <w:pPr>
        <w:pStyle w:val="BodyText"/>
      </w:pPr>
      <w:r>
        <w:t xml:space="preserve">Here, we reconstruct ecological networks for four successive assemblages across the ETEE using six contrasting reconstruction frameworks spanning feasibility-based, realised, and structural models. By holding species composition constant while varying only the reconstruction approach, we isolate the influence of structural assumptions on inferred food web organisation, interaction turnover, and extinction dynamics. This design allows us to explicitly evaluate whether conclusions drawn from a single reconstruction approach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reconstruction choices would lead to fundamentally different ecological inferences. More broadly, our study tests whether macroecological conclusions derived from ecological networks reflect underlying biological processes or are conditioned by the assumptions embedded within the reconstruction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late Pliensbachian to the late Toarcian. This interval encompasses a major volcanic-driven hyperthermal and marine extinction event. To capture network dynamics across this transition, we defined four successive palaeo-assemblages: pre-extinction (Pliensbachian), post-extinction (early Toarcian), early recovery (early–middle Toarcian) and late recovery (late Toarcian). Each taxon was characterized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a given community. In palaeoecological contexts, where direct observation of interactions is not possible, such models provide a biologically grounded, formalised representation, of</w:t>
      </w:r>
      <w:r>
        <w:t xml:space="preserve"> </w:t>
      </w:r>
      <w:r>
        <w:t xml:space="preserve">‘expert knowledge’</w:t>
      </w:r>
      <w:r>
        <w:t xml:space="preserve"> </w:t>
      </w:r>
      <w:r>
        <w:t xml:space="preserve">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w:t>
      </w:r>
      <w:r>
        <w:t xml:space="preserve"> </w:t>
      </w:r>
      <w:r>
        <w:t xml:space="preserve">(Allesina</w:t>
      </w:r>
      <w:r>
        <w:t xml:space="preserve"> </w:t>
      </w:r>
      <w:r>
        <w:rPr>
          <w:i/>
          <w:iCs/>
        </w:rPr>
        <w:t xml:space="preserve">et al.</w:t>
      </w:r>
      <w:r>
        <w:t xml:space="preserve">, 2008)</w:t>
      </w:r>
      <w:r>
        <w:t xml:space="preserve">. These models are species-agnostic and therefore cannot be interpreted as reconstructions of specific ecological communities. Rather, they have the potential to serve as ‘null hypotheses’, providing reference expectations against which the structure and dynamics of data-informed reconstructions can be evaluated.</w:t>
      </w:r>
    </w:p>
    <w:p>
      <w:pPr>
        <w:pStyle w:val="BodyText"/>
      </w:pPr>
      <w:r>
        <w:t xml:space="preserve">In this study, we selected models to span these three conceptual classes (</w:t>
      </w:r>
      <w:hyperlink w:anchor="tbl-models">
        <w:r>
          <w:rPr>
            <w:rStyle w:val="Hyperlink"/>
          </w:rPr>
          <w:t xml:space="preserve">Table 1</w:t>
        </w:r>
      </w:hyperlink>
      <w:r>
        <w:t xml:space="preserve">) and, critically, to sample distinct mechanistic interpretations of trophic interactions rather than exhaustively include all available implementations. Specifically, we include: a feasibility-based model (PFWIM), representing trait-constrained interactions; multiple realised models (ADBM, ATN, and Body-size ratio), capturing energetic optimisation, mechanical constraints, and probabilistic allometric structure, respectively; and structural models (Random and Niche), providing theoretical reference points. Although some approaches share common inputs (</w:t>
      </w:r>
      <w:r>
        <w:rPr>
          <w:i/>
          <w:iCs/>
        </w:rPr>
        <w:t xml:space="preserve">e.g.,</w:t>
      </w:r>
      <w:r>
        <w:t xml:space="preserve"> </w:t>
      </w:r>
      <w:r>
        <w:t xml:space="preserve">body mass), they encode fundamentally different assumptions about how interactions arise. Conversely, some alternative palaeoecological approaches (</w:t>
      </w:r>
      <w:r>
        <w:rPr>
          <w:i/>
          <w:iCs/>
        </w:rPr>
        <w:t xml:space="preserve">e.g.,</w:t>
      </w:r>
      <w:r>
        <w:t xml:space="preserve"> </w:t>
      </w:r>
      <w:r>
        <w:t xml:space="preserve">guild- or feasibility-based frameworks) are conceptually aligned with PFWIM and would therefore provide limited additional contrast for the purposes of this analysis.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reconstruction frameworks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frameworks using the approaches listed in</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(PFWIM; feasibility network). Expanded descriptions of reconstruction approach assumptions, parameterisation, and link-generation rules are provided in Supplementary Material S1, including full mathematical formulations and parameter definitions. For each community, 100 stochastic network realisations were generated per reconstruction approach (n = 2400 per time bin in total, 600 per time bin) to capture uncertainty in link assignment. Where reconstruction approaches required species body mass or trait values, these were uniformly sampled within the different size classes, we adopted a uniform sampling by default, as alternative distributions (lognormal, truncated lognormal) have negligible impact on topology (Supplementary Material S1; Figure S1). Random and Niche models were parameterised using connectance values drawn from an empirically realistic range (0.07–0.15).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reconstruction approaches. Richness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and excluded the latent trait term, using only the body-mass scaling to determine links between species. Sensitivity of network structure to these parameter choices is evaluated in Supplementary Material S1. The PFWIM generates a deterministic feasible metaweb for a given trait configuration. To allow for statistical analyses we introduced controlled variation in interaction subsets by applying a downsampling procedure that stochastically samples feasible interactions. This step allowed us to introduce statistical variation while still preserving most of the metaweb structure. The choice of downsampling parameter and its effects on network structure are evaluated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PFWIM). We excluded the purely structural Random and Niche models as they are inherently species agnostic.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reconstruction approach rather than species turnover.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No. of linear chains (S1)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omnivory motifs (S2)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apparent competition motifs (S4)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direct competition motifs (S5)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custom scripts and model implementations provided in Supplementary Material S1. All statistical analyses, including MANOVA, PERMANOVA, redundancy analysis,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p>
      <w:pPr>
        <w:pStyle w:val="BodyText"/>
      </w:pPr>
      <w:r>
        <w:t xml:space="preserve">The empirical data, derived network datasets, and all analysis scripts are archived in a public Zenodo repository (</w:t>
      </w:r>
      <w:r>
        <w:rPr>
          <w:b/>
          <w:bCs/>
        </w:rPr>
        <w:t xml:space="preserve">TODO</w:t>
      </w:r>
      <w:r>
        <w:t xml:space="preserve"> </w:t>
      </w:r>
      <w:r>
        <w:t xml:space="preserve">DOI), which includes a complete README file describing software dependencies, execution order, and reproduction instructions.</w:t>
      </w:r>
    </w:p>
    <w:bookmarkEnd w:id="18"/>
    <w:bookmarkEnd w:id="19"/>
    <w:bookmarkStart w:id="41" w:name="results"/>
    <w:p>
      <w:pPr>
        <w:pStyle w:val="Heading1"/>
      </w:pPr>
      <w:r>
        <w:t xml:space="preserve">3. Results</w:t>
      </w:r>
    </w:p>
    <w:p>
      <w:pPr>
        <w:pStyle w:val="FirstParagraph"/>
      </w:pPr>
      <w:r>
        <w:t xml:space="preserve">We found that when evaluated using network metrics, different reconstruction approaches, even those that appear to be similar, yield fundamentally different ecological inferences. Across six network reconstruction approaches, inferred food web structure, species interactions, and extinction dynamics differed consistently. Multivariate analyses showed pronounced separation among reconstruction approaches in network metric space. Reconstruction approach explained most of the variance in structural properties, leaving a distinct signature independent of community composition. Notably, approaches that were statistically similar in multivariate structural space often diverged in inferred interactions or extinction dynamics. This demonstrates that structural similarity does not guarantee concordance in species-level diets or trophic roles.</w:t>
      </w:r>
    </w:p>
    <w:p>
      <w:pPr>
        <w:pStyle w:val="BodyText"/>
      </w:pPr>
      <w:r>
        <w:t xml:space="preserve">Reconstruction approach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used.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the reconstruction approach systematically alters inferred food web topology. Linear discriminant (LD) analysis identified two dominant axes of variation, explaining 86% of the differences between reconstruction approach variance. LD1 axis correlated with vulnerability, direct competition motifs, and connectance. LD2 axis correlated with maximum trophic level and apparent competition motifs, reflecting vertical trophic structure (</w:t>
      </w:r>
      <w:hyperlink w:anchor="fig-structure">
        <w:r>
          <w:rPr>
            <w:rStyle w:val="Hyperlink"/>
          </w:rPr>
          <w:t xml:space="preserve">Figure 1</w:t>
        </w:r>
      </w:hyperlink>
      <w:r>
        <w:t xml:space="preserve">; Table S1, Figure S1). Each of the all higher-order variates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and ellipses indicate 95% confidence regions for each reconstruction approach.</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reconstruction framework accounted for the majority of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it is clear that for certain network metrics reconstruction approaches predict different responses across time</w:t>
      </w:r>
      <w:r>
        <w:t xml:space="preserve"> </w:t>
      </w:r>
      <w:r>
        <w:rPr>
          <w:i/>
          <w:iCs/>
        </w:rPr>
        <w:t xml:space="preserve">e.g.,</w:t>
      </w:r>
      <w:r>
        <w:t xml:space="preserve"> </w:t>
      </w:r>
      <w:r>
        <w:t xml:space="preserve">connectance, as well as differing magnitudes of change</w:t>
      </w:r>
      <w:r>
        <w:t xml:space="preserve"> </w:t>
      </w:r>
      <w:r>
        <w:rPr>
          <w:i/>
          <w:iCs/>
        </w:rPr>
        <w:t xml:space="preserve">e.g.,</w:t>
      </w:r>
      <w:r>
        <w:t xml:space="preserve"> </w:t>
      </w:r>
      <w:r>
        <w:t xml:space="preserve">the number of apparent competition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triangle (below the dashed line) of this space,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A</w:t>
            </w:r>
            <w:r>
              <w:t xml:space="preserve"> </w:t>
            </w:r>
            <w:r>
              <w:t xml:space="preserve">Changes in network metrics through time, expressed as deviation from Pre-Extinction conditions (Δ). Metrics are faceted and scaled independently to highlight differences in temporal trajectories across different network properties.</w:t>
            </w:r>
            <w:r>
              <w:t xml:space="preserve"> </w:t>
            </w:r>
            <w:r>
              <w:rPr>
                <w:b/>
                <w:bCs/>
              </w:rPr>
              <w:t xml:space="preserve">B</w:t>
            </w:r>
            <w:r>
              <w:t xml:space="preserve"> </w:t>
            </w:r>
            <w:r>
              <w:t xml:space="preserve">Scatter plot illustrating the influence of reconstruction approach (x-axis) and time (y-axis) across network metrics. The dashed 1:1 diagonal represents parity of influence; metrics below this line are governed primarily by reconstruction approach and those above by time. Bubble size indicates the interaction between reconstruction approach and time, while colour indicates inter reconstruction approach disagreement (mean CV%); browner bubbles signify metrics where reconstruction approaches show the highest divergence in their structural predictions.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netwrok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PFWIM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reconstruction approaches (ADBM, ATN, Body-size ratio, and PFWIM). Each cell represents the mean turnover value between a pair of reconstruction approaches, with darker colours indicating greater dissimilarity in inferred interactions. High turnover values indicate strong disagreement in pairwise interactions between reconstruction approaches, whereas lower values indicate greater similarity. Note that we do not include the Random or Niche model as these reconstruction approaches are species agnostic and thus we cannot truly evaluate differences in pairwise interactions</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(ADMB, ATN)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retained, or re-established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Paler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methodologically neutral step preceding ecological analysis, with limited attention to how methodological choices might influence outcomes. Once a network is assembled (whether from observation, inference, or simulation) its properties are typically analysed as reflections of underlying ecological organisation. Implicit in this workflow is a powerful assumption that reconstructed networks provide structurally comparable representations of ecological communities. As a result, differences in connectance, trophic structure, motif composition, or robustness are interpreted as primarily reflecting biological variation, rather than the effects of reconstruction approach.</w:t>
      </w:r>
    </w:p>
    <w:p>
      <w:pPr>
        <w:pStyle w:val="BodyText"/>
      </w:pPr>
      <w:r>
        <w:t xml:space="preserve">Assuming that reconstructed food webs are independent of model choice is particularly critical to evaluate within the context of deep-time palaeoecological data. Because interactions in fossil ecosystems are never observed directly, and direct inferences (such as gut contents) are limited, hence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(extinction phases)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and assumptions made when inferring/reconstructing interactions</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thus the imprint of the reconstruction framework is visible not only in aggregate topology but in the very structural features often interpreted as ecological signals. Notably, the few properties that exhibited detectable temporal sensitivity were also those with the greatest inter-reconstruction approach disagreement, indicating that temporal trends are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reconstruction approaches, whereas interaction-level outcomes and cascade trajectories were highly contingent on the reconstruction approach. The predominance of reconstruction framework over temporal turnover (~80% vs. 6% variance explained) illustrates why coarse-grained patterns like node-level extinction rankings are more robust. Reconstruction approach-imposed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w:t>
      </w:r>
      <w:r>
        <w:t xml:space="preserve"> </w:t>
      </w:r>
      <w:r>
        <w:rPr>
          <w:i/>
          <w:iCs/>
        </w:rPr>
        <w:t xml:space="preserve">et al.</w:t>
      </w:r>
      <w:r>
        <w:t xml:space="preserve"> </w:t>
      </w:r>
      <w:r>
        <w:t xml:space="preserve">(2024)</w:t>
      </w:r>
      <w:r>
        <w:t xml:space="preserve"> </w:t>
      </w:r>
      <w:r>
        <w:t xml:space="preserve">selected a different reconstruction method other than PFWIM, the resulting inferences regarding the drivers of extinctions and subsequent recovery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 ‘wrong’, but rather that different reconstruction approaches capture different facets of ecological reality</w:t>
      </w:r>
      <w:r>
        <w:t xml:space="preserve"> </w:t>
      </w:r>
      <w:r>
        <w:t xml:space="preserve">(Petchey</w:t>
      </w:r>
      <w:r>
        <w:t xml:space="preserve"> </w:t>
      </w:r>
      <w:r>
        <w:rPr>
          <w:i/>
          <w:iCs/>
        </w:rPr>
        <w:t xml:space="preserve">et al.</w:t>
      </w:r>
      <w:r>
        <w:t xml:space="preserve">, 2011; Stouffer, 2019)</w:t>
      </w:r>
      <w:r>
        <w:t xml:space="preserve">. Disagreement among reconstruction approaches does not imply that any single approach is</w:t>
      </w:r>
      <w:r>
        <w:t xml:space="preserve"> </w:t>
      </w:r>
      <w:r>
        <w:t xml:space="preserve">‘incorrect’</w:t>
      </w:r>
      <w:r>
        <w:t xml:space="preserve">. Rather, different reconstruction approaches capture different facets of ecological constraints (</w:t>
      </w:r>
      <w:r>
        <w:rPr>
          <w:i/>
          <w:iCs/>
        </w:rPr>
        <w:t xml:space="preserve">e.g.,</w:t>
      </w:r>
      <w:r>
        <w:t xml:space="preserve"> </w:t>
      </w:r>
      <w:r>
        <w:t xml:space="preserve">trait compatibility, energetic optimisation, or topological regularity) and thus is a case of matching the ‘correct’ reconstruction approach to the task at hand.</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or robustness as indicators of ecological differentiation among regions or time intervals</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reconstruction choice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Smith</w:t>
      </w:r>
      <w:r>
        <w:t xml:space="preserve"> </w:t>
      </w:r>
      <w:r>
        <w:rPr>
          <w:i/>
          <w:iCs/>
        </w:rPr>
        <w:t xml:space="preserve">et al.</w:t>
      </w:r>
      <w:r>
        <w:t xml:space="preserve"> </w:t>
      </w:r>
      <w:r>
        <w:t xml:space="preserve">(2025)</w:t>
      </w:r>
      <w:r>
        <w:t xml:space="preserve">;</w:t>
      </w:r>
      <w:r>
        <w:t xml:space="preserve"> </w:t>
      </w:r>
      <w:r>
        <w:t xml:space="preserve">Karapunar</w:t>
      </w:r>
      <w:r>
        <w:t xml:space="preserve"> </w:t>
      </w:r>
      <w:r>
        <w:rPr>
          <w:i/>
          <w:iCs/>
        </w:rPr>
        <w:t xml:space="preserve">et al.</w:t>
      </w:r>
      <w:r>
        <w:t xml:space="preserve"> </w:t>
      </w:r>
      <w:r>
        <w:t xml:space="preserve">(2026)</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(Roopnarine, 2006; Dunne</w:t>
      </w:r>
      <w:r>
        <w:t xml:space="preserve"> </w:t>
      </w:r>
      <w:r>
        <w:rPr>
          <w:i/>
          <w:iCs/>
        </w:rPr>
        <w:t xml:space="preserve">et al.</w:t>
      </w:r>
      <w:r>
        <w:t xml:space="preserve">, 2008)</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reconstruction dependent inferences rather than single deterministic representations representations provides a more transparent framework for incorporating uncertainty into comparative macroecology and for using palaeo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 ‘correct’ or ‘incorrect’. Rather, each reconstruction approach represents a distinct hypothesis about how interactions are constrained by trait compatibility, energetic optimisation, or topological regularity</w:t>
      </w:r>
      <w:r>
        <w:t xml:space="preserve"> </w:t>
      </w:r>
      <w:r>
        <w:t xml:space="preserve">(Petchey</w:t>
      </w:r>
      <w:r>
        <w:t xml:space="preserve"> </w:t>
      </w:r>
      <w:r>
        <w:rPr>
          <w:i/>
          <w:iCs/>
        </w:rPr>
        <w:t xml:space="preserve">et al.</w:t>
      </w:r>
      <w:r>
        <w:t xml:space="preserve">,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approaches.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network reconstruction as fundamental determinants of inference is critical for advancing food web ecology from descriptive reconstruction toward rigorous comparative synthesis.</w:t>
      </w:r>
    </w:p>
    <w:bookmarkEnd w:id="47"/>
    <w:bookmarkStart w:id="162" w:name="references"/>
    <w:p>
      <w:pPr>
        <w:pStyle w:val="Heading1"/>
      </w:pPr>
      <w:r>
        <w:t xml:space="preserve">References</w:t>
      </w:r>
    </w:p>
    <w:bookmarkStart w:id="161" w:name="refs"/>
    <w:bookmarkStart w:id="49" w:name="ref-allesina2008"/>
    <w:p>
      <w:pPr>
        <w:pStyle w:val="Bibliography"/>
      </w:pPr>
      <w:r>
        <w:t xml:space="preserve">Allesina, S., Alonso, D. &amp; Pascual, M. (2008)</w:t>
      </w:r>
      <w:r>
        <w:t xml:space="preserve"> </w:t>
      </w:r>
      <w:hyperlink r:id="rId48">
        <w:r>
          <w:rPr>
            <w:rStyle w:val="Hyperlink"/>
          </w:rPr>
          <w:t xml:space="preserve">A general model for food web structure</w:t>
        </w:r>
      </w:hyperlink>
      <w:r>
        <w:t xml:space="preserve">.</w:t>
      </w:r>
      <w:r>
        <w:t xml:space="preserve"> </w:t>
      </w:r>
      <w:r>
        <w:rPr>
          <w:i/>
          <w:iCs/>
        </w:rPr>
        <w:t xml:space="preserve">Science</w:t>
      </w:r>
      <w:r>
        <w:t xml:space="preserve">,</w:t>
      </w:r>
      <w:r>
        <w:t xml:space="preserve"> </w:t>
      </w:r>
      <w:r>
        <w:rPr>
          <w:b/>
          <w:bCs/>
        </w:rPr>
        <w:t xml:space="preserve">320</w:t>
      </w:r>
      <w:r>
        <w:t xml:space="preserve">, 658–661.</w:t>
      </w:r>
    </w:p>
    <w:bookmarkEnd w:id="49"/>
    <w:bookmarkStart w:id="51" w:name="ref-allesina2012"/>
    <w:p>
      <w:pPr>
        <w:pStyle w:val="Bibliography"/>
      </w:pPr>
      <w:r>
        <w:t xml:space="preserve">Allesina, S. &amp; Tang, S. (2012)</w:t>
      </w:r>
      <w:r>
        <w:t xml:space="preserve"> </w:t>
      </w:r>
      <w:hyperlink r:id="rId50">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51"/>
    <w:bookmarkStart w:id="53" w:name="ref-bambach2007"/>
    <w:p>
      <w:pPr>
        <w:pStyle w:val="Bibliography"/>
      </w:pPr>
      <w:r>
        <w:t xml:space="preserve">Bambach, R.K., Bush, A.M. &amp; Erwin, D.H. (2007)</w:t>
      </w:r>
      <w:r>
        <w:t xml:space="preserve"> </w:t>
      </w:r>
      <w:hyperlink r:id="rId52">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3"/>
    <w:bookmarkStart w:id="55" w:name="ref-banville2025"/>
    <w:p>
      <w:pPr>
        <w:pStyle w:val="Bibliography"/>
      </w:pPr>
      <w:r>
        <w:t xml:space="preserve">Banville, F., Strydom, T., Blyth, P.S.A., Brimacombe, C., Catchen, M.D., Dansereau, G., Higino, G., Malpas, T., Mayall, H., Norman, K., Gravel, D. &amp; Poisot, T. (2025)</w:t>
      </w:r>
      <w:r>
        <w:t xml:space="preserve"> </w:t>
      </w:r>
      <w:hyperlink r:id="rId54">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5"/>
    <w:bookmarkStart w:id="57" w:name="ref-Bezanson2017Julia"/>
    <w:p>
      <w:pPr>
        <w:pStyle w:val="Bibliography"/>
      </w:pPr>
      <w:r>
        <w:t xml:space="preserve">Bezanson, J., Edelman, A., Karpinski, S. &amp; Shah, V.B. (2017)</w:t>
      </w:r>
      <w:r>
        <w:t xml:space="preserve"> </w:t>
      </w:r>
      <w:hyperlink r:id="rId56">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7"/>
    <w:bookmarkStart w:id="59"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8">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59"/>
    <w:bookmarkStart w:id="61" w:name="ref-caswell2009"/>
    <w:p>
      <w:pPr>
        <w:pStyle w:val="Bibliography"/>
      </w:pPr>
      <w:r>
        <w:t xml:space="preserve">Caswell, B.A., Coe, A.L. &amp; Cohen, A.S. (2009)</w:t>
      </w:r>
      <w:r>
        <w:t xml:space="preserve"> </w:t>
      </w:r>
      <w:hyperlink r:id="rId60">
        <w:r>
          <w:rPr>
            <w:rStyle w:val="Hyperlink"/>
          </w:rPr>
          <w:t xml:space="preserve">New range data for marine invertebrate species across the early toarcian (early jurassic) mass extinction</w:t>
        </w:r>
      </w:hyperlink>
      <w:r>
        <w:t xml:space="preserve">.</w:t>
      </w:r>
      <w:r>
        <w:t xml:space="preserve"> </w:t>
      </w:r>
      <w:r>
        <w:rPr>
          <w:i/>
          <w:iCs/>
        </w:rPr>
        <w:t xml:space="preserve">Journal of the Geological Society</w:t>
      </w:r>
      <w:r>
        <w:t xml:space="preserve">,</w:t>
      </w:r>
      <w:r>
        <w:t xml:space="preserve"> </w:t>
      </w:r>
      <w:r>
        <w:rPr>
          <w:b/>
          <w:bCs/>
        </w:rPr>
        <w:t xml:space="preserve">166</w:t>
      </w:r>
      <w:r>
        <w:t xml:space="preserve">, 859–872.</w:t>
      </w:r>
    </w:p>
    <w:bookmarkEnd w:id="61"/>
    <w:bookmarkStart w:id="63" w:name="ref-curtsdotter2011"/>
    <w:p>
      <w:pPr>
        <w:pStyle w:val="Bibliography"/>
      </w:pPr>
      <w:r>
        <w:t xml:space="preserve">Curtsdotter, A., Binzer, A., Brose, U., De Castro, F., Ebenman, B., Eklöf, A., Riede, J.O., Thierry, A. &amp; Rall, B.C. (2011)</w:t>
      </w:r>
      <w:r>
        <w:t xml:space="preserve"> </w:t>
      </w:r>
      <w:hyperlink r:id="rId62">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63"/>
    <w:bookmarkStart w:id="65"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4">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5"/>
    <w:bookmarkStart w:id="67" w:name="ref-dunhill2024"/>
    <w:p>
      <w:pPr>
        <w:pStyle w:val="Bibliography"/>
      </w:pPr>
      <w:r>
        <w:t xml:space="preserve">Dunhill, A.M., Zarzyczny, K., Shaw, J.O., Atkinson, J.W., Little, C.T.S. &amp; Beckerman, A.P. (2024)</w:t>
      </w:r>
      <w:r>
        <w:t xml:space="preserve"> </w:t>
      </w:r>
      <w:hyperlink r:id="rId66">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7"/>
    <w:bookmarkStart w:id="69" w:name="ref-dunne2014"/>
    <w:p>
      <w:pPr>
        <w:pStyle w:val="Bibliography"/>
      </w:pPr>
      <w:r>
        <w:t xml:space="preserve">Dunne, J.A., Labandeira, C.C. &amp; Williams, R.J. (2014)</w:t>
      </w:r>
      <w:r>
        <w:t xml:space="preserve"> </w:t>
      </w:r>
      <w:hyperlink r:id="rId68">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69"/>
    <w:bookmarkStart w:id="70"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70"/>
    <w:bookmarkStart w:id="72" w:name="ref-dunne2008"/>
    <w:p>
      <w:pPr>
        <w:pStyle w:val="Bibliography"/>
      </w:pPr>
      <w:r>
        <w:t xml:space="preserve">Dunne, J.A., Williams, R.J., Martinez, N.D., Wood, R.A. &amp; Erwin, D.H. (2008)</w:t>
      </w:r>
      <w:r>
        <w:t xml:space="preserve"> </w:t>
      </w:r>
      <w:hyperlink r:id="rId71">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72"/>
    <w:bookmarkStart w:id="74" w:name="ref-erdos1959"/>
    <w:p>
      <w:pPr>
        <w:pStyle w:val="Bibliography"/>
      </w:pPr>
      <w:r>
        <w:t xml:space="preserve">Erdős, P. &amp; Rényi, A. (1959)</w:t>
      </w:r>
      <w:r>
        <w:t xml:space="preserve"> </w:t>
      </w:r>
      <w:hyperlink r:id="rId73">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4"/>
    <w:bookmarkStart w:id="76" w:name="ref-fricke2022a"/>
    <w:p>
      <w:pPr>
        <w:pStyle w:val="Bibliography"/>
      </w:pPr>
      <w:r>
        <w:t xml:space="preserve">Fricke, E.C., Hsieh, C., Middleton, O., Gorczynski, D., Cappello, C.D., Sanisidro, O., Rowan, J., Svenning, J.-C. &amp; Beaudrot, L. (2022)</w:t>
      </w:r>
      <w:r>
        <w:t xml:space="preserve"> </w:t>
      </w:r>
      <w:hyperlink r:id="rId75">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6"/>
    <w:bookmarkStart w:id="78" w:name="ref-fründ2016"/>
    <w:p>
      <w:pPr>
        <w:pStyle w:val="Bibliography"/>
      </w:pPr>
      <w:r>
        <w:t xml:space="preserve">Fründ, J., McCann, K.S. &amp; Williams, N.M. (2016)</w:t>
      </w:r>
      <w:r>
        <w:t xml:space="preserve"> </w:t>
      </w:r>
      <w:hyperlink r:id="rId77">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8"/>
    <w:bookmarkStart w:id="80" w:name="ref-gauzens2023"/>
    <w:p>
      <w:pPr>
        <w:pStyle w:val="Bibliography"/>
      </w:pPr>
      <w:r>
        <w:t xml:space="preserve">Gauzens, B., Brose, U., Delmas, E. &amp; Berti, E. (2023)</w:t>
      </w:r>
      <w:r>
        <w:t xml:space="preserve"> </w:t>
      </w:r>
      <w:hyperlink r:id="rId79">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80"/>
    <w:bookmarkStart w:id="82"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81">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82"/>
    <w:bookmarkStart w:id="84" w:name="ref-gilman2010"/>
    <w:p>
      <w:pPr>
        <w:pStyle w:val="Bibliography"/>
      </w:pPr>
      <w:r>
        <w:t xml:space="preserve">Gilman, S.E., Urban, M.C., Tewksbury, J., Gilchrist, G.W. &amp; Holt, R.D. (2010)</w:t>
      </w:r>
      <w:r>
        <w:t xml:space="preserve"> </w:t>
      </w:r>
      <w:hyperlink r:id="rId83">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4"/>
    <w:bookmarkStart w:id="86" w:name="ref-gravel2019"/>
    <w:p>
      <w:pPr>
        <w:pStyle w:val="Bibliography"/>
      </w:pPr>
      <w:r>
        <w:t xml:space="preserve">Gravel, D., Baiser, B., Dunne, J.A., Kopelke, J.-P., Martinez, N.D., Nyman, T., Poisot, T., Stouffer, D.B., Tylianakis, J.M., Wood, S.A. &amp; Roslin, T. (2019)</w:t>
      </w:r>
      <w:r>
        <w:t xml:space="preserve"> </w:t>
      </w:r>
      <w:hyperlink r:id="rId85">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6"/>
    <w:bookmarkStart w:id="88" w:name="ref-guimarães2020"/>
    <w:p>
      <w:pPr>
        <w:pStyle w:val="Bibliography"/>
      </w:pPr>
      <w:r>
        <w:t xml:space="preserve">Guimarães, P.R. (2020)</w:t>
      </w:r>
      <w:r>
        <w:t xml:space="preserve"> </w:t>
      </w:r>
      <w:hyperlink r:id="rId87">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8"/>
    <w:bookmarkStart w:id="90" w:name="ref-hao2025"/>
    <w:p>
      <w:pPr>
        <w:pStyle w:val="Bibliography"/>
      </w:pPr>
      <w:r>
        <w:t xml:space="preserve">Hao, X., Holyoak, M., Zhang, Z. &amp; Yan, C. (2025)</w:t>
      </w:r>
      <w:r>
        <w:t xml:space="preserve"> </w:t>
      </w:r>
      <w:hyperlink r:id="rId89">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90"/>
    <w:bookmarkStart w:id="92" w:name="ref-jordano2016"/>
    <w:p>
      <w:pPr>
        <w:pStyle w:val="Bibliography"/>
      </w:pPr>
      <w:r>
        <w:t xml:space="preserve">Jordano, P. (2016)</w:t>
      </w:r>
      <w:r>
        <w:t xml:space="preserve"> </w:t>
      </w:r>
      <w:hyperlink r:id="rId91">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92"/>
    <w:bookmarkStart w:id="94" w:name="ref-karapunar2026"/>
    <w:p>
      <w:pPr>
        <w:pStyle w:val="Bibliography"/>
      </w:pPr>
      <w:r>
        <w:t xml:space="preserve">Karapunar, B., Strydom, T., Beckerman, A.P., Ridgwell, A., Wignall, P.B., Dunne, J.A., Little, C.T.S., Hull, P., Pimiento, C. &amp; Dunhill, A. (2026)</w:t>
      </w:r>
      <w:r>
        <w:t xml:space="preserve"> </w:t>
      </w:r>
      <w:hyperlink r:id="rId93">
        <w:r>
          <w:rPr>
            <w:rStyle w:val="Hyperlink"/>
          </w:rPr>
          <w:t xml:space="preserve">No global collapse of food webs across the permian-triassic mass extinction</w:t>
        </w:r>
      </w:hyperlink>
      <w:r>
        <w:t xml:space="preserve">.</w:t>
      </w:r>
      <w:r>
        <w:t xml:space="preserve"> </w:t>
      </w:r>
      <w:r>
        <w:rPr>
          <w:i/>
          <w:iCs/>
        </w:rPr>
        <w:t xml:space="preserve">BioRxiv</w:t>
      </w:r>
      <w:r>
        <w:t xml:space="preserve">.</w:t>
      </w:r>
    </w:p>
    <w:bookmarkEnd w:id="94"/>
    <w:bookmarkStart w:id="96" w:name="ref-kemp2024"/>
    <w:p>
      <w:pPr>
        <w:pStyle w:val="Bibliography"/>
      </w:pPr>
      <w:r>
        <w:t xml:space="preserve">Kemp, D.B., Han, Z., Hu, X., Chen, W., Jin, S., Izumi, K., Yan, Q., Baranyi, V., Jin, X., Corso, J.D. &amp; Ge, Y. (2024)</w:t>
      </w:r>
      <w:r>
        <w:t xml:space="preserve"> </w:t>
      </w:r>
      <w:hyperlink r:id="rId95">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6"/>
    <w:bookmarkStart w:id="98" w:name="ref-little1995"/>
    <w:p>
      <w:pPr>
        <w:pStyle w:val="Bibliography"/>
      </w:pPr>
      <w:r>
        <w:t xml:space="preserve">Little, C.T.S. &amp; Benton, M.J. (1995)</w:t>
      </w:r>
      <w:r>
        <w:t xml:space="preserve"> </w:t>
      </w:r>
      <w:hyperlink r:id="rId97">
        <w:r>
          <w:rPr>
            <w:rStyle w:val="Hyperlink"/>
          </w:rPr>
          <w:t xml:space="preserve">Early jurassic mass extinction: A global long-term event</w:t>
        </w:r>
      </w:hyperlink>
      <w:r>
        <w:t xml:space="preserve">.</w:t>
      </w:r>
      <w:r>
        <w:t xml:space="preserve"> </w:t>
      </w:r>
      <w:r>
        <w:rPr>
          <w:i/>
          <w:iCs/>
        </w:rPr>
        <w:t xml:space="preserve">Geology</w:t>
      </w:r>
      <w:r>
        <w:t xml:space="preserve">,</w:t>
      </w:r>
      <w:r>
        <w:t xml:space="preserve"> </w:t>
      </w:r>
      <w:r>
        <w:rPr>
          <w:b/>
          <w:bCs/>
        </w:rPr>
        <w:t xml:space="preserve">23</w:t>
      </w:r>
      <w:r>
        <w:t xml:space="preserve">, 495.</w:t>
      </w:r>
    </w:p>
    <w:bookmarkEnd w:id="98"/>
    <w:bookmarkStart w:id="100" w:name="ref-marjakangas2025"/>
    <w:p>
      <w:pPr>
        <w:pStyle w:val="Bibliography"/>
      </w:pPr>
      <w:r>
        <w:t xml:space="preserve">Marjakangas, E.-L., Dalsgaard, B. &amp; Ordonez, A. (2025)</w:t>
      </w:r>
      <w:r>
        <w:t xml:space="preserve"> </w:t>
      </w:r>
      <w:hyperlink r:id="rId99">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100"/>
    <w:bookmarkStart w:id="102" w:name="ref-michalska-smith2019"/>
    <w:p>
      <w:pPr>
        <w:pStyle w:val="Bibliography"/>
      </w:pPr>
      <w:r>
        <w:t xml:space="preserve">Michalska-Smith, M.J. &amp; Allesina, S. (2019)</w:t>
      </w:r>
      <w:r>
        <w:t xml:space="preserve"> </w:t>
      </w:r>
      <w:hyperlink r:id="rId101">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102"/>
    <w:bookmarkStart w:id="104" w:name="ref-milo2002"/>
    <w:p>
      <w:pPr>
        <w:pStyle w:val="Bibliography"/>
      </w:pPr>
      <w:r>
        <w:t xml:space="preserve">Milo, R., Shen-Orr, S., Itzkovitz, S., Kashtan, N., Chklovskii, D. &amp; Alon, U. (2002)</w:t>
      </w:r>
      <w:r>
        <w:t xml:space="preserve"> </w:t>
      </w:r>
      <w:hyperlink r:id="rId103">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104"/>
    <w:bookmarkStart w:id="106" w:name="ref-morales-castilla2015"/>
    <w:p>
      <w:pPr>
        <w:pStyle w:val="Bibliography"/>
      </w:pPr>
      <w:r>
        <w:t xml:space="preserve">Morales-Castilla, I., Matias, M.G., Gravel, D. &amp; Araújo, M.B. (2015)</w:t>
      </w:r>
      <w:r>
        <w:t xml:space="preserve"> </w:t>
      </w:r>
      <w:hyperlink r:id="rId105">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6"/>
    <w:bookmarkStart w:id="108"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7">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8"/>
    <w:bookmarkStart w:id="110" w:name="ref-petchey2011"/>
    <w:p>
      <w:pPr>
        <w:pStyle w:val="Bibliography"/>
      </w:pPr>
      <w:r>
        <w:t xml:space="preserve">Petchey, O.L., Beckerman, A.P., Riede, J.O. &amp; Warren, P.H. (2011)</w:t>
      </w:r>
      <w:r>
        <w:t xml:space="preserve"> </w:t>
      </w:r>
      <w:hyperlink r:id="rId109">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10"/>
    <w:bookmarkStart w:id="112" w:name="ref-petchey2008"/>
    <w:p>
      <w:pPr>
        <w:pStyle w:val="Bibliography"/>
      </w:pPr>
      <w:r>
        <w:t xml:space="preserve">Petchey, O.L., Beckerman, A.P., Riede, J.O. &amp; Warren, P.H. (2008)</w:t>
      </w:r>
      <w:r>
        <w:t xml:space="preserve"> </w:t>
      </w:r>
      <w:hyperlink r:id="rId111">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12"/>
    <w:bookmarkStart w:id="114" w:name="ref-poisot2021"/>
    <w:p>
      <w:pPr>
        <w:pStyle w:val="Bibliography"/>
      </w:pPr>
      <w:r>
        <w:t xml:space="preserve">Poisot, T., Bergeron, G., Cazelles, K., Dallas, T., Gravel, D., MacDonald, A., Mercier, B., Violet, C. &amp; Vissault, S. (2021)</w:t>
      </w:r>
      <w:r>
        <w:t xml:space="preserve"> </w:t>
      </w:r>
      <w:hyperlink r:id="rId113">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14"/>
    <w:bookmarkStart w:id="116" w:name="ref-poisot2012a"/>
    <w:p>
      <w:pPr>
        <w:pStyle w:val="Bibliography"/>
      </w:pPr>
      <w:r>
        <w:t xml:space="preserve">Poisot, T., Canard, E., Mouillot, D., Mouquet, N. &amp; Gravel, D. (2012)</w:t>
      </w:r>
      <w:r>
        <w:t xml:space="preserve"> </w:t>
      </w:r>
      <w:hyperlink r:id="rId115">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6"/>
    <w:bookmarkStart w:id="118" w:name="ref-poisot2016"/>
    <w:p>
      <w:pPr>
        <w:pStyle w:val="Bibliography"/>
      </w:pPr>
      <w:r>
        <w:t xml:space="preserve">Poisot, T., Cirtwill, A., Cazelles, K., Gravel, D., Fortin, M.-J. &amp; Stouffer, D. (2016)</w:t>
      </w:r>
      <w:r>
        <w:t xml:space="preserve"> </w:t>
      </w:r>
      <w:hyperlink r:id="rId117">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8"/>
    <w:bookmarkStart w:id="120" w:name="ref-poisot2014"/>
    <w:p>
      <w:pPr>
        <w:pStyle w:val="Bibliography"/>
      </w:pPr>
      <w:r>
        <w:t xml:space="preserve">Poisot, T. &amp; Gravel, D. (2014)</w:t>
      </w:r>
      <w:r>
        <w:t xml:space="preserve"> </w:t>
      </w:r>
      <w:hyperlink r:id="rId119">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20"/>
    <w:bookmarkStart w:id="122" w:name="ref-poisot2015"/>
    <w:p>
      <w:pPr>
        <w:pStyle w:val="Bibliography"/>
      </w:pPr>
      <w:r>
        <w:t xml:space="preserve">Poisot, T., Stouffer, D.B. &amp; Gravel, D. (2015)</w:t>
      </w:r>
      <w:r>
        <w:t xml:space="preserve"> </w:t>
      </w:r>
      <w:hyperlink r:id="rId121">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22"/>
    <w:bookmarkStart w:id="124" w:name="ref-RCoreTeam2024"/>
    <w:p>
      <w:pPr>
        <w:pStyle w:val="Bibliography"/>
      </w:pPr>
      <w:r>
        <w:t xml:space="preserve">R Core Team (2024)</w:t>
      </w:r>
      <w:r>
        <w:t xml:space="preserve"> </w:t>
      </w:r>
      <w:hyperlink r:id="rId123">
        <w:r>
          <w:rPr>
            <w:rStyle w:val="Hyperlink"/>
            <w:i/>
            <w:iCs/>
          </w:rPr>
          <w:t xml:space="preserve">R: A language and environment for statistical computing</w:t>
        </w:r>
      </w:hyperlink>
      <w:r>
        <w:t xml:space="preserve">, R Foundation for Statistical Computing, Vienna, Austria.</w:t>
      </w:r>
    </w:p>
    <w:bookmarkEnd w:id="124"/>
    <w:bookmarkStart w:id="126" w:name="ref-rohr2010"/>
    <w:p>
      <w:pPr>
        <w:pStyle w:val="Bibliography"/>
      </w:pPr>
      <w:r>
        <w:t xml:space="preserve">Rohr, R., Scherer, H., Kehrli, P., Mazza, C. &amp; Bersier, L.-F. (2010)</w:t>
      </w:r>
      <w:r>
        <w:t xml:space="preserve"> </w:t>
      </w:r>
      <w:hyperlink r:id="rId125">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6"/>
    <w:bookmarkStart w:id="128" w:name="ref-roopnarine2006"/>
    <w:p>
      <w:pPr>
        <w:pStyle w:val="Bibliography"/>
      </w:pPr>
      <w:r>
        <w:t xml:space="preserve">Roopnarine, P.D. (2006)</w:t>
      </w:r>
      <w:r>
        <w:t xml:space="preserve"> </w:t>
      </w:r>
      <w:hyperlink r:id="rId127">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8"/>
    <w:bookmarkStart w:id="130" w:name="ref-sandra2025"/>
    <w:p>
      <w:pPr>
        <w:pStyle w:val="Bibliography"/>
      </w:pPr>
      <w:r>
        <w:t xml:space="preserve">Sandra, H.-P., Traveset, A., Nogales, M., Heleno, R., Llewelyn, J. &amp; Strona, G. (2025)</w:t>
      </w:r>
      <w:r>
        <w:t xml:space="preserve"> </w:t>
      </w:r>
      <w:hyperlink r:id="rId129">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30"/>
    <w:bookmarkStart w:id="132" w:name="ref-schneider2016"/>
    <w:p>
      <w:pPr>
        <w:pStyle w:val="Bibliography"/>
      </w:pPr>
      <w:r>
        <w:t xml:space="preserve">Schneider, F.D., Brose, U., Rall, B.C. &amp; Guill, C. (2016)</w:t>
      </w:r>
      <w:r>
        <w:t xml:space="preserve"> </w:t>
      </w:r>
      <w:hyperlink r:id="rId131">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w:t>
      </w:r>
      <w:r>
        <w:t xml:space="preserve"> </w:t>
      </w:r>
      <w:r>
        <w:rPr>
          <w:b/>
          <w:bCs/>
        </w:rPr>
        <w:t xml:space="preserve">7</w:t>
      </w:r>
      <w:r>
        <w:t xml:space="preserve">, 12718.</w:t>
      </w:r>
    </w:p>
    <w:bookmarkEnd w:id="132"/>
    <w:bookmarkStart w:id="134" w:name="ref-shaw2024"/>
    <w:p>
      <w:pPr>
        <w:pStyle w:val="Bibliography"/>
      </w:pPr>
      <w:r>
        <w:t xml:space="preserve">Shaw, J.O., Dunhill, A.M., Beckerman, A.P., Dunne, J.A. &amp; Hull, P.M. (2024)</w:t>
      </w:r>
      <w:r>
        <w:t xml:space="preserve"> </w:t>
      </w:r>
      <w:hyperlink r:id="rId133">
        <w:r>
          <w:rPr>
            <w:rStyle w:val="Hyperlink"/>
          </w:rPr>
          <w:t xml:space="preserve">A framework for reconstructing ancient food webs using functional trait data</w:t>
        </w:r>
      </w:hyperlink>
      <w:r>
        <w:t xml:space="preserve">. 2024.01.30.578036.</w:t>
      </w:r>
    </w:p>
    <w:bookmarkEnd w:id="134"/>
    <w:bookmarkStart w:id="136" w:name="ref-smith2025"/>
    <w:p>
      <w:pPr>
        <w:pStyle w:val="Bibliography"/>
      </w:pPr>
      <w:r>
        <w:t xml:space="preserve">Smith, Q.A., Tomé, C.P., Gearty, W., Smith, F.A., Shizuka, D. &amp; Lyons, S.K. (2025)</w:t>
      </w:r>
      <w:r>
        <w:t xml:space="preserve"> </w:t>
      </w:r>
      <w:hyperlink r:id="rId135">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36"/>
    <w:bookmarkStart w:id="138" w:name="ref-stouffer2019"/>
    <w:p>
      <w:pPr>
        <w:pStyle w:val="Bibliography"/>
      </w:pPr>
      <w:r>
        <w:t xml:space="preserve">Stouffer, D.B. (2019)</w:t>
      </w:r>
      <w:r>
        <w:t xml:space="preserve"> </w:t>
      </w:r>
      <w:hyperlink r:id="rId137">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8"/>
    <w:bookmarkStart w:id="140" w:name="ref-stouffer2007"/>
    <w:p>
      <w:pPr>
        <w:pStyle w:val="Bibliography"/>
      </w:pPr>
      <w:r>
        <w:t xml:space="preserve">Stouffer, D.B., Camacho, J., Jiang, W. &amp; Nunes Amaral, L.A. (2007)</w:t>
      </w:r>
      <w:r>
        <w:t xml:space="preserve"> </w:t>
      </w:r>
      <w:hyperlink r:id="rId139">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40"/>
    <w:bookmarkStart w:id="142"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41">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42"/>
    <w:bookmarkStart w:id="144" w:name="ref-strydom2026"/>
    <w:p>
      <w:pPr>
        <w:pStyle w:val="Bibliography"/>
      </w:pPr>
      <w:r>
        <w:t xml:space="preserve">Strydom, T., Dunhill, A.M., Dunne, J.A., Poisot, T. &amp; Beckerman, A.P. (2026)</w:t>
      </w:r>
      <w:r>
        <w:t xml:space="preserve"> </w:t>
      </w:r>
      <w:hyperlink r:id="rId143">
        <w:r>
          <w:rPr>
            <w:rStyle w:val="Hyperlink"/>
          </w:rPr>
          <w:t xml:space="preserve">Scaling from metawebs to realised webs: A hierarchical approach to network ecology</w:t>
        </w:r>
      </w:hyperlink>
      <w:r>
        <w:t xml:space="preserve">.</w:t>
      </w:r>
      <w:r>
        <w:t xml:space="preserve"> </w:t>
      </w:r>
      <w:r>
        <w:rPr>
          <w:i/>
          <w:iCs/>
        </w:rPr>
        <w:t xml:space="preserve">EcoEvoRxiv</w:t>
      </w:r>
      <w:r>
        <w:t xml:space="preserve">.</w:t>
      </w:r>
    </w:p>
    <w:bookmarkEnd w:id="144"/>
    <w:bookmarkStart w:id="146" w:name="ref-thuiller2024"/>
    <w:p>
      <w:pPr>
        <w:pStyle w:val="Bibliography"/>
      </w:pPr>
      <w:r>
        <w:t xml:space="preserve">Thuiller, W., Calderón-Sanou, I., Chalmandrier, L., Gaüzère, P., O’Connor, L.M.J., Ohlmann, M., Poggiato, G. &amp; Münkemüller, T. (2024)</w:t>
      </w:r>
      <w:r>
        <w:t xml:space="preserve"> </w:t>
      </w:r>
      <w:hyperlink r:id="rId145">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46"/>
    <w:bookmarkStart w:id="148" w:name="ref-trøjelsgaard2016"/>
    <w:p>
      <w:pPr>
        <w:pStyle w:val="Bibliography"/>
      </w:pPr>
      <w:r>
        <w:t xml:space="preserve">Trøjelsgaard, K. &amp; Olesen, J.M. (2016)</w:t>
      </w:r>
      <w:r>
        <w:t xml:space="preserve"> </w:t>
      </w:r>
      <w:hyperlink r:id="rId147">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8"/>
    <w:bookmarkStart w:id="150" w:name="ref-tylianakis2008"/>
    <w:p>
      <w:pPr>
        <w:pStyle w:val="Bibliography"/>
      </w:pPr>
      <w:r>
        <w:t xml:space="preserve">Tylianakis, J.M., Didham, R.K., Bascompte, J. &amp; Wardle, D.A. (2008)</w:t>
      </w:r>
      <w:r>
        <w:t xml:space="preserve"> </w:t>
      </w:r>
      <w:hyperlink r:id="rId149">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50"/>
    <w:bookmarkStart w:id="152" w:name="ref-tylianakis2017"/>
    <w:p>
      <w:pPr>
        <w:pStyle w:val="Bibliography"/>
      </w:pPr>
      <w:r>
        <w:t xml:space="preserve">Tylianakis, J.M. &amp; Morris, R.J. (2017)</w:t>
      </w:r>
      <w:r>
        <w:t xml:space="preserve"> </w:t>
      </w:r>
      <w:hyperlink r:id="rId151">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52"/>
    <w:bookmarkStart w:id="154" w:name="ref-williams2000"/>
    <w:p>
      <w:pPr>
        <w:pStyle w:val="Bibliography"/>
      </w:pPr>
      <w:r>
        <w:t xml:space="preserve">Williams, R.J. &amp; Martinez, N.D. (2000)</w:t>
      </w:r>
      <w:r>
        <w:t xml:space="preserve"> </w:t>
      </w:r>
      <w:hyperlink r:id="rId153">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54"/>
    <w:bookmarkStart w:id="156" w:name="ref-williams2004"/>
    <w:p>
      <w:pPr>
        <w:pStyle w:val="Bibliography"/>
      </w:pPr>
      <w:r>
        <w:t xml:space="preserve">Williams, R.J. &amp; Martinez, N.D. (2004)</w:t>
      </w:r>
      <w:r>
        <w:t xml:space="preserve"> </w:t>
      </w:r>
      <w:hyperlink r:id="rId155">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56"/>
    <w:bookmarkStart w:id="158" w:name="ref-williams2008"/>
    <w:p>
      <w:pPr>
        <w:pStyle w:val="Bibliography"/>
      </w:pPr>
      <w:r>
        <w:t xml:space="preserve">Williams, R.J. &amp; Martinez, N.D. (2008)</w:t>
      </w:r>
      <w:r>
        <w:t xml:space="preserve"> </w:t>
      </w:r>
      <w:hyperlink r:id="rId157">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8"/>
    <w:bookmarkStart w:id="160" w:name="ref-yeakel2014"/>
    <w:p>
      <w:pPr>
        <w:pStyle w:val="Bibliography"/>
      </w:pPr>
      <w:r>
        <w:t xml:space="preserve">Yeakel, J.D., Pires, M.M., Rudolf, L., Dominy, N.J., Koch, P.L., Guimarães, P.R. &amp; Gross, T. (2014)</w:t>
      </w:r>
      <w:r>
        <w:t xml:space="preserve"> </w:t>
      </w:r>
      <w:hyperlink r:id="rId159">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60"/>
    <w:bookmarkEnd w:id="161"/>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7" Target="https://doi.org/10" TargetMode="External" /><Relationship Type="http://schemas.openxmlformats.org/officeDocument/2006/relationships/hyperlink" Id="rId62" Target="https://doi.org/10.1016/j.baae.2011.09.008" TargetMode="External" /><Relationship Type="http://schemas.openxmlformats.org/officeDocument/2006/relationships/hyperlink" Id="rId95" Target="https://doi.org/10.1016/j.earscirev.2024.104946" TargetMode="External" /><Relationship Type="http://schemas.openxmlformats.org/officeDocument/2006/relationships/hyperlink" Id="rId129" Target="https://doi.org/10.1016/j.ecoinf.2025.103183" TargetMode="External" /><Relationship Type="http://schemas.openxmlformats.org/officeDocument/2006/relationships/hyperlink" Id="rId109" Target="https://doi.org/10.1016/j.jtbi.2011.03.019" TargetMode="External" /><Relationship Type="http://schemas.openxmlformats.org/officeDocument/2006/relationships/hyperlink" Id="rId83" Target="https://doi.org/10.1016/j.tree.2010.03.002" TargetMode="External" /><Relationship Type="http://schemas.openxmlformats.org/officeDocument/2006/relationships/hyperlink" Id="rId105" Target="https://doi.org/10.1016/j.tree.2015.03.014" TargetMode="External" /><Relationship Type="http://schemas.openxmlformats.org/officeDocument/2006/relationships/hyperlink" Id="rId153" Target="https://doi.org/10.1038/35004572" TargetMode="External" /><Relationship Type="http://schemas.openxmlformats.org/officeDocument/2006/relationships/hyperlink" Id="rId50" Target="https://doi.org/10.1038/nature10832" TargetMode="External" /><Relationship Type="http://schemas.openxmlformats.org/officeDocument/2006/relationships/hyperlink" Id="rId131" Target="https://doi.org/10.1038/ncomms12718" TargetMode="External" /><Relationship Type="http://schemas.openxmlformats.org/officeDocument/2006/relationships/hyperlink" Id="rId66"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111" Target="https://doi.org/10.1073/pnas.0710672105" TargetMode="External" /><Relationship Type="http://schemas.openxmlformats.org/officeDocument/2006/relationships/hyperlink" Id="rId159" Target="https://doi.org/10.1073/pnas.1408471111" TargetMode="External" /><Relationship Type="http://schemas.openxmlformats.org/officeDocument/2006/relationships/hyperlink" Id="rId125" Target="https://doi.org/10.1086/653667" TargetMode="External" /><Relationship Type="http://schemas.openxmlformats.org/officeDocument/2006/relationships/hyperlink" Id="rId139"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141" Target="https://doi.org/10.1098/rstb.2021.0063" TargetMode="External" /><Relationship Type="http://schemas.openxmlformats.org/officeDocument/2006/relationships/hyperlink" Id="rId133" Target="https://doi.org/10.1101/2024.01.30.578036" TargetMode="External" /><Relationship Type="http://schemas.openxmlformats.org/officeDocument/2006/relationships/hyperlink" Id="rId147" Target="https://doi.org/10.1111/1365-2435.12710" TargetMode="External" /><Relationship Type="http://schemas.openxmlformats.org/officeDocument/2006/relationships/hyperlink" Id="rId91" Target="https://doi.org/10.1111/1365-2435.12763" TargetMode="External" /><Relationship Type="http://schemas.openxmlformats.org/officeDocument/2006/relationships/hyperlink" Id="rId137" Target="https://doi.org/10.1111/1365-2656.12949" TargetMode="External" /><Relationship Type="http://schemas.openxmlformats.org/officeDocument/2006/relationships/hyperlink" Id="rId79" Target="https://doi.org/10.1111/2041-210X.14212" TargetMode="External" /><Relationship Type="http://schemas.openxmlformats.org/officeDocument/2006/relationships/hyperlink" Id="rId107" Target="https://doi.org/10.1111/brv.12366" TargetMode="External" /><Relationship Type="http://schemas.openxmlformats.org/officeDocument/2006/relationships/hyperlink" Id="rId64" Target="https://doi.org/10.1111/brv.12433" TargetMode="External" /><Relationship Type="http://schemas.openxmlformats.org/officeDocument/2006/relationships/hyperlink" Id="rId85" Target="https://doi.org/10.1111/ecog.04006" TargetMode="External" /><Relationship Type="http://schemas.openxmlformats.org/officeDocument/2006/relationships/hyperlink" Id="rId115" Target="https://doi.org/10.1111/ele.12002" TargetMode="External" /><Relationship Type="http://schemas.openxmlformats.org/officeDocument/2006/relationships/hyperlink" Id="rId99" Target="https://doi.org/10.1111/ele.70146" TargetMode="External" /><Relationship Type="http://schemas.openxmlformats.org/officeDocument/2006/relationships/hyperlink" Id="rId54" Target="https://doi.org/10.1111/ele.70161" TargetMode="External" /><Relationship Type="http://schemas.openxmlformats.org/officeDocument/2006/relationships/hyperlink" Id="rId89" Target="https://doi.org/10.1111/gcb.70061" TargetMode="External" /><Relationship Type="http://schemas.openxmlformats.org/officeDocument/2006/relationships/hyperlink" Id="rId135" Target="https://doi.org/10.1111/geb.70113" TargetMode="External" /><Relationship Type="http://schemas.openxmlformats.org/officeDocument/2006/relationships/hyperlink" Id="rId157" Target="https://doi.org/10.1111/j.1365-2656.2008.01362.x" TargetMode="External" /><Relationship Type="http://schemas.openxmlformats.org/officeDocument/2006/relationships/hyperlink" Id="rId149" Target="https://doi.org/10.1111/j.1461-0248.2008.01250.x" TargetMode="External" /><Relationship Type="http://schemas.openxmlformats.org/officeDocument/2006/relationships/hyperlink" Id="rId52" Target="https://doi.org/10.1111/j.1475-4983.2006.00611.x" TargetMode="External" /><Relationship Type="http://schemas.openxmlformats.org/officeDocument/2006/relationships/hyperlink" Id="rId113" Target="https://doi.org/10.1111/jbi.14127" TargetMode="External" /><Relationship Type="http://schemas.openxmlformats.org/officeDocument/2006/relationships/hyperlink" Id="rId145" Target="https://doi.org/10.1111/jbi.14734" TargetMode="External" /><Relationship Type="http://schemas.openxmlformats.org/officeDocument/2006/relationships/hyperlink" Id="rId121"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48" Target="https://doi.org/10.1126/science.1156269" TargetMode="External" /><Relationship Type="http://schemas.openxmlformats.org/officeDocument/2006/relationships/hyperlink" Id="rId103"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97" Target="https://doi.org/10.1130/0091-7613(1995)023&lt;0495:ejmeag&gt;2.3.co;2" TargetMode="External" /><Relationship Type="http://schemas.openxmlformats.org/officeDocument/2006/relationships/hyperlink" Id="rId56" Target="https://doi.org/10.1137/141000671" TargetMode="External" /><Relationship Type="http://schemas.openxmlformats.org/officeDocument/2006/relationships/hyperlink" Id="rId155" Target="https://doi.org/10.1140/epjb/e2004-00122-1" TargetMode="External" /><Relationship Type="http://schemas.openxmlformats.org/officeDocument/2006/relationships/hyperlink" Id="rId60" Target="https://doi.org/10.1144/0016-76492008-0831" TargetMode="External" /><Relationship Type="http://schemas.openxmlformats.org/officeDocument/2006/relationships/hyperlink" Id="rId87" Target="https://doi.org/10.1146/annurev-ecolsys-012220-120819" TargetMode="External" /><Relationship Type="http://schemas.openxmlformats.org/officeDocument/2006/relationships/hyperlink" Id="rId151" Target="https://doi.org/10.1146/annurev-ecolsys-110316-022821" TargetMode="External" /><Relationship Type="http://schemas.openxmlformats.org/officeDocument/2006/relationships/hyperlink" Id="rId71" Target="https://doi.org/10.1371/journal.pbio.0060102" TargetMode="External" /><Relationship Type="http://schemas.openxmlformats.org/officeDocument/2006/relationships/hyperlink" Id="rId101" Target="https://doi.org/10.1371/journal.pcbi.1007076" TargetMode="External" /><Relationship Type="http://schemas.openxmlformats.org/officeDocument/2006/relationships/hyperlink" Id="rId58" Target="https://doi.org/10.1890/0012-9658(2006)87[2411:CBRINF]2.0.CO;2" TargetMode="External" /><Relationship Type="http://schemas.openxmlformats.org/officeDocument/2006/relationships/hyperlink" Id="rId143"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93" Target="https://doi.org/10.64898/2026.02.24.707709" TargetMode="External" /><Relationship Type="http://schemas.openxmlformats.org/officeDocument/2006/relationships/hyperlink" Id="rId119" Target="https://doi.org/10.7717/peerj.251" TargetMode="External" /><Relationship Type="http://schemas.openxmlformats.org/officeDocument/2006/relationships/hyperlink" Id="rId123" Target="https://www.R-project.org/" TargetMode="External" /><Relationship Type="http://schemas.openxmlformats.org/officeDocument/2006/relationships/hyperlink" Id="rId127"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7" Target="https://doi.org/10" TargetMode="External" /><Relationship Type="http://schemas.openxmlformats.org/officeDocument/2006/relationships/hyperlink" Id="rId62" Target="https://doi.org/10.1016/j.baae.2011.09.008" TargetMode="External" /><Relationship Type="http://schemas.openxmlformats.org/officeDocument/2006/relationships/hyperlink" Id="rId95" Target="https://doi.org/10.1016/j.earscirev.2024.104946" TargetMode="External" /><Relationship Type="http://schemas.openxmlformats.org/officeDocument/2006/relationships/hyperlink" Id="rId129" Target="https://doi.org/10.1016/j.ecoinf.2025.103183" TargetMode="External" /><Relationship Type="http://schemas.openxmlformats.org/officeDocument/2006/relationships/hyperlink" Id="rId109" Target="https://doi.org/10.1016/j.jtbi.2011.03.019" TargetMode="External" /><Relationship Type="http://schemas.openxmlformats.org/officeDocument/2006/relationships/hyperlink" Id="rId83" Target="https://doi.org/10.1016/j.tree.2010.03.002" TargetMode="External" /><Relationship Type="http://schemas.openxmlformats.org/officeDocument/2006/relationships/hyperlink" Id="rId105" Target="https://doi.org/10.1016/j.tree.2015.03.014" TargetMode="External" /><Relationship Type="http://schemas.openxmlformats.org/officeDocument/2006/relationships/hyperlink" Id="rId153" Target="https://doi.org/10.1038/35004572" TargetMode="External" /><Relationship Type="http://schemas.openxmlformats.org/officeDocument/2006/relationships/hyperlink" Id="rId50" Target="https://doi.org/10.1038/nature10832" TargetMode="External" /><Relationship Type="http://schemas.openxmlformats.org/officeDocument/2006/relationships/hyperlink" Id="rId131" Target="https://doi.org/10.1038/ncomms12718" TargetMode="External" /><Relationship Type="http://schemas.openxmlformats.org/officeDocument/2006/relationships/hyperlink" Id="rId66"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111" Target="https://doi.org/10.1073/pnas.0710672105" TargetMode="External" /><Relationship Type="http://schemas.openxmlformats.org/officeDocument/2006/relationships/hyperlink" Id="rId159" Target="https://doi.org/10.1073/pnas.1408471111" TargetMode="External" /><Relationship Type="http://schemas.openxmlformats.org/officeDocument/2006/relationships/hyperlink" Id="rId125" Target="https://doi.org/10.1086/653667" TargetMode="External" /><Relationship Type="http://schemas.openxmlformats.org/officeDocument/2006/relationships/hyperlink" Id="rId139"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141" Target="https://doi.org/10.1098/rstb.2021.0063" TargetMode="External" /><Relationship Type="http://schemas.openxmlformats.org/officeDocument/2006/relationships/hyperlink" Id="rId133" Target="https://doi.org/10.1101/2024.01.30.578036" TargetMode="External" /><Relationship Type="http://schemas.openxmlformats.org/officeDocument/2006/relationships/hyperlink" Id="rId147" Target="https://doi.org/10.1111/1365-2435.12710" TargetMode="External" /><Relationship Type="http://schemas.openxmlformats.org/officeDocument/2006/relationships/hyperlink" Id="rId91" Target="https://doi.org/10.1111/1365-2435.12763" TargetMode="External" /><Relationship Type="http://schemas.openxmlformats.org/officeDocument/2006/relationships/hyperlink" Id="rId137" Target="https://doi.org/10.1111/1365-2656.12949" TargetMode="External" /><Relationship Type="http://schemas.openxmlformats.org/officeDocument/2006/relationships/hyperlink" Id="rId79" Target="https://doi.org/10.1111/2041-210X.14212" TargetMode="External" /><Relationship Type="http://schemas.openxmlformats.org/officeDocument/2006/relationships/hyperlink" Id="rId107" Target="https://doi.org/10.1111/brv.12366" TargetMode="External" /><Relationship Type="http://schemas.openxmlformats.org/officeDocument/2006/relationships/hyperlink" Id="rId64" Target="https://doi.org/10.1111/brv.12433" TargetMode="External" /><Relationship Type="http://schemas.openxmlformats.org/officeDocument/2006/relationships/hyperlink" Id="rId85" Target="https://doi.org/10.1111/ecog.04006" TargetMode="External" /><Relationship Type="http://schemas.openxmlformats.org/officeDocument/2006/relationships/hyperlink" Id="rId115" Target="https://doi.org/10.1111/ele.12002" TargetMode="External" /><Relationship Type="http://schemas.openxmlformats.org/officeDocument/2006/relationships/hyperlink" Id="rId99" Target="https://doi.org/10.1111/ele.70146" TargetMode="External" /><Relationship Type="http://schemas.openxmlformats.org/officeDocument/2006/relationships/hyperlink" Id="rId54" Target="https://doi.org/10.1111/ele.70161" TargetMode="External" /><Relationship Type="http://schemas.openxmlformats.org/officeDocument/2006/relationships/hyperlink" Id="rId89" Target="https://doi.org/10.1111/gcb.70061" TargetMode="External" /><Relationship Type="http://schemas.openxmlformats.org/officeDocument/2006/relationships/hyperlink" Id="rId135" Target="https://doi.org/10.1111/geb.70113" TargetMode="External" /><Relationship Type="http://schemas.openxmlformats.org/officeDocument/2006/relationships/hyperlink" Id="rId157" Target="https://doi.org/10.1111/j.1365-2656.2008.01362.x" TargetMode="External" /><Relationship Type="http://schemas.openxmlformats.org/officeDocument/2006/relationships/hyperlink" Id="rId149" Target="https://doi.org/10.1111/j.1461-0248.2008.01250.x" TargetMode="External" /><Relationship Type="http://schemas.openxmlformats.org/officeDocument/2006/relationships/hyperlink" Id="rId52" Target="https://doi.org/10.1111/j.1475-4983.2006.00611.x" TargetMode="External" /><Relationship Type="http://schemas.openxmlformats.org/officeDocument/2006/relationships/hyperlink" Id="rId113" Target="https://doi.org/10.1111/jbi.14127" TargetMode="External" /><Relationship Type="http://schemas.openxmlformats.org/officeDocument/2006/relationships/hyperlink" Id="rId145" Target="https://doi.org/10.1111/jbi.14734" TargetMode="External" /><Relationship Type="http://schemas.openxmlformats.org/officeDocument/2006/relationships/hyperlink" Id="rId121"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48" Target="https://doi.org/10.1126/science.1156269" TargetMode="External" /><Relationship Type="http://schemas.openxmlformats.org/officeDocument/2006/relationships/hyperlink" Id="rId103"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97" Target="https://doi.org/10.1130/0091-7613(1995)023&lt;0495:ejmeag&gt;2.3.co;2" TargetMode="External" /><Relationship Type="http://schemas.openxmlformats.org/officeDocument/2006/relationships/hyperlink" Id="rId56" Target="https://doi.org/10.1137/141000671" TargetMode="External" /><Relationship Type="http://schemas.openxmlformats.org/officeDocument/2006/relationships/hyperlink" Id="rId155" Target="https://doi.org/10.1140/epjb/e2004-00122-1" TargetMode="External" /><Relationship Type="http://schemas.openxmlformats.org/officeDocument/2006/relationships/hyperlink" Id="rId60" Target="https://doi.org/10.1144/0016-76492008-0831" TargetMode="External" /><Relationship Type="http://schemas.openxmlformats.org/officeDocument/2006/relationships/hyperlink" Id="rId87" Target="https://doi.org/10.1146/annurev-ecolsys-012220-120819" TargetMode="External" /><Relationship Type="http://schemas.openxmlformats.org/officeDocument/2006/relationships/hyperlink" Id="rId151" Target="https://doi.org/10.1146/annurev-ecolsys-110316-022821" TargetMode="External" /><Relationship Type="http://schemas.openxmlformats.org/officeDocument/2006/relationships/hyperlink" Id="rId71" Target="https://doi.org/10.1371/journal.pbio.0060102" TargetMode="External" /><Relationship Type="http://schemas.openxmlformats.org/officeDocument/2006/relationships/hyperlink" Id="rId101" Target="https://doi.org/10.1371/journal.pcbi.1007076" TargetMode="External" /><Relationship Type="http://schemas.openxmlformats.org/officeDocument/2006/relationships/hyperlink" Id="rId58" Target="https://doi.org/10.1890/0012-9658(2006)87[2411:CBRINF]2.0.CO;2" TargetMode="External" /><Relationship Type="http://schemas.openxmlformats.org/officeDocument/2006/relationships/hyperlink" Id="rId143"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93" Target="https://doi.org/10.64898/2026.02.24.707709" TargetMode="External" /><Relationship Type="http://schemas.openxmlformats.org/officeDocument/2006/relationships/hyperlink" Id="rId119" Target="https://doi.org/10.7717/peerj.251" TargetMode="External" /><Relationship Type="http://schemas.openxmlformats.org/officeDocument/2006/relationships/hyperlink" Id="rId123" Target="https://www.R-project.org/" TargetMode="External" /><Relationship Type="http://schemas.openxmlformats.org/officeDocument/2006/relationships/hyperlink" Id="rId127"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Pincelli M. Hull; Crispin T.S. Little; Catalina Pimiento; Andy Ridgwell; Andrew P. Beckerman; Alexander Dunhill</dc:creator>
  <cp:keywords>Ecological networks, Biotic interactions, Community assembly, Environmental gradients, Interaction turnover, Trophic organisation, Ecosystem resilience, Macroecology</cp:keywords>
  <dcterms:created xsi:type="dcterms:W3CDTF">2026-05-28T11:30:27Z</dcterms:created>
  <dcterms:modified xsi:type="dcterms:W3CDTF">2026-05-28T11:30:27Z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https://www.zotero.org/styles/global-ecology-and-biogeography</vt:lpwstr>
  </property>
  <property fmtid="{D5CDD505-2E9C-101B-9397-08002B2CF9AE}" pid="11" name="date">
    <vt:lpwstr>2026-05-28</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