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9.png" ContentType="image/png"/>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structure conditions ecological inference in food web reconstruction</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2026-02-17</w:t>
      </w:r>
    </w:p>
    <w:p>
      <w:pPr>
        <w:pStyle w:val="AbstractTitle"/>
      </w:pPr>
      <w:r>
        <w:t xml:space="preserve">Abstract</w:t>
      </w:r>
    </w:p>
    <w:p>
      <w:pPr>
        <w:pStyle w:val="Abstract"/>
      </w:pPr>
      <w:r>
        <w:t xml:space="preserve">Aim</w:t>
      </w:r>
    </w:p>
    <w:p>
      <w:pPr>
        <w:pStyle w:val="Abstract"/>
      </w:pPr>
      <w:r>
        <w:t xml:space="preserve">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upper Pliensbachian–upper Toarcian, ~183 Ma).</w:t>
      </w:r>
    </w:p>
    <w:p>
      <w:pPr>
        <w:pStyle w:val="Abstract"/>
      </w:pPr>
      <w:r>
        <w:t xml:space="preserve">Major taxa studied</w:t>
      </w:r>
    </w:p>
    <w:p>
      <w:pPr>
        <w:pStyle w:val="Abstract"/>
      </w:pPr>
      <w:r>
        <w:t xml:space="preserve">Marine animal communities.</w:t>
      </w:r>
    </w:p>
    <w:p>
      <w:pPr>
        <w:pStyle w:val="Abstract"/>
      </w:pPr>
      <w:r>
        <w:t xml:space="preserve">Methods</w:t>
      </w:r>
    </w:p>
    <w:p>
      <w:pPr>
        <w:pStyle w:val="Abstract"/>
      </w:pPr>
      <w:r>
        <w:t xml:space="preserve">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w:t>
      </w:r>
    </w:p>
    <w:p>
      <w:pPr>
        <w:pStyle w:val="Abstract"/>
      </w:pPr>
      <w:r>
        <w:t xml:space="preserve">Results</w:t>
      </w:r>
    </w:p>
    <w:p>
      <w:pPr>
        <w:pStyle w:val="Abstract"/>
      </w:pPr>
      <w:r>
        <w:t xml:space="preserve">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 et al.,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(Carstensen et al., 2014; Gravel et al., 2019; Poisot et al., 2015; Trøjelsgaard &amp; Olesen, 2016; Tylianakis &amp; Morris, 2017)</w:t>
      </w:r>
      <w:r>
        <w:t xml:space="preserve">. As a result, ecological networks now play a central role in comparative analyses spanning latitudinal gradients, disturbance regimes, and deep-time environmental transitions</w:t>
      </w:r>
      <w:r>
        <w:t xml:space="preserve"> </w:t>
      </w:r>
      <w:r>
        <w:t xml:space="preserve">(Dunhill et al., 2024; Hao et al., 2025; Michalska-Smith &amp; Allesina, 2019; Poisot &amp; Gravel, 2014; Roopnarine, 2006)</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 et al., 2016; Jordano, 2016)</w:t>
      </w:r>
      <w:r>
        <w:t xml:space="preserve">.</w:t>
      </w:r>
    </w:p>
    <w:p>
      <w:pPr>
        <w:pStyle w:val="BodyText"/>
      </w:pPr>
      <w:r>
        <w:t xml:space="preserve">Yet most ecological networks are not fully observed (even in contemporary systems) and interaction data are incomplete and sampling is uneven across historical, biogeographic, and deep-time contexts</w:t>
      </w:r>
      <w:r>
        <w:t xml:space="preserve"> </w:t>
      </w:r>
      <w:r>
        <w:t xml:space="preserve">(Catchen et al., 2023; Poisot et al., 2021; Sandra et al., 2025)</w:t>
      </w:r>
      <w:r>
        <w:t xml:space="preserve">. Interactions must often be inferred indirectly from traits, phylogeny, body size, co-occurrence, or theoretical constraints</w:t>
      </w:r>
      <w:r>
        <w:t xml:space="preserve"> </w:t>
      </w:r>
      <w:r>
        <w:t xml:space="preserve">(Morales-Castilla et al., 2015; Strydom et al.,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(Gauzens et al., 2025; Guimarães, 2020; Petchey et al., 2011; Strydom et al., 2026)</w:t>
      </w:r>
      <w:r>
        <w:t xml:space="preserve">. If alternative reconstruction models systematically generate different trophic configurations, then comparative analyses risk conflating ecological differences among communities with artefacts introduced by modelling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Delmas et al., 2018; Poisot et al., 2015)</w:t>
      </w:r>
      <w:r>
        <w:t xml:space="preserve">. If reconstruction models encode distinct structural priors over interaction topology, then differences among communities may reflect modelling assumptions rather than ecological processes. We therefore test whether macroecological inference derived from ecological networks is robust to variation in reconstruction framework, asking which aspects of network-based inference are stable across plausible representations of interaction structure and which are intrinsically model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(Dunhill et al., 2024; J. A. Dunne et al., 2008; J. A. Dunne et al., 2014; Roopnarine, 2006)</w:t>
      </w:r>
      <w:r>
        <w:t xml:space="preserve">, rendering modelling assumptions transparent. We re-evaluate inferences made by</w:t>
      </w:r>
      <w:r>
        <w:t xml:space="preserve"> </w:t>
      </w:r>
      <w:r>
        <w:t xml:space="preserve">Dunhill et al. (2024)</w:t>
      </w:r>
      <w:r>
        <w:t xml:space="preserve"> </w:t>
      </w:r>
      <w:r>
        <w:t xml:space="preserve">on community structure and extinction dynamics during the early Toarcian extinction event (~183 Ma), a volcanic-driven hyperthermal and marine crisis in the Early Jurassic. Using four successive communities drawn from an identical taxon pool, we reconstruct ecological networks under six contrasting model classes spanning feasible, realised, and structural representations. For each reconstruction framework, we quantify emergent topology across scales, measure interaction turnover, and simulate disturbance-driven collapse. By holding species composition constant while varying structural priors, this design isolates the influence of model structure on inferred food web organisation and extinction dynamics, allowing us to distinguish ecological signals that are robust from those that are reconstruction contingent.</w:t>
      </w:r>
    </w:p>
    <w:bookmarkEnd w:id="9"/>
    <w:bookmarkStart w:id="18"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This interval encompasses a major volcanic-driven hyperthermal and marine extinction event. To capture network dynamics across this transition, we defined four successive paleo-communities: Pre-extinction (Pliensbachian), Post-extinction (Lower Toarcian), Early recovery, and Late recovery (Middle/Upper Toarcian). Each taxon was characterized using the Bambach ecospace framework</w:t>
      </w:r>
      <w:r>
        <w:t xml:space="preserve"> </w:t>
      </w:r>
      <w:r>
        <w:t xml:space="preserve">(Bambach et al., 2007)</w:t>
      </w:r>
      <w:r>
        <w:t xml:space="preserve">, coding for tiering, motility, and feeding mode as per</w:t>
      </w:r>
      <w:r>
        <w:t xml:space="preserve"> </w:t>
      </w:r>
      <w:r>
        <w:t xml:space="preserve">Dunhill et al. (2024)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By restricting our analysis to a single basin with consistent lithofacies, we controlled for biogeographic noise, ensuring that structural shifts across the four time-bins reflect localised ecological responses to environmental stress rather than sampling or facies bias.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approaches currently operate within the feasibility space</w:t>
      </w:r>
      <w:r>
        <w:t xml:space="preserve"> </w:t>
      </w:r>
      <w:r>
        <w:t xml:space="preserve">(</w:t>
      </w:r>
      <w:r>
        <w:rPr>
          <w:i/>
          <w:iCs/>
        </w:rPr>
        <w:t xml:space="preserve">e.g.,</w:t>
      </w:r>
      <w:r>
        <w:t xml:space="preserve"> </w:t>
      </w:r>
      <w:r>
        <w:t xml:space="preserve">Shaw et al., 2024; Fricke et al., 2022; Roopnarine, 2006)</w:t>
      </w:r>
      <w:r>
        <w:t xml:space="preserve">. Although well suited for reconstructing feasible interactions, these methods represent only a subset of the broader spectrum of network construction approaches. Here, we present a suite of models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fossil data. For example, some tools require quantitative estimates of body size, which must often be inferred from size classes or functional morphology in the fossil record. Structural models, such as the niche model, rely only on species richness and estimates/specification of connectance, but their species-agnostic nature limits their applicability to trait-based or diet-specific questions, although they do still accurately recover network structure</w:t>
      </w:r>
      <w:r>
        <w:t xml:space="preserve"> </w:t>
      </w:r>
      <w:r>
        <w:t xml:space="preserve">(Stouffer et al., 2005)</w:t>
      </w:r>
      <w:r>
        <w:t xml:space="preserve"> </w:t>
      </w:r>
      <w:r>
        <w:t xml:space="preserve">. Mechanistic approaches, by contrast, depend on accurate assignment of feeding traits or robust phylogenetic support. Recognizing how these methodological requirements intersect with the limits of fossil evidence is essential for selecting an appropriate modelling framework.</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(feasibility,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 family</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models (ADBM, ATN, Body-size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 allometric diet breadth (ADBM), allometric trophic network (ATN), and Body-size ratio models (realised network); and a paleo food web inference model (PFIM; feasibility web). Expanded descriptions of model assumptions, parameterisation, and link-generation rules are provided in Supplementary Material S1. For each community, 100 networks were generated per model (n = 2400) to capture stochastic variation in link assignment. Where models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parameterized using connectance values drawn from an empirically realistic range (0.07 – 0.34), with species richness held constant. Identical parameter draws were applied across comparable models within each replicate to ensure comparability. For the Body-size ratio model, we followed the approach of</w:t>
      </w:r>
      <w:r>
        <w:t xml:space="preserve"> </w:t>
      </w:r>
      <w:r>
        <w:t xml:space="preserve">Yeakel et al. (2014)</w:t>
      </w:r>
      <w:r>
        <w:t xml:space="preserve"> </w:t>
      </w:r>
      <w:r>
        <w:t xml:space="preserve">and excluded latent trait terms as opposed fitting the full model, which introduces additional inference and assumptions.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reconstruction approaches were assessed using a multivariate analysis of variance (MANOVA), with model identity as a fixed factor and the full set of network metrics as response variables. Pairwise interaction turnover was quantified using link‑based beta diversity, which measures dissimilarity in the identity of trophic links between networks, capturing differences due to species turnover or changes in interactions among shared species</w:t>
      </w:r>
      <w:r>
        <w:t xml:space="preserve"> </w:t>
      </w:r>
      <w:r>
        <w:t xml:space="preserve">(Poisot et al., 2012)</w:t>
      </w:r>
      <w:r>
        <w:t xml:space="preserve">.</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 (for maths), can make footnotes probs</w:t>
                  </w:r>
                </w:p>
              </w:tc>
            </w:tr>
            <w:tr>
              <w:tc>
                <w:tcPr/>
                <w:p>
                  <w:pPr>
                    <w:pStyle w:val="Compact"/>
                    <w:jc w:val="center"/>
                  </w:pPr>
                  <w:r>
                    <w:t xml:space="preserve">Richness</w:t>
                  </w:r>
                </w:p>
              </w:tc>
              <w:tc>
                <w:tcPr/>
                <w:p>
                  <w:pPr>
                    <w:pStyle w:val="Compact"/>
                    <w:jc w:val="center"/>
                  </w:pPr>
                  <w:r>
                    <w:t xml:space="preserve">Number of nodes in the network</w:t>
                  </w:r>
                </w:p>
              </w:tc>
              <w:tc>
                <w:tcPr/>
                <w:p>
                  <w:pPr>
                    <w:pStyle w:val="Compact"/>
                    <w:jc w:val="center"/>
                  </w:pPr>
                  <w:r>
                    <w:t xml:space="preserve">Macro</w:t>
                  </w:r>
                </w:p>
              </w:tc>
              <w:tc>
                <w:tcPr/>
                <w:p>
                  <w:pPr>
                    <w:pStyle w:val="Compact"/>
                  </w:pPr>
                </w:p>
              </w:tc>
            </w:tr>
            <w:tr>
              <w:tc>
                <w:tcPr/>
                <w:p>
                  <w:pPr>
                    <w:pStyle w:val="Compact"/>
                    <w:jc w:val="center"/>
                  </w:pPr>
                  <w:r>
                    <w:t xml:space="preserve">Links</w:t>
                  </w:r>
                </w:p>
              </w:tc>
              <w:tc>
                <w:tcPr/>
                <w:p>
                  <w:pPr>
                    <w:pStyle w:val="Compact"/>
                    <w:jc w:val="center"/>
                  </w:pPr>
                  <w:r>
                    <w:t xml:space="preserve">Normalized standard deviation of links (number of consumers plus resources per taxon)</w:t>
                  </w:r>
                </w:p>
              </w:tc>
              <w:tc>
                <w:tcPr/>
                <w:p>
                  <w:pPr>
                    <w:pStyle w:val="Compact"/>
                    <w:jc w:val="center"/>
                  </w:pPr>
                  <w:r>
                    <w:t xml:space="preserve">Micro</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Normalized standard deviation of generality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Normalized standard deviation of vulnerability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t>
      </w:r>
      <w:r>
        <w:t xml:space="preserve">and using the pre-extinction and post-extinction networks, we simulated species loss under multiple extinction scenarios. We simulated species loss under multiple scenarios, including trait-based, network-position-based, and random removals, allowing cascading extinctions to propagate. Simulated outcomes were compared to observed or expected community states using mean absolute differences (MAD) and modified true skill statistics (TSS) at node and link levels. Kendall’s rank correlation coefficient was used to evaluate concordance in scenario rankings across reconstruction models, providing a measure of robustness in inferred community responses.</w:t>
      </w:r>
    </w:p>
    <w:bookmarkEnd w:id="17"/>
    <w:bookmarkEnd w:id="18"/>
    <w:bookmarkStart w:id="39" w:name="results"/>
    <w:p>
      <w:pPr>
        <w:pStyle w:val="Heading1"/>
      </w:pPr>
      <w:r>
        <w:t xml:space="preserve">3. Results</w:t>
      </w:r>
    </w:p>
    <w:p>
      <w:pPr>
        <w:pStyle w:val="FirstParagraph"/>
      </w:pPr>
      <w:r>
        <w:t xml:space="preserve">Across six network reconstruction approaches, inferred food web structure, species interactions, and extinction dynamics differed consistently. Multivariate analyses showed pronounced separation among models in network metric space. Reconstruction approach explained most of the variance in structural properties, leaving a distinct signature independent of community composition. Notably, agreement among models depended on scale - approaches that were statistically similar in multivariate structural space often diverged in inferred interactions or extinction dynamics. This demonstrates that structural similarity does not guarantee concordance in species-level diets or trophic roles. Model choice also substantially influenced inferred extinction dynamics. Temporal trajectories of network collapse, interaction loss, and motif reorganization differed among approaches. Although species-level extinction rankings were often broadly consistent, link-level outcomes and extinction inferences were highly sensitive to reconstruction assumptions. Together, these results show that ecological inferences drawn from paleo networks depend critically on the reconstruction framework employed. Importantly, agreement among models was not consistent across analytical scales - models that were statistically indistinguishable in multivariate structural space often diverged in inferred interactions or extinction dynamics. Together these results show that reconstruction approaches that appear similar when evaluated using global network metrics can yield fundamentally different ecological narratives when interrogated at the level of interactions and extinction dynamics.</w:t>
      </w:r>
    </w:p>
    <w:bookmarkStart w:id="29"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model choice systematically alters inferred food web topology. Canonical discriminant analysis identified two dominant axes of variation, explaining 86% of between-model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2" w:name="fig-structure"/>
          <w:p>
            <w:pPr>
              <w:pStyle w:val="Compact"/>
              <w:jc w:val="center"/>
            </w:pPr>
            <w:r>
              <w:drawing>
                <wp:inline>
                  <wp:extent cx="5334000" cy="4267199"/>
                  <wp:effectExtent b="0" l="0" r="0" t="0"/>
                  <wp:docPr descr="" title="" id="20" name="Picture"/>
                  <a:graphic>
                    <a:graphicData uri="http://schemas.openxmlformats.org/drawingml/2006/picture">
                      <pic:pic>
                        <pic:nvPicPr>
                          <pic:cNvPr descr="figures/MANOVA_lda.png" id="21" name="Picture"/>
                          <pic:cNvPicPr>
                            <a:picLocks noChangeArrowheads="1" noChangeAspect="1"/>
                          </pic:cNvPicPr>
                        </pic:nvPicPr>
                        <pic:blipFill>
                          <a:blip r:embed="rId19"/>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2"/>
        </w:tc>
      </w:tr>
    </w:tbl>
    <w:bookmarkStart w:id="23"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(R² = 0.795, p &lt; 0.001), whereas temporal turnover across extinction phases explained a comparatively small proportion of variance (R² = 0.064, p &lt; 0.001). The model × time interaction contributed a further 7.1% of variance (R² = 0.071, p &lt; 0.001), indicating limited but significant time-dependent divergence among reconstruction frameworks. Thus, differences among modelling approaches were more than an order of magnitude greater than structural differences associated with ecological turnover through the extinction sequence.</w:t>
      </w:r>
    </w:p>
    <w:p>
      <w:pPr>
        <w:pStyle w:val="BodyText"/>
      </w:pPr>
      <w:r>
        <w:t xml:space="preserve">To determine whether the dominance of reconstruction framework reflected absolute mean shifts among time bins, we repeated the analysis after centring network metrics within each extinction phase. This procedure removes between-phase differences while retaining within-phase structural variation. Even after temporal centring , reconstruction framework explained 84.8% of multivariate variance (R² = 0.848, p &lt; 0.001). These results demonstrate that the influence of structural priors is not driven by temporal mean differences, but reflects intrinsic divergence among reconstruction frameworks in how ecological interactions are organised.</w:t>
      </w:r>
    </w:p>
    <w:bookmarkEnd w:id="23"/>
    <w:bookmarkStart w:id="28" w:name="Xca278d7ce6c574c14aff7ca9b02b1cbc12fc1e8"/>
    <w:p>
      <w:pPr>
        <w:pStyle w:val="Heading3"/>
      </w:pPr>
      <w:r>
        <w:t xml:space="preserve">3.1.2 Inferred pairwise interactions vary widely among models</w:t>
      </w:r>
    </w:p>
    <w:p>
      <w:pPr>
        <w:pStyle w:val="FirstParagraph"/>
      </w:pPr>
      <w:r>
        <w:t xml:space="preserve">Despite some models showing similar global metrics, specific pairwise interactions often differed. Pairwise β-turnover revealed that certain model pairs shared very few links</w:t>
      </w:r>
      <w:r>
        <w:t xml:space="preserve"> </w:t>
      </w:r>
      <w:hyperlink w:anchor="fig-beta_div">
        <w:r>
          <w:rPr>
            <w:rStyle w:val="Hyperlink"/>
          </w:rPr>
          <w:t xml:space="preserve">Figure 2</w:t>
        </w:r>
      </w:hyperlink>
      <w:r>
        <w:t xml:space="preserve">. Size-based models (ADBM, ATN) were broadly similar due to shared reliance on body-size constraints, whereas the Body-size ratio model exhibited consistently higher differences to other models. PFIM showed intermediate overlap with theoretical models. These results demonstrate that agreement in global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27" w:name="fig-beta_div"/>
          <w:p>
            <w:pPr>
              <w:pStyle w:val="Compact"/>
              <w:jc w:val="center"/>
            </w:pPr>
            <w:r>
              <w:drawing>
                <wp:inline>
                  <wp:extent cx="5334000" cy="4667250"/>
                  <wp:effectExtent b="0" l="0" r="0" t="0"/>
                  <wp:docPr descr="" title="" id="25" name="Picture"/>
                  <a:graphic>
                    <a:graphicData uri="http://schemas.openxmlformats.org/drawingml/2006/picture">
                      <pic:pic>
                        <pic:nvPicPr>
                          <pic:cNvPr descr="figures/beta_div.png" id="26" name="Picture"/>
                          <pic:cNvPicPr>
                            <a:picLocks noChangeArrowheads="1" noChangeAspect="1"/>
                          </pic:cNvPicPr>
                        </pic:nvPicPr>
                        <pic:blipFill>
                          <a:blip r:embed="rId24"/>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Pairwise β-turnover in species interactions among four ecological network models (ADBM, ATN, Body-size ratio, and PFIM). Each cell represents the mean turnover value between a pair of models, with warmer colours indicating greater dissimilarity in inferred interactions. The diagonal is omitted. High turnover values (yellow) indicate strong disagreement in network structure between models, whereas lower values (blue–purple) indicate greater similarity.</w:t>
            </w:r>
          </w:p>
          <w:bookmarkEnd w:id="27"/>
        </w:tc>
      </w:tr>
    </w:tbl>
    <w:bookmarkEnd w:id="28"/>
    <w:bookmarkEnd w:id="29"/>
    <w:bookmarkStart w:id="38" w:name="X89fa4ae4a79b9f155d568a7de94120882524285"/>
    <w:p>
      <w:pPr>
        <w:pStyle w:val="Heading2"/>
      </w:pPr>
      <w:r>
        <w:t xml:space="preserve">3.2 Model choice influences inferred extinction dynamics</w:t>
      </w:r>
    </w:p>
    <w:p>
      <w:pPr>
        <w:pStyle w:val="FirstParagraph"/>
      </w:pPr>
      <w:r>
        <w:t xml:space="preserve">To quantify how network structure changed over time during extinction simulations and whether these dynamics differed among reconstruction models, we fit generalized additive models (GAMs) to time series of network-level metrics. GAMs capture non-linear temporal trajectories, allowing formal tests of whether the shape of these trajectories differs among models. These model-specific temporal trajectories are shown in</w:t>
      </w:r>
      <w:r>
        <w:t xml:space="preserve"> </w:t>
      </w:r>
      <w:hyperlink w:anchor="fig-gam">
        <w:r>
          <w:rPr>
            <w:rStyle w:val="Hyperlink"/>
          </w:rPr>
          <w:t xml:space="preserve">Figure 3</w:t>
        </w:r>
      </w:hyperlink>
      <w:r>
        <w:t xml:space="preserve">. For all metrics examined, the inclusion of model-specific smooth terms significantly improved model fit (ANOVA model comparison:</w:t>
      </w:r>
      <w:r>
        <w:t xml:space="preserve"> </w:t>
      </w:r>
      <m:oMath>
        <m:r>
          <m:t>p</m:t>
        </m:r>
      </m:oMath>
      <w:r>
        <w:t xml:space="preserve"> </w:t>
      </w:r>
      <w:r>
        <w:t xml:space="preserve">&lt; 0.001 for all metrics). Model-specific smooths differed not only in magnitude but also in the timing and abruptness of change, indicating distinct modes of collapse across reconstruction approaches (Tables S3–S4). Deterministic, data-driven approaches (PFIM) and allometric models (ADBM, ATN) exhibited highly non-linear trajectories, showing structural shifts in connectivity and motif frequency. In contrast, the Niche model produced the most consistent and gradual trajectories, effectively smoothing the perceived magnitude of structural change during community collapse. These results demonstrate that inferred pathways of collapse, trophic bottlenecks, and secondary extinctions are highly sensitive to model choice. Corresponding raw temporal trajectories are shown in Figure S2.</w:t>
      </w:r>
    </w:p>
    <w:tbl>
      <w:tblPr>
        <w:tblStyle w:val="Table"/>
        <w:tblW w:type="pct" w:w="5000"/>
        <w:tblLayout w:type="fixed"/>
        <w:tblLook w:firstRow="0" w:lastRow="0" w:firstColumn="0" w:lastColumn="0" w:noHBand="0" w:noVBand="0" w:val="0000"/>
      </w:tblPr>
      <w:tblGrid>
        <w:gridCol w:w="7920"/>
      </w:tblGrid>
      <w:tr>
        <w:tc>
          <w:tcPr/>
          <w:bookmarkStart w:id="33" w:name="fig-gam"/>
          <w:p>
            <w:pPr>
              <w:pStyle w:val="Compact"/>
              <w:jc w:val="center"/>
            </w:pPr>
            <w:r>
              <w:drawing>
                <wp:inline>
                  <wp:extent cx="5334000" cy="6934200"/>
                  <wp:effectExtent b="0" l="0" r="0" t="0"/>
                  <wp:docPr descr="" title="" id="31" name="Picture"/>
                  <a:graphic>
                    <a:graphicData uri="http://schemas.openxmlformats.org/drawingml/2006/picture">
                      <pic:pic>
                        <pic:nvPicPr>
                          <pic:cNvPr descr="figures/GAM_predictions.png" id="32" name="Picture"/>
                          <pic:cNvPicPr>
                            <a:picLocks noChangeArrowheads="1" noChangeAspect="1"/>
                          </pic:cNvPicPr>
                        </pic:nvPicPr>
                        <pic:blipFill>
                          <a:blip r:embed="rId30"/>
                          <a:stretch>
                            <a:fillRect/>
                          </a:stretch>
                        </pic:blipFill>
                        <pic:spPr bwMode="auto">
                          <a:xfrm>
                            <a:off x="0" y="0"/>
                            <a:ext cx="5334000" cy="6934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GAM-predicted trajectories of network structure during extinction simulations reveal pronounced differences in the timing and magnitude of change across reconstruction models. Lines show model-specific smooths and shaded areas indicate 95% confidence intervals. Deterministic approaches produce smoother, more consistent dynamics, whereas stochastic models exhibit greater variability, underscoring the sensitivity of inferred collapse pathways to reconstruction assumptions.</w:t>
            </w:r>
          </w:p>
          <w:bookmarkEnd w:id="33"/>
        </w:tc>
      </w:tr>
    </w:tbl>
    <w:p>
      <w:pPr>
        <w:pStyle w:val="BodyText"/>
      </w:pPr>
      <w:r>
        <w:t xml:space="preserve">To evaluate how model choice affects inferred extinction dynamics, we compared simulated post-extinction networks to observed networks using mean absolute differences (MAD) for network-level metrics and total sum-of-squares (TSS) for node- and link-level outcomes</w:t>
      </w:r>
      <w:r>
        <w:t xml:space="preserve">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0.13 across structural metrics), indicating broad agreement on the relative importance of extinction drivers despite substantial differences in reconstructed network structure. However, agreement within the allometric models differed from patterns observed for reconstructed network structure. Whereas earlier multivariate analyses showed strongest structural similarity between the ADBM and Body-size ratio models, extinction-driven network responses aligned most closely between the ADBM and ATN models (mean</w:t>
      </w:r>
      <w:r>
        <w:t xml:space="preserve"> </w:t>
      </w:r>
      <m:oMath>
        <m:r>
          <m:t>τ</m:t>
        </m:r>
      </m:oMath>
      <w:r>
        <w:t xml:space="preserve"> </w:t>
      </w:r>
      <w:r>
        <w:t xml:space="preserve">≈ 0.67 across structural metrics), with little correspondence between ADBM and Body-size ratio model outcomes (mean</w:t>
      </w:r>
      <w:r>
        <w:t xml:space="preserve"> </w:t>
      </w:r>
      <m:oMath>
        <m:r>
          <m:t>τ</m:t>
        </m:r>
      </m:oMath>
      <w:r>
        <w:t xml:space="preserve"> </w:t>
      </w:r>
      <w:r>
        <w:t xml:space="preserve">≈ 0.05). This reversal relative to structural similarity analyses demonstrates that model concordance is context dependent, with emergent topology and extinction dynamics emphasizing different aspects of model assumptions. Node-level TSS rankings were similarly consistent across models (</w:t>
      </w:r>
      <m:oMath>
        <m:r>
          <m:t>τ</m:t>
        </m:r>
      </m:oMath>
      <w:r>
        <w:t xml:space="preserve"> </w:t>
      </w:r>
      <w:r>
        <w:t xml:space="preserve">= 0.26–0.90), reflecting broadly comparable species removal sequences. In contrast, link-level outcomes were far more variable (</w:t>
      </w:r>
      <m:oMath>
        <m:r>
          <m:t>τ</m:t>
        </m:r>
      </m:oMath>
      <w:r>
        <w:t xml:space="preserve"> </w:t>
      </w:r>
      <w:r>
        <w:t xml:space="preserve">= −0.48–0.29), highlighting that inferences about which interactions are lost, retained, or re-established during collapse and recovery are highly model contingent. Together, these results suggest that while alternative models converge on similar species-level extinction patterns, the inferred pathways of interaction loss and cascading dynamics depend strongly on both reconstruction approach.</w:t>
      </w:r>
    </w:p>
    <w:tbl>
      <w:tblPr>
        <w:tblStyle w:val="Table"/>
        <w:tblW w:type="pct" w:w="5000"/>
        <w:tblLayout w:type="fixed"/>
        <w:tblLook w:firstRow="0" w:lastRow="0" w:firstColumn="0" w:lastColumn="0" w:noHBand="0" w:noVBand="0" w:val="0000"/>
      </w:tblPr>
      <w:tblGrid>
        <w:gridCol w:w="7920"/>
      </w:tblGrid>
      <w:tr>
        <w:tc>
          <w:tcPr/>
          <w:bookmarkStart w:id="37" w:name="fig-mad"/>
          <w:p>
            <w:pPr>
              <w:pStyle w:val="Compact"/>
              <w:jc w:val="center"/>
            </w:pPr>
            <w:r>
              <w:drawing>
                <wp:inline>
                  <wp:extent cx="5334000" cy="7467600"/>
                  <wp:effectExtent b="0" l="0" r="0" t="0"/>
                  <wp:docPr descr="" title="" id="35" name="Picture"/>
                  <a:graphic>
                    <a:graphicData uri="http://schemas.openxmlformats.org/drawingml/2006/picture">
                      <pic:pic>
                        <pic:nvPicPr>
                          <pic:cNvPr descr="figures/kendal_tau.png" id="36" name="Picture"/>
                          <pic:cNvPicPr>
                            <a:picLocks noChangeArrowheads="1" noChangeAspect="1"/>
                          </pic:cNvPicPr>
                        </pic:nvPicPr>
                        <pic:blipFill>
                          <a:blip r:embed="rId34"/>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 Panels illustrate how consistently different modelling approaches evaluate the relative realism of extinction scenarios across multiple network properties.</w:t>
            </w:r>
          </w:p>
          <w:bookmarkEnd w:id="37"/>
        </w:tc>
      </w:tr>
    </w:tbl>
    <w:bookmarkEnd w:id="38"/>
    <w:bookmarkEnd w:id="39"/>
    <w:bookmarkStart w:id="44" w:name="discussion"/>
    <w:p>
      <w:pPr>
        <w:pStyle w:val="Heading1"/>
      </w:pPr>
      <w:r>
        <w:t xml:space="preserve">4. Discussion</w:t>
      </w:r>
    </w:p>
    <w:bookmarkStart w:id="40"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 Our results challenge this assumption. Across an identical species pool, reconstruction framework explained the majority of variance in network topology, generating distinct structural signatures independent of community composition. Although some model classes converged on similar global metrics, pairwise interaction turnover revealed substantial divergence in inferred trophic links. Structural similarity at the level of connectance or trophic height therefore does not guarantee concordance in species roles or interaction architecture.</w:t>
      </w:r>
    </w:p>
    <w:p>
      <w:pPr>
        <w:pStyle w:val="BodyText"/>
      </w:pPr>
      <w:r>
        <w:t xml:space="preserve">Reconstruction framework explained the majority of variance in inferred food web topology, far outweighing the influence of temporal turnover across extinction phases. These patterns demonstrate that the divergence among reconstruction approaches reflects intrinsic differences in how models organise interactions, not temporal shifts in network structure. In other words, different reconstruction approaches impose distinct structural priors on ecological organisation. These priors are not subtle - they propagate into emergent topology, species roles, and dynamical predictions. Network structure is therefore not solely a property of ecological communities; it is jointly determined by ecological data, modelling assumptions, and level of organisation</w:t>
      </w:r>
      <w:r>
        <w:t xml:space="preserve"> </w:t>
      </w:r>
      <w:r>
        <w:t xml:space="preserve">(Gauzens et al., 2025; Guimarães, 2020; Pichler &amp; Hartig, 2023; Strydom et al., 2021; Strydom et al., 2026)</w:t>
      </w:r>
      <w:r>
        <w:t xml:space="preserve">.</w:t>
      </w:r>
    </w:p>
    <w:p>
      <w:pPr>
        <w:pStyle w:val="BodyText"/>
      </w:pPr>
      <w:r>
        <w:t xml:space="preserve">This has direct implications for the interpretation of comparative network studies. Feasible, realised, and structural models encode different assumptions about constraint, optimisation, and topology, and these assumptions propagate into emergent metrics and dynamical predictions</w:t>
      </w:r>
      <w:r>
        <w:t xml:space="preserve"> </w:t>
      </w:r>
      <w:r>
        <w:t xml:space="preserve">(Allesina &amp; Tang, 2012; J. Dunne et al., 2002; Michalska-Smith &amp; Allesina, 2019; Poisot &amp; Gravel, 2014; Solé &amp; Montoya, 2001)</w:t>
      </w:r>
      <w:r>
        <w:t xml:space="preserve">. When networks reconstructed under different model classes are compared across spatial gradients, disturbance regimes, or evolutionary transitions, part of the observed variation may derive from structural priors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shapes topology. Our findings indicate that these two questions cannot be separated.</w:t>
      </w:r>
    </w:p>
    <w:bookmarkEnd w:id="40"/>
    <w:bookmarkStart w:id="41"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analytical scales. Species-level extinction rankings were broadly consistent among model classes, whereas interaction-level outcomes and cascade trajectories were highly contingent on structural prior. The predominance of reconstruction framework over temporal turnover (~80% vs. 6% variance explained) illustrates why coarse-grained patterns like species-level extinction rankings are more robust. Model-imposed structure dominates the overall topology, leaving finer-scale interaction dynamics highly contingent on framework choice. This asymmetry reveals a scale-dependent pattern of robustness. Coarse-grained macroecological patterns (such as relative species vulnerability or overall collapse magnitude)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 the use of detailed interaction structure to diagnose mechanisms of stability and collapse</w:t>
      </w:r>
      <w:r>
        <w:t xml:space="preserve"> </w:t>
      </w:r>
      <w:r>
        <w:t xml:space="preserve">(</w:t>
      </w:r>
      <w:r>
        <w:rPr>
          <w:i/>
          <w:iCs/>
        </w:rPr>
        <w:t xml:space="preserve">e.g.,</w:t>
      </w:r>
      <w:r>
        <w:t xml:space="preserve"> </w:t>
      </w:r>
      <w:r>
        <w:t xml:space="preserve">Dunhill et al., 2024)</w:t>
      </w:r>
      <w:r>
        <w:t xml:space="preserve">. If interaction-level cascade pathways vary substantially across equally plausible reconstructions, then mechanistic narratives derived from a single inferred topology may overstate their precision</w:t>
      </w:r>
      <w:r>
        <w:t xml:space="preserve"> </w:t>
      </w:r>
      <w:r>
        <w:t xml:space="preserve">(Allesina &amp; Tang, 2012; Curtsdotter et al., 2011; J. Dunne et al., 2002)</w:t>
      </w:r>
      <w:r>
        <w:t xml:space="preserve">. The apparent determinism of extinction cascades or trophic bottlenecks may partly reflect model-imposed structure rather than ecological inevitability.</w:t>
      </w:r>
    </w:p>
    <w:p>
      <w:pPr>
        <w:pStyle w:val="BodyText"/>
      </w:pPr>
      <w:r>
        <w:t xml:space="preserve">For macroecology, this scale dependence clarifies where network-based inference is accurate. Aggregate properties may be comparatively robust to reconstruction assumptions, whereas conclusions about interaction turnover, motif reorganisation, or fine-scale trophic dynamics are intrinsically uncertain unless reconstruction uncertainty is explicitly incorporated.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 hypothesis-generating process in which each model encodes a distinct set of ecological assumptions. The inferred topology and dynamics of a food web therefore reflect not only ecological data, but the theoretical assumptions embedded in the reconstruction framework. Disagreement among models does not imply that any single approach is</w:t>
      </w:r>
      <w:r>
        <w:t xml:space="preserve"> </w:t>
      </w:r>
      <w:r>
        <w:t xml:space="preserve">‘wrong’</w:t>
      </w:r>
      <w:r>
        <w:t xml:space="preserve">, but rather that different models capture different facets of ecological reality</w:t>
      </w:r>
      <w:r>
        <w:t xml:space="preserve"> </w:t>
      </w:r>
      <w:r>
        <w:t xml:space="preserve">(Petchey et al., 2011; Stouffer, 2019)</w:t>
      </w:r>
      <w:r>
        <w:t xml:space="preserve">. Disagreement among models does not imply that any single approach is</w:t>
      </w:r>
      <w:r>
        <w:t xml:space="preserve"> </w:t>
      </w:r>
      <w:r>
        <w:t xml:space="preserve">‘incorrect’</w:t>
      </w:r>
      <w:r>
        <w:t xml:space="preserve">. Rather, different models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model selection as a technical convenience. Viewed through the lens of accuracy and precision, our results indicate that some network-based inferences are relatively robust across structural priors,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1"/>
    <w:bookmarkStart w:id="42"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 These studies frequently interpret variation in connectance, trophic height, interaction β-diversity, or robustness as indicators of ecological differentiation among regions or time intervals. Yet reconstruction frameworks often differ among systems due to variation in sampling intensity, trait resolution, or modelling preference. Our results show that such differences can systematically alter inferred topology and disturbance dynamics even when species composition is held constant.</w:t>
      </w:r>
    </w:p>
    <w:p>
      <w:pPr>
        <w:pStyle w:val="BodyText"/>
      </w:pPr>
      <w:r>
        <w:t xml:space="preserve">This finding has consequences for interaction biogeography. Apparent differences in network turnover across spatial gradients may reflect divergence in structural priors rather than genuine ecological reorganisation. Similarly, projected differences in vulnerability under climate change may depend on how realised interactions are modelled, not solely on community composition. Without explicit treatment of reconstruction assumptions, comparative network analyses risk conflating modelling artefact with macroecological process.</w:t>
      </w:r>
    </w:p>
    <w:p>
      <w:pPr>
        <w:pStyle w:val="BodyText"/>
      </w:pPr>
      <w:r>
        <w:t xml:space="preserve">If ecological networks are to function as reliable macroecological state variables, reconstruction framework must be treated as a formal component of hypothesis specification. Cross-system comparisons should standardise modelling approaches wherever possible, or explicitly evaluate sensitivity to alternative structural priors. Ensemble reconstruction—treating networks as distributions rather than single topologies—offers a principled pathway toward incorporating structural uncertainty into comparative synthesis.</w:t>
      </w:r>
    </w:p>
    <w:bookmarkEnd w:id="42"/>
    <w:bookmarkStart w:id="43"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model class represents a distinct hypothesis about how interactions are constrained—by trait compatibility, energetic optimisation, or topological regularity</w:t>
      </w:r>
      <w:r>
        <w:t xml:space="preserve"> </w:t>
      </w:r>
      <w:r>
        <w:t xml:space="preserve">(Petchey et al.,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structural priors as testable assumptions,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(Banville et al., 2025; Baskerville et al., 2011; Elmasri et al., 2020; Perez-Lamarque et al., 2026; Poisot et al., 2016)</w:t>
      </w:r>
      <w:r>
        <w:t xml:space="preserve">.</w:t>
      </w:r>
    </w:p>
    <w:bookmarkEnd w:id="43"/>
    <w:bookmarkEnd w:id="44"/>
    <w:bookmarkStart w:id="45"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structural priors systematically influence inferred food-web topology, interaction identity, and disturbance dynamics. Some coarse-grained patterns, such as relative species vulnerability, are comparatively robust across representations. In contrast, fine-scale interaction structure and cascade pathways are highly contingent on modelling assumptions. The reliability of network-based inference is therefore scale dependent.</w:t>
      </w:r>
    </w:p>
    <w:p>
      <w:pPr>
        <w:pStyle w:val="BodyText"/>
      </w:pPr>
      <w:r>
        <w:t xml:space="preserve">These results challenge the implicit assumption that reconstructed networks are structurally commensurable across systems. When reconstruction frameworks differ, variation in connectance, trophic organisation, robustness, or interaction turnover may reflect embedded modelling assumptions as much as ecological process. Network reconstruction should thus be treated as an explicit component of hypothesis specification in comparative macroecology and biogeography.</w:t>
      </w:r>
    </w:p>
    <w:p>
      <w:pPr>
        <w:pStyle w:val="BodyText"/>
      </w:pPr>
      <w:r>
        <w:t xml:space="preserve">No single model captures the full complexity of ecological organisation, but neither are alternative models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As ecological networks increasingly inform global change research, recognising structural priors as fundamental determinants of inference is critical for advancing food web ecology from descriptive reconstruction toward rigorous comparative synthesis.</w:t>
      </w:r>
    </w:p>
    <w:bookmarkEnd w:id="45"/>
    <w:bookmarkStart w:id="150" w:name="references"/>
    <w:p>
      <w:pPr>
        <w:pStyle w:val="Heading1"/>
      </w:pPr>
      <w:r>
        <w:t xml:space="preserve">References</w:t>
      </w:r>
    </w:p>
    <w:bookmarkStart w:id="149" w:name="refs"/>
    <w:bookmarkStart w:id="47"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6">
        <w:r>
          <w:rPr>
            <w:rStyle w:val="Hyperlink"/>
          </w:rPr>
          <w:t xml:space="preserve">https://doi.org/10.1038/nature10832</w:t>
        </w:r>
      </w:hyperlink>
    </w:p>
    <w:bookmarkEnd w:id="47"/>
    <w:bookmarkStart w:id="49"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48">
        <w:r>
          <w:rPr>
            <w:rStyle w:val="Hyperlink"/>
          </w:rPr>
          <w:t xml:space="preserve">https://doi.org/10.1111/j.1475-4983.2006.00611.x</w:t>
        </w:r>
      </w:hyperlink>
    </w:p>
    <w:bookmarkEnd w:id="49"/>
    <w:bookmarkStart w:id="51"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0">
        <w:r>
          <w:rPr>
            <w:rStyle w:val="Hyperlink"/>
          </w:rPr>
          <w:t xml:space="preserve">https://doi.org/10.1111/ele.70161</w:t>
        </w:r>
      </w:hyperlink>
    </w:p>
    <w:bookmarkEnd w:id="51"/>
    <w:bookmarkStart w:id="53"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2">
        <w:r>
          <w:rPr>
            <w:rStyle w:val="Hyperlink"/>
          </w:rPr>
          <w:t xml:space="preserve">https://doi.org/10.1371/journal.pcbi.1002321</w:t>
        </w:r>
      </w:hyperlink>
    </w:p>
    <w:bookmarkEnd w:id="53"/>
    <w:bookmarkStart w:id="55"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4">
        <w:r>
          <w:rPr>
            <w:rStyle w:val="Hyperlink"/>
          </w:rPr>
          <w:t xml:space="preserve">https://doi.org/10.1890/0012-9658(2006)87[2411:CBRINF]2.0.CO;2</w:t>
        </w:r>
      </w:hyperlink>
    </w:p>
    <w:bookmarkEnd w:id="55"/>
    <w:bookmarkStart w:id="57" w:name="ref-carstensen2014"/>
    <w:p>
      <w:pPr>
        <w:pStyle w:val="Bibliography"/>
      </w:pPr>
      <w:r>
        <w:t xml:space="preserve">Carstensen, D. W., Sabatino, M., Trøjelsgaard, K., &amp; Morellato, L. P. C. (2014). Beta diversity of plant-pollinator networks and the spatial turnover of pairwise interactions.</w:t>
      </w:r>
      <w:r>
        <w:t xml:space="preserve"> </w:t>
      </w:r>
      <w:r>
        <w:rPr>
          <w:i/>
          <w:iCs/>
        </w:rPr>
        <w:t xml:space="preserve">PLOS ONE</w:t>
      </w:r>
      <w:r>
        <w:t xml:space="preserve">,</w:t>
      </w:r>
      <w:r>
        <w:t xml:space="preserve"> </w:t>
      </w:r>
      <w:r>
        <w:rPr>
          <w:i/>
          <w:iCs/>
        </w:rPr>
        <w:t xml:space="preserve">9</w:t>
      </w:r>
      <w:r>
        <w:t xml:space="preserve">(11), e112903.</w:t>
      </w:r>
      <w:r>
        <w:t xml:space="preserve"> </w:t>
      </w:r>
      <w:hyperlink r:id="rId56">
        <w:r>
          <w:rPr>
            <w:rStyle w:val="Hyperlink"/>
          </w:rPr>
          <w:t xml:space="preserve">https://doi.org/10.1371/journal.pone.0112903</w:t>
        </w:r>
      </w:hyperlink>
    </w:p>
    <w:bookmarkEnd w:id="57"/>
    <w:bookmarkStart w:id="59" w:name="ref-catchen2023"/>
    <w:p>
      <w:pPr>
        <w:pStyle w:val="Bibliography"/>
      </w:pPr>
      <w:r>
        <w:t xml:space="preserve">Catchen, M. D., Lin, M., Poisot, T., Rolnick, D., &amp; Gonzalez, A. (2023).</w:t>
      </w:r>
      <w:r>
        <w:t xml:space="preserve"> </w:t>
      </w:r>
      <w:r>
        <w:rPr>
          <w:i/>
          <w:iCs/>
        </w:rPr>
        <w:t xml:space="preserve">Improving ecological connectivity assessments with transfer learning and function approximation</w:t>
      </w:r>
      <w:r>
        <w:t xml:space="preserve">.</w:t>
      </w:r>
      <w:r>
        <w:t xml:space="preserve"> </w:t>
      </w:r>
      <w:hyperlink r:id="rId58">
        <w:r>
          <w:rPr>
            <w:rStyle w:val="Hyperlink"/>
          </w:rPr>
          <w:t xml:space="preserve">https://ecoevorxiv.org/repository/view/5348/</w:t>
        </w:r>
      </w:hyperlink>
    </w:p>
    <w:bookmarkEnd w:id="59"/>
    <w:bookmarkStart w:id="61"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0">
        <w:r>
          <w:rPr>
            <w:rStyle w:val="Hyperlink"/>
          </w:rPr>
          <w:t xml:space="preserve">https://doi.org/10.1016/j.baae.2011.09.008</w:t>
        </w:r>
      </w:hyperlink>
    </w:p>
    <w:bookmarkEnd w:id="61"/>
    <w:bookmarkStart w:id="63"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62">
        <w:r>
          <w:rPr>
            <w:rStyle w:val="Hyperlink"/>
          </w:rPr>
          <w:t xml:space="preserve">https://doi.org/10.1111/brv.12433</w:t>
        </w:r>
      </w:hyperlink>
    </w:p>
    <w:bookmarkEnd w:id="63"/>
    <w:bookmarkStart w:id="65"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4">
        <w:r>
          <w:rPr>
            <w:rStyle w:val="Hyperlink"/>
          </w:rPr>
          <w:t xml:space="preserve">https://doi.org/10.1038/s41467-024-53000-2</w:t>
        </w:r>
      </w:hyperlink>
    </w:p>
    <w:bookmarkEnd w:id="65"/>
    <w:bookmarkStart w:id="67"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66">
        <w:r>
          <w:rPr>
            <w:rStyle w:val="Hyperlink"/>
          </w:rPr>
          <w:t xml:space="preserve">https://doi.org/10.1098/rspb.2013.3280</w:t>
        </w:r>
      </w:hyperlink>
    </w:p>
    <w:bookmarkEnd w:id="67"/>
    <w:bookmarkStart w:id="69"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68">
        <w:r>
          <w:rPr>
            <w:rStyle w:val="Hyperlink"/>
          </w:rPr>
          <w:t xml:space="preserve">https://doi.org/10.1371/journal.pbio.0060102</w:t>
        </w:r>
      </w:hyperlink>
    </w:p>
    <w:bookmarkEnd w:id="69"/>
    <w:bookmarkStart w:id="70"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0"/>
    <w:bookmarkStart w:id="72"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1">
        <w:r>
          <w:rPr>
            <w:rStyle w:val="Hyperlink"/>
          </w:rPr>
          <w:t xml:space="preserve">https://doi.org/10.1214/19-AOAS1296</w:t>
        </w:r>
      </w:hyperlink>
    </w:p>
    <w:bookmarkEnd w:id="72"/>
    <w:bookmarkStart w:id="74"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3">
        <w:r>
          <w:rPr>
            <w:rStyle w:val="Hyperlink"/>
          </w:rPr>
          <w:t xml:space="preserve">https://doi.org/10.5486/pmd.1959.6.3-4.12</w:t>
        </w:r>
      </w:hyperlink>
    </w:p>
    <w:bookmarkEnd w:id="74"/>
    <w:bookmarkStart w:id="76"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5">
        <w:r>
          <w:rPr>
            <w:rStyle w:val="Hyperlink"/>
          </w:rPr>
          <w:t xml:space="preserve">https://doi.org/10.1126/science.abn4012</w:t>
        </w:r>
      </w:hyperlink>
    </w:p>
    <w:bookmarkEnd w:id="76"/>
    <w:bookmarkStart w:id="78" w:name="ref-fründ2016"/>
    <w:p>
      <w:pPr>
        <w:pStyle w:val="Bibliography"/>
      </w:pPr>
      <w:r>
        <w:t xml:space="preserve">Fründ, J., McCann, K. S., &amp; Williams, N. M. (2016). Sampling bias is a challenge for quantifying specialization and network structure: Lessons from a quantitative niche model.</w:t>
      </w:r>
      <w:r>
        <w:t xml:space="preserve"> </w:t>
      </w:r>
      <w:r>
        <w:rPr>
          <w:i/>
          <w:iCs/>
        </w:rPr>
        <w:t xml:space="preserve">Oikos</w:t>
      </w:r>
      <w:r>
        <w:t xml:space="preserve">,</w:t>
      </w:r>
      <w:r>
        <w:t xml:space="preserve"> </w:t>
      </w:r>
      <w:r>
        <w:rPr>
          <w:i/>
          <w:iCs/>
        </w:rPr>
        <w:t xml:space="preserve">125</w:t>
      </w:r>
      <w:r>
        <w:t xml:space="preserve">(4), 502–513.</w:t>
      </w:r>
      <w:r>
        <w:t xml:space="preserve"> </w:t>
      </w:r>
      <w:hyperlink r:id="rId77">
        <w:r>
          <w:rPr>
            <w:rStyle w:val="Hyperlink"/>
          </w:rPr>
          <w:t xml:space="preserve">https://doi.org/10.1111/oik.02256</w:t>
        </w:r>
      </w:hyperlink>
    </w:p>
    <w:bookmarkEnd w:id="78"/>
    <w:bookmarkStart w:id="80"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79">
        <w:r>
          <w:rPr>
            <w:rStyle w:val="Hyperlink"/>
          </w:rPr>
          <w:t xml:space="preserve">https://doi.org/10.1111/2041-210X.14212</w:t>
        </w:r>
      </w:hyperlink>
    </w:p>
    <w:bookmarkEnd w:id="80"/>
    <w:bookmarkStart w:id="82"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1">
        <w:r>
          <w:rPr>
            <w:rStyle w:val="Hyperlink"/>
          </w:rPr>
          <w:t xml:space="preserve">https://doi.org/10.1038/s44358-025-00056-7</w:t>
        </w:r>
      </w:hyperlink>
    </w:p>
    <w:bookmarkEnd w:id="82"/>
    <w:bookmarkStart w:id="84"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3">
        <w:r>
          <w:rPr>
            <w:rStyle w:val="Hyperlink"/>
          </w:rPr>
          <w:t xml:space="preserve">https://doi.org/10.1111/ecog.04006</w:t>
        </w:r>
      </w:hyperlink>
    </w:p>
    <w:bookmarkEnd w:id="84"/>
    <w:bookmarkStart w:id="86" w:name="ref-guimarães2020"/>
    <w:p>
      <w:pPr>
        <w:pStyle w:val="Bibliography"/>
      </w:pPr>
      <w:r>
        <w:t xml:space="preserve">Guimarães, P. R. (2020). The structure of ecological networks across levels of organization.</w:t>
      </w:r>
      <w:r>
        <w:t xml:space="preserve"> </w:t>
      </w:r>
      <w:r>
        <w:rPr>
          <w:i/>
          <w:iCs/>
        </w:rPr>
        <w:t xml:space="preserve">Annual Review of Ecology, Evolution, and Systematics</w:t>
      </w:r>
      <w:r>
        <w:t xml:space="preserve">,</w:t>
      </w:r>
      <w:r>
        <w:t xml:space="preserve"> </w:t>
      </w:r>
      <w:r>
        <w:rPr>
          <w:i/>
          <w:iCs/>
        </w:rPr>
        <w:t xml:space="preserve">51</w:t>
      </w:r>
      <w:r>
        <w:t xml:space="preserve">(1).</w:t>
      </w:r>
      <w:r>
        <w:t xml:space="preserve"> </w:t>
      </w:r>
      <w:hyperlink r:id="rId85">
        <w:r>
          <w:rPr>
            <w:rStyle w:val="Hyperlink"/>
          </w:rPr>
          <w:t xml:space="preserve">https://doi.org/10.1146/annurev-ecolsys-012220-120819</w:t>
        </w:r>
      </w:hyperlink>
    </w:p>
    <w:bookmarkEnd w:id="86"/>
    <w:bookmarkStart w:id="88"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87">
        <w:r>
          <w:rPr>
            <w:rStyle w:val="Hyperlink"/>
          </w:rPr>
          <w:t xml:space="preserve">https://doi.org/10.1111/gcb.70061</w:t>
        </w:r>
      </w:hyperlink>
    </w:p>
    <w:bookmarkEnd w:id="88"/>
    <w:bookmarkStart w:id="90" w:name="ref-jordano2016"/>
    <w:p>
      <w:pPr>
        <w:pStyle w:val="Bibliography"/>
      </w:pPr>
      <w:r>
        <w:t xml:space="preserve">Jordano, P. (2016). Sampling networks of ecological interactions.</w:t>
      </w:r>
      <w:r>
        <w:t xml:space="preserve"> </w:t>
      </w:r>
      <w:r>
        <w:rPr>
          <w:i/>
          <w:iCs/>
        </w:rPr>
        <w:t xml:space="preserve">Functional Ecology</w:t>
      </w:r>
      <w:r>
        <w:t xml:space="preserve">.</w:t>
      </w:r>
      <w:r>
        <w:t xml:space="preserve"> </w:t>
      </w:r>
      <w:hyperlink r:id="rId89">
        <w:r>
          <w:rPr>
            <w:rStyle w:val="Hyperlink"/>
          </w:rPr>
          <w:t xml:space="preserve">https://doi.org/10.1111/1365-2435.12763</w:t>
        </w:r>
      </w:hyperlink>
    </w:p>
    <w:bookmarkEnd w:id="90"/>
    <w:bookmarkStart w:id="92"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91">
        <w:r>
          <w:rPr>
            <w:rStyle w:val="Hyperlink"/>
          </w:rPr>
          <w:t xml:space="preserve">https://doi.org/10.1371/journal.pcbi.1007076</w:t>
        </w:r>
      </w:hyperlink>
    </w:p>
    <w:bookmarkEnd w:id="92"/>
    <w:bookmarkStart w:id="94"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93">
        <w:r>
          <w:rPr>
            <w:rStyle w:val="Hyperlink"/>
          </w:rPr>
          <w:t xml:space="preserve">https://doi.org/10.1126/science.298.5594.824</w:t>
        </w:r>
      </w:hyperlink>
    </w:p>
    <w:bookmarkEnd w:id="94"/>
    <w:bookmarkStart w:id="96"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95">
        <w:r>
          <w:rPr>
            <w:rStyle w:val="Hyperlink"/>
          </w:rPr>
          <w:t xml:space="preserve">https://doi.org/10.1016/j.tree.2015.03.014</w:t>
        </w:r>
      </w:hyperlink>
    </w:p>
    <w:bookmarkEnd w:id="96"/>
    <w:bookmarkStart w:id="98"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97">
        <w:r>
          <w:rPr>
            <w:rStyle w:val="Hyperlink"/>
          </w:rPr>
          <w:t xml:space="preserve">https://doi.org/10.1101/2025.10.08.681159</w:t>
        </w:r>
      </w:hyperlink>
    </w:p>
    <w:bookmarkEnd w:id="98"/>
    <w:bookmarkStart w:id="100"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99">
        <w:r>
          <w:rPr>
            <w:rStyle w:val="Hyperlink"/>
          </w:rPr>
          <w:t xml:space="preserve">https://doi.org/10.1073/pnas.0710672105</w:t>
        </w:r>
      </w:hyperlink>
    </w:p>
    <w:bookmarkEnd w:id="100"/>
    <w:bookmarkStart w:id="102" w:name="ref-petchey2011"/>
    <w:p>
      <w:pPr>
        <w:pStyle w:val="Bibliography"/>
      </w:pPr>
      <w:r>
        <w:t xml:space="preserve">Petchey, O. L., Beckerman, A. P., Riede, J. O., &amp; Warren, P. H. (2011). Fit, efficiency, and biology: Some thoughts on judging food web models.</w:t>
      </w:r>
      <w:r>
        <w:t xml:space="preserve"> </w:t>
      </w:r>
      <w:r>
        <w:rPr>
          <w:i/>
          <w:iCs/>
        </w:rPr>
        <w:t xml:space="preserve">Journal of Theoretical Biology</w:t>
      </w:r>
      <w:r>
        <w:t xml:space="preserve">,</w:t>
      </w:r>
      <w:r>
        <w:t xml:space="preserve"> </w:t>
      </w:r>
      <w:r>
        <w:rPr>
          <w:i/>
          <w:iCs/>
        </w:rPr>
        <w:t xml:space="preserve">279</w:t>
      </w:r>
      <w:r>
        <w:t xml:space="preserve">(1), 169–171.</w:t>
      </w:r>
      <w:r>
        <w:t xml:space="preserve"> </w:t>
      </w:r>
      <w:hyperlink r:id="rId101">
        <w:r>
          <w:rPr>
            <w:rStyle w:val="Hyperlink"/>
          </w:rPr>
          <w:t xml:space="preserve">https://doi.org/10.1016/j.jtbi.2011.03.019</w:t>
        </w:r>
      </w:hyperlink>
    </w:p>
    <w:bookmarkEnd w:id="102"/>
    <w:bookmarkStart w:id="104"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103">
        <w:r>
          <w:rPr>
            <w:rStyle w:val="Hyperlink"/>
          </w:rPr>
          <w:t xml:space="preserve">https://doi.org/10.1111/2041-210X.14061</w:t>
        </w:r>
      </w:hyperlink>
    </w:p>
    <w:bookmarkEnd w:id="104"/>
    <w:bookmarkStart w:id="106"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05">
        <w:r>
          <w:rPr>
            <w:rStyle w:val="Hyperlink"/>
          </w:rPr>
          <w:t xml:space="preserve">https://doi.org/10.1111/jbi.14127</w:t>
        </w:r>
      </w:hyperlink>
    </w:p>
    <w:bookmarkEnd w:id="106"/>
    <w:bookmarkStart w:id="108"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07">
        <w:r>
          <w:rPr>
            <w:rStyle w:val="Hyperlink"/>
          </w:rPr>
          <w:t xml:space="preserve">https://doi.org/10.1111/ele.12002</w:t>
        </w:r>
      </w:hyperlink>
    </w:p>
    <w:bookmarkEnd w:id="108"/>
    <w:bookmarkStart w:id="110"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09">
        <w:r>
          <w:rPr>
            <w:rStyle w:val="Hyperlink"/>
          </w:rPr>
          <w:t xml:space="preserve">https://doi.org/10</w:t>
        </w:r>
      </w:hyperlink>
    </w:p>
    <w:bookmarkEnd w:id="110"/>
    <w:bookmarkStart w:id="112"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11">
        <w:r>
          <w:rPr>
            <w:rStyle w:val="Hyperlink"/>
          </w:rPr>
          <w:t xml:space="preserve">https://doi.org/10.7717/peerj.251</w:t>
        </w:r>
      </w:hyperlink>
    </w:p>
    <w:bookmarkEnd w:id="112"/>
    <w:bookmarkStart w:id="114"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13">
        <w:r>
          <w:rPr>
            <w:rStyle w:val="Hyperlink"/>
          </w:rPr>
          <w:t xml:space="preserve">https://doi.org/10.1111/oik.01719</w:t>
        </w:r>
      </w:hyperlink>
    </w:p>
    <w:bookmarkEnd w:id="114"/>
    <w:bookmarkStart w:id="116"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15">
        <w:r>
          <w:rPr>
            <w:rStyle w:val="Hyperlink"/>
          </w:rPr>
          <w:t xml:space="preserve">https://doi.org/10.1086/653667</w:t>
        </w:r>
      </w:hyperlink>
    </w:p>
    <w:bookmarkEnd w:id="116"/>
    <w:bookmarkStart w:id="118"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17">
        <w:r>
          <w:rPr>
            <w:rStyle w:val="Hyperlink"/>
          </w:rPr>
          <w:t xml:space="preserve">https://www.jstor.org/stable/4096814</w:t>
        </w:r>
      </w:hyperlink>
    </w:p>
    <w:bookmarkEnd w:id="118"/>
    <w:bookmarkStart w:id="120"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19">
        <w:r>
          <w:rPr>
            <w:rStyle w:val="Hyperlink"/>
          </w:rPr>
          <w:t xml:space="preserve">https://doi.org/10.1016/j.ecoinf.2025.103183</w:t>
        </w:r>
      </w:hyperlink>
    </w:p>
    <w:bookmarkEnd w:id="120"/>
    <w:bookmarkStart w:id="122"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21">
        <w:r>
          <w:rPr>
            <w:rStyle w:val="Hyperlink"/>
          </w:rPr>
          <w:t xml:space="preserve">https://doi.org/10.1101/2024.01.30.578036</w:t>
        </w:r>
      </w:hyperlink>
    </w:p>
    <w:bookmarkEnd w:id="122"/>
    <w:bookmarkStart w:id="124"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23">
        <w:r>
          <w:rPr>
            <w:rStyle w:val="Hyperlink"/>
          </w:rPr>
          <w:t xml:space="preserve">https://doi.org/10.1098/rspb.2001.1767</w:t>
        </w:r>
      </w:hyperlink>
    </w:p>
    <w:bookmarkEnd w:id="124"/>
    <w:bookmarkStart w:id="126" w:name="ref-stouffer2005"/>
    <w:p>
      <w:pPr>
        <w:pStyle w:val="Bibliography"/>
      </w:pPr>
      <w:r>
        <w:t xml:space="preserve">Stouffer, D. B., Camacho, J., Guimerà, R., Ng, C. A., &amp; Nunes Amaral, L. A. (2005). Quantitative patterns in the structure of model and empirical food webs.</w:t>
      </w:r>
      <w:r>
        <w:t xml:space="preserve"> </w:t>
      </w:r>
      <w:r>
        <w:rPr>
          <w:i/>
          <w:iCs/>
        </w:rPr>
        <w:t xml:space="preserve">Ecology</w:t>
      </w:r>
      <w:r>
        <w:t xml:space="preserve">,</w:t>
      </w:r>
      <w:r>
        <w:t xml:space="preserve"> </w:t>
      </w:r>
      <w:r>
        <w:rPr>
          <w:i/>
          <w:iCs/>
        </w:rPr>
        <w:t xml:space="preserve">86</w:t>
      </w:r>
      <w:r>
        <w:t xml:space="preserve">(5), 1301–1311.</w:t>
      </w:r>
      <w:r>
        <w:t xml:space="preserve"> </w:t>
      </w:r>
      <w:hyperlink r:id="rId125">
        <w:r>
          <w:rPr>
            <w:rStyle w:val="Hyperlink"/>
          </w:rPr>
          <w:t xml:space="preserve">https://doi.org/10.1890/04-0957</w:t>
        </w:r>
      </w:hyperlink>
    </w:p>
    <w:bookmarkEnd w:id="126"/>
    <w:bookmarkStart w:id="128"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27">
        <w:r>
          <w:rPr>
            <w:rStyle w:val="Hyperlink"/>
          </w:rPr>
          <w:t xml:space="preserve">https://doi.org/10.1111/1365-2656.12949</w:t>
        </w:r>
      </w:hyperlink>
    </w:p>
    <w:bookmarkEnd w:id="128"/>
    <w:bookmarkStart w:id="130"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29">
        <w:r>
          <w:rPr>
            <w:rStyle w:val="Hyperlink"/>
          </w:rPr>
          <w:t xml:space="preserve">https://doi.org/10.1098/rspb.2007.0571</w:t>
        </w:r>
      </w:hyperlink>
    </w:p>
    <w:bookmarkEnd w:id="130"/>
    <w:bookmarkStart w:id="132"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31">
        <w:r>
          <w:rPr>
            <w:rStyle w:val="Hyperlink"/>
          </w:rPr>
          <w:t xml:space="preserve">https://doi.org/10.1098/rstb.2021.0063</w:t>
        </w:r>
      </w:hyperlink>
    </w:p>
    <w:bookmarkEnd w:id="132"/>
    <w:bookmarkStart w:id="134"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33">
        <w:r>
          <w:rPr>
            <w:rStyle w:val="Hyperlink"/>
          </w:rPr>
          <w:t xml:space="preserve">https://doi.org/10.32942/X2JW8K</w:t>
        </w:r>
      </w:hyperlink>
    </w:p>
    <w:bookmarkEnd w:id="134"/>
    <w:bookmarkStart w:id="136" w:name="ref-thuiller2024"/>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135">
        <w:r>
          <w:rPr>
            <w:rStyle w:val="Hyperlink"/>
          </w:rPr>
          <w:t xml:space="preserve">https://doi.org/10.1111/jbi.14734</w:t>
        </w:r>
      </w:hyperlink>
    </w:p>
    <w:bookmarkEnd w:id="136"/>
    <w:bookmarkStart w:id="138" w:name="ref-trøjelsgaard2016"/>
    <w:p>
      <w:pPr>
        <w:pStyle w:val="Bibliography"/>
      </w:pPr>
      <w:r>
        <w:t xml:space="preserve">Trøjelsgaard, K., &amp; Olesen, J. M. (2016). Ecological networks in motion: Micro- and macroscopic variability across scales.</w:t>
      </w:r>
      <w:r>
        <w:t xml:space="preserve"> </w:t>
      </w:r>
      <w:r>
        <w:rPr>
          <w:i/>
          <w:iCs/>
        </w:rPr>
        <w:t xml:space="preserve">Functional Ecology</w:t>
      </w:r>
      <w:r>
        <w:t xml:space="preserve">,</w:t>
      </w:r>
      <w:r>
        <w:t xml:space="preserve"> </w:t>
      </w:r>
      <w:r>
        <w:rPr>
          <w:i/>
          <w:iCs/>
        </w:rPr>
        <w:t xml:space="preserve">30</w:t>
      </w:r>
      <w:r>
        <w:t xml:space="preserve">(12), 1926–1935. https://doi.org/</w:t>
      </w:r>
      <w:hyperlink r:id="rId137">
        <w:r>
          <w:rPr>
            <w:rStyle w:val="Hyperlink"/>
          </w:rPr>
          <w:t xml:space="preserve">https://doi.org/10.1111/1365-2435.12710</w:t>
        </w:r>
      </w:hyperlink>
    </w:p>
    <w:bookmarkEnd w:id="138"/>
    <w:bookmarkStart w:id="140"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39">
        <w:r>
          <w:rPr>
            <w:rStyle w:val="Hyperlink"/>
          </w:rPr>
          <w:t xml:space="preserve">https://doi.org/10.1146/annurev-ecolsys-110316-022821</w:t>
        </w:r>
      </w:hyperlink>
    </w:p>
    <w:bookmarkEnd w:id="140"/>
    <w:bookmarkStart w:id="142"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41">
        <w:r>
          <w:rPr>
            <w:rStyle w:val="Hyperlink"/>
          </w:rPr>
          <w:t xml:space="preserve">https://doi.org/10.1140/epjb/e2004-00122-1</w:t>
        </w:r>
      </w:hyperlink>
    </w:p>
    <w:bookmarkEnd w:id="142"/>
    <w:bookmarkStart w:id="144"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43">
        <w:r>
          <w:rPr>
            <w:rStyle w:val="Hyperlink"/>
          </w:rPr>
          <w:t xml:space="preserve">https://doi.org/10.1038/35004572</w:t>
        </w:r>
      </w:hyperlink>
    </w:p>
    <w:bookmarkEnd w:id="144"/>
    <w:bookmarkStart w:id="146"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45">
        <w:r>
          <w:rPr>
            <w:rStyle w:val="Hyperlink"/>
          </w:rPr>
          <w:t xml:space="preserve">https://doi.org/10.1111/j.1365-2656.2008.01362.x</w:t>
        </w:r>
      </w:hyperlink>
    </w:p>
    <w:bookmarkEnd w:id="146"/>
    <w:bookmarkStart w:id="148"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47">
        <w:r>
          <w:rPr>
            <w:rStyle w:val="Hyperlink"/>
          </w:rPr>
          <w:t xml:space="preserve">https://doi.org/10.1073/pnas.1408471111</w:t>
        </w:r>
      </w:hyperlink>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9" Target="media/rId19.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109" Target="https://doi.org/10" TargetMode="External" /><Relationship Type="http://schemas.openxmlformats.org/officeDocument/2006/relationships/hyperlink" Id="rId60" Target="https://doi.org/10.1016/j.baae.2011.09.008" TargetMode="External" /><Relationship Type="http://schemas.openxmlformats.org/officeDocument/2006/relationships/hyperlink" Id="rId119" Target="https://doi.org/10.1016/j.ecoinf.2025.103183" TargetMode="External" /><Relationship Type="http://schemas.openxmlformats.org/officeDocument/2006/relationships/hyperlink" Id="rId101" Target="https://doi.org/10.1016/j.jtbi.2011.03.019" TargetMode="External" /><Relationship Type="http://schemas.openxmlformats.org/officeDocument/2006/relationships/hyperlink" Id="rId95" Target="https://doi.org/10.1016/j.tree.2015.03.014" TargetMode="External" /><Relationship Type="http://schemas.openxmlformats.org/officeDocument/2006/relationships/hyperlink" Id="rId143" Target="https://doi.org/10.1038/35004572" TargetMode="External" /><Relationship Type="http://schemas.openxmlformats.org/officeDocument/2006/relationships/hyperlink" Id="rId46" Target="https://doi.org/10.1038/nature10832" TargetMode="External" /><Relationship Type="http://schemas.openxmlformats.org/officeDocument/2006/relationships/hyperlink" Id="rId64" Target="https://doi.org/10.1038/s41467-024-53000-2" TargetMode="External" /><Relationship Type="http://schemas.openxmlformats.org/officeDocument/2006/relationships/hyperlink" Id="rId81" Target="https://doi.org/10.1038/s44358-025-00056-7" TargetMode="External" /><Relationship Type="http://schemas.openxmlformats.org/officeDocument/2006/relationships/hyperlink" Id="rId99" Target="https://doi.org/10.1073/pnas.0710672105" TargetMode="External" /><Relationship Type="http://schemas.openxmlformats.org/officeDocument/2006/relationships/hyperlink" Id="rId147" Target="https://doi.org/10.1073/pnas.1408471111" TargetMode="External" /><Relationship Type="http://schemas.openxmlformats.org/officeDocument/2006/relationships/hyperlink" Id="rId115" Target="https://doi.org/10.1086/653667" TargetMode="External" /><Relationship Type="http://schemas.openxmlformats.org/officeDocument/2006/relationships/hyperlink" Id="rId123" Target="https://doi.org/10.1098/rspb.2001.1767" TargetMode="External" /><Relationship Type="http://schemas.openxmlformats.org/officeDocument/2006/relationships/hyperlink" Id="rId129" Target="https://doi.org/10.1098/rspb.2007.0571" TargetMode="External" /><Relationship Type="http://schemas.openxmlformats.org/officeDocument/2006/relationships/hyperlink" Id="rId66" Target="https://doi.org/10.1098/rspb.2013.3280" TargetMode="External" /><Relationship Type="http://schemas.openxmlformats.org/officeDocument/2006/relationships/hyperlink" Id="rId131" Target="https://doi.org/10.1098/rstb.2021.0063" TargetMode="External" /><Relationship Type="http://schemas.openxmlformats.org/officeDocument/2006/relationships/hyperlink" Id="rId121" Target="https://doi.org/10.1101/2024.01.30.578036" TargetMode="External" /><Relationship Type="http://schemas.openxmlformats.org/officeDocument/2006/relationships/hyperlink" Id="rId97" Target="https://doi.org/10.1101/2025.10.08.681159" TargetMode="External" /><Relationship Type="http://schemas.openxmlformats.org/officeDocument/2006/relationships/hyperlink" Id="rId137" Target="https://doi.org/10.1111/1365-2435.12710" TargetMode="External" /><Relationship Type="http://schemas.openxmlformats.org/officeDocument/2006/relationships/hyperlink" Id="rId89" Target="https://doi.org/10.1111/1365-2435.12763" TargetMode="External" /><Relationship Type="http://schemas.openxmlformats.org/officeDocument/2006/relationships/hyperlink" Id="rId127" Target="https://doi.org/10.1111/1365-2656.12949" TargetMode="External" /><Relationship Type="http://schemas.openxmlformats.org/officeDocument/2006/relationships/hyperlink" Id="rId103"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7" Target="https://doi.org/10.1111/ele.12002" TargetMode="External" /><Relationship Type="http://schemas.openxmlformats.org/officeDocument/2006/relationships/hyperlink" Id="rId50" Target="https://doi.org/10.1111/ele.70161" TargetMode="External" /><Relationship Type="http://schemas.openxmlformats.org/officeDocument/2006/relationships/hyperlink" Id="rId87" Target="https://doi.org/10.1111/gcb.70061" TargetMode="External" /><Relationship Type="http://schemas.openxmlformats.org/officeDocument/2006/relationships/hyperlink" Id="rId145" Target="https://doi.org/10.1111/j.1365-2656.2008.01362.x" TargetMode="External" /><Relationship Type="http://schemas.openxmlformats.org/officeDocument/2006/relationships/hyperlink" Id="rId48" Target="https://doi.org/10.1111/j.1475-4983.2006.00611.x" TargetMode="External" /><Relationship Type="http://schemas.openxmlformats.org/officeDocument/2006/relationships/hyperlink" Id="rId105" Target="https://doi.org/10.1111/jbi.14127" TargetMode="External" /><Relationship Type="http://schemas.openxmlformats.org/officeDocument/2006/relationships/hyperlink" Id="rId135" Target="https://doi.org/10.1111/jbi.14734" TargetMode="External" /><Relationship Type="http://schemas.openxmlformats.org/officeDocument/2006/relationships/hyperlink" Id="rId113" Target="https://doi.org/10.1111/oik.01719" TargetMode="External" /><Relationship Type="http://schemas.openxmlformats.org/officeDocument/2006/relationships/hyperlink" Id="rId77" Target="https://doi.org/10.1111/oik.02256" TargetMode="External" /><Relationship Type="http://schemas.openxmlformats.org/officeDocument/2006/relationships/hyperlink" Id="rId93" Target="https://doi.org/10.1126/science.298.5594.824" TargetMode="External" /><Relationship Type="http://schemas.openxmlformats.org/officeDocument/2006/relationships/hyperlink" Id="rId75" Target="https://doi.org/10.1126/science.abn4012" TargetMode="External" /><Relationship Type="http://schemas.openxmlformats.org/officeDocument/2006/relationships/hyperlink" Id="rId141" Target="https://doi.org/10.1140/epjb/e2004-00122-1" TargetMode="External" /><Relationship Type="http://schemas.openxmlformats.org/officeDocument/2006/relationships/hyperlink" Id="rId85" Target="https://doi.org/10.1146/annurev-ecolsys-012220-120819" TargetMode="External" /><Relationship Type="http://schemas.openxmlformats.org/officeDocument/2006/relationships/hyperlink" Id="rId139" Target="https://doi.org/10.1146/annurev-ecolsys-110316-022821" TargetMode="External" /><Relationship Type="http://schemas.openxmlformats.org/officeDocument/2006/relationships/hyperlink" Id="rId71" Target="https://doi.org/10.1214/19-AOAS1296" TargetMode="External" /><Relationship Type="http://schemas.openxmlformats.org/officeDocument/2006/relationships/hyperlink" Id="rId68" Target="https://doi.org/10.1371/journal.pbio.0060102" TargetMode="External" /><Relationship Type="http://schemas.openxmlformats.org/officeDocument/2006/relationships/hyperlink" Id="rId52" Target="https://doi.org/10.1371/journal.pcbi.1002321" TargetMode="External" /><Relationship Type="http://schemas.openxmlformats.org/officeDocument/2006/relationships/hyperlink" Id="rId91" Target="https://doi.org/10.1371/journal.pcbi.1007076" TargetMode="External" /><Relationship Type="http://schemas.openxmlformats.org/officeDocument/2006/relationships/hyperlink" Id="rId56" Target="https://doi.org/10.1371/journal.pone.0112903" TargetMode="External" /><Relationship Type="http://schemas.openxmlformats.org/officeDocument/2006/relationships/hyperlink" Id="rId54" Target="https://doi.org/10.1890/0012-9658(2006)87[2411:CBRINF]2.0.CO;2" TargetMode="External" /><Relationship Type="http://schemas.openxmlformats.org/officeDocument/2006/relationships/hyperlink" Id="rId125" Target="https://doi.org/10.1890/04-0957" TargetMode="External" /><Relationship Type="http://schemas.openxmlformats.org/officeDocument/2006/relationships/hyperlink" Id="rId133" Target="https://doi.org/10.32942/X2JW8K" TargetMode="External" /><Relationship Type="http://schemas.openxmlformats.org/officeDocument/2006/relationships/hyperlink" Id="rId73" Target="https://doi.org/10.5486/pmd.1959.6.3-4.12" TargetMode="External" /><Relationship Type="http://schemas.openxmlformats.org/officeDocument/2006/relationships/hyperlink" Id="rId111" Target="https://doi.org/10.7717/peerj.251" TargetMode="External" /><Relationship Type="http://schemas.openxmlformats.org/officeDocument/2006/relationships/hyperlink" Id="rId58" Target="https://ecoevorxiv.org/repository/view/5348/" TargetMode="External" /><Relationship Type="http://schemas.openxmlformats.org/officeDocument/2006/relationships/hyperlink" Id="rId117"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09" Target="https://doi.org/10" TargetMode="External" /><Relationship Type="http://schemas.openxmlformats.org/officeDocument/2006/relationships/hyperlink" Id="rId60" Target="https://doi.org/10.1016/j.baae.2011.09.008" TargetMode="External" /><Relationship Type="http://schemas.openxmlformats.org/officeDocument/2006/relationships/hyperlink" Id="rId119" Target="https://doi.org/10.1016/j.ecoinf.2025.103183" TargetMode="External" /><Relationship Type="http://schemas.openxmlformats.org/officeDocument/2006/relationships/hyperlink" Id="rId101" Target="https://doi.org/10.1016/j.jtbi.2011.03.019" TargetMode="External" /><Relationship Type="http://schemas.openxmlformats.org/officeDocument/2006/relationships/hyperlink" Id="rId95" Target="https://doi.org/10.1016/j.tree.2015.03.014" TargetMode="External" /><Relationship Type="http://schemas.openxmlformats.org/officeDocument/2006/relationships/hyperlink" Id="rId143" Target="https://doi.org/10.1038/35004572" TargetMode="External" /><Relationship Type="http://schemas.openxmlformats.org/officeDocument/2006/relationships/hyperlink" Id="rId46" Target="https://doi.org/10.1038/nature10832" TargetMode="External" /><Relationship Type="http://schemas.openxmlformats.org/officeDocument/2006/relationships/hyperlink" Id="rId64" Target="https://doi.org/10.1038/s41467-024-53000-2" TargetMode="External" /><Relationship Type="http://schemas.openxmlformats.org/officeDocument/2006/relationships/hyperlink" Id="rId81" Target="https://doi.org/10.1038/s44358-025-00056-7" TargetMode="External" /><Relationship Type="http://schemas.openxmlformats.org/officeDocument/2006/relationships/hyperlink" Id="rId99" Target="https://doi.org/10.1073/pnas.0710672105" TargetMode="External" /><Relationship Type="http://schemas.openxmlformats.org/officeDocument/2006/relationships/hyperlink" Id="rId147" Target="https://doi.org/10.1073/pnas.1408471111" TargetMode="External" /><Relationship Type="http://schemas.openxmlformats.org/officeDocument/2006/relationships/hyperlink" Id="rId115" Target="https://doi.org/10.1086/653667" TargetMode="External" /><Relationship Type="http://schemas.openxmlformats.org/officeDocument/2006/relationships/hyperlink" Id="rId123" Target="https://doi.org/10.1098/rspb.2001.1767" TargetMode="External" /><Relationship Type="http://schemas.openxmlformats.org/officeDocument/2006/relationships/hyperlink" Id="rId129" Target="https://doi.org/10.1098/rspb.2007.0571" TargetMode="External" /><Relationship Type="http://schemas.openxmlformats.org/officeDocument/2006/relationships/hyperlink" Id="rId66" Target="https://doi.org/10.1098/rspb.2013.3280" TargetMode="External" /><Relationship Type="http://schemas.openxmlformats.org/officeDocument/2006/relationships/hyperlink" Id="rId131" Target="https://doi.org/10.1098/rstb.2021.0063" TargetMode="External" /><Relationship Type="http://schemas.openxmlformats.org/officeDocument/2006/relationships/hyperlink" Id="rId121" Target="https://doi.org/10.1101/2024.01.30.578036" TargetMode="External" /><Relationship Type="http://schemas.openxmlformats.org/officeDocument/2006/relationships/hyperlink" Id="rId97" Target="https://doi.org/10.1101/2025.10.08.681159" TargetMode="External" /><Relationship Type="http://schemas.openxmlformats.org/officeDocument/2006/relationships/hyperlink" Id="rId137" Target="https://doi.org/10.1111/1365-2435.12710" TargetMode="External" /><Relationship Type="http://schemas.openxmlformats.org/officeDocument/2006/relationships/hyperlink" Id="rId89" Target="https://doi.org/10.1111/1365-2435.12763" TargetMode="External" /><Relationship Type="http://schemas.openxmlformats.org/officeDocument/2006/relationships/hyperlink" Id="rId127" Target="https://doi.org/10.1111/1365-2656.12949" TargetMode="External" /><Relationship Type="http://schemas.openxmlformats.org/officeDocument/2006/relationships/hyperlink" Id="rId103"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7" Target="https://doi.org/10.1111/ele.12002" TargetMode="External" /><Relationship Type="http://schemas.openxmlformats.org/officeDocument/2006/relationships/hyperlink" Id="rId50" Target="https://doi.org/10.1111/ele.70161" TargetMode="External" /><Relationship Type="http://schemas.openxmlformats.org/officeDocument/2006/relationships/hyperlink" Id="rId87" Target="https://doi.org/10.1111/gcb.70061" TargetMode="External" /><Relationship Type="http://schemas.openxmlformats.org/officeDocument/2006/relationships/hyperlink" Id="rId145" Target="https://doi.org/10.1111/j.1365-2656.2008.01362.x" TargetMode="External" /><Relationship Type="http://schemas.openxmlformats.org/officeDocument/2006/relationships/hyperlink" Id="rId48" Target="https://doi.org/10.1111/j.1475-4983.2006.00611.x" TargetMode="External" /><Relationship Type="http://schemas.openxmlformats.org/officeDocument/2006/relationships/hyperlink" Id="rId105" Target="https://doi.org/10.1111/jbi.14127" TargetMode="External" /><Relationship Type="http://schemas.openxmlformats.org/officeDocument/2006/relationships/hyperlink" Id="rId135" Target="https://doi.org/10.1111/jbi.14734" TargetMode="External" /><Relationship Type="http://schemas.openxmlformats.org/officeDocument/2006/relationships/hyperlink" Id="rId113" Target="https://doi.org/10.1111/oik.01719" TargetMode="External" /><Relationship Type="http://schemas.openxmlformats.org/officeDocument/2006/relationships/hyperlink" Id="rId77" Target="https://doi.org/10.1111/oik.02256" TargetMode="External" /><Relationship Type="http://schemas.openxmlformats.org/officeDocument/2006/relationships/hyperlink" Id="rId93" Target="https://doi.org/10.1126/science.298.5594.824" TargetMode="External" /><Relationship Type="http://schemas.openxmlformats.org/officeDocument/2006/relationships/hyperlink" Id="rId75" Target="https://doi.org/10.1126/science.abn4012" TargetMode="External" /><Relationship Type="http://schemas.openxmlformats.org/officeDocument/2006/relationships/hyperlink" Id="rId141" Target="https://doi.org/10.1140/epjb/e2004-00122-1" TargetMode="External" /><Relationship Type="http://schemas.openxmlformats.org/officeDocument/2006/relationships/hyperlink" Id="rId85" Target="https://doi.org/10.1146/annurev-ecolsys-012220-120819" TargetMode="External" /><Relationship Type="http://schemas.openxmlformats.org/officeDocument/2006/relationships/hyperlink" Id="rId139" Target="https://doi.org/10.1146/annurev-ecolsys-110316-022821" TargetMode="External" /><Relationship Type="http://schemas.openxmlformats.org/officeDocument/2006/relationships/hyperlink" Id="rId71" Target="https://doi.org/10.1214/19-AOAS1296" TargetMode="External" /><Relationship Type="http://schemas.openxmlformats.org/officeDocument/2006/relationships/hyperlink" Id="rId68" Target="https://doi.org/10.1371/journal.pbio.0060102" TargetMode="External" /><Relationship Type="http://schemas.openxmlformats.org/officeDocument/2006/relationships/hyperlink" Id="rId52" Target="https://doi.org/10.1371/journal.pcbi.1002321" TargetMode="External" /><Relationship Type="http://schemas.openxmlformats.org/officeDocument/2006/relationships/hyperlink" Id="rId91" Target="https://doi.org/10.1371/journal.pcbi.1007076" TargetMode="External" /><Relationship Type="http://schemas.openxmlformats.org/officeDocument/2006/relationships/hyperlink" Id="rId56" Target="https://doi.org/10.1371/journal.pone.0112903" TargetMode="External" /><Relationship Type="http://schemas.openxmlformats.org/officeDocument/2006/relationships/hyperlink" Id="rId54" Target="https://doi.org/10.1890/0012-9658(2006)87[2411:CBRINF]2.0.CO;2" TargetMode="External" /><Relationship Type="http://schemas.openxmlformats.org/officeDocument/2006/relationships/hyperlink" Id="rId125" Target="https://doi.org/10.1890/04-0957" TargetMode="External" /><Relationship Type="http://schemas.openxmlformats.org/officeDocument/2006/relationships/hyperlink" Id="rId133" Target="https://doi.org/10.32942/X2JW8K" TargetMode="External" /><Relationship Type="http://schemas.openxmlformats.org/officeDocument/2006/relationships/hyperlink" Id="rId73" Target="https://doi.org/10.5486/pmd.1959.6.3-4.12" TargetMode="External" /><Relationship Type="http://schemas.openxmlformats.org/officeDocument/2006/relationships/hyperlink" Id="rId111" Target="https://doi.org/10.7717/peerj.251" TargetMode="External" /><Relationship Type="http://schemas.openxmlformats.org/officeDocument/2006/relationships/hyperlink" Id="rId58" Target="https://ecoevorxiv.org/repository/view/5348/" TargetMode="External" /><Relationship Type="http://schemas.openxmlformats.org/officeDocument/2006/relationships/hyperlink" Id="rId117"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structure conditions ecological inference in food web reconstruction</dc:title>
  <dc:creator>Tanya Strydom; Baran Karapunar; Andrew P. Beckerman; Alexander Dunhill</dc:creator>
  <cp:keywords>Ecological networks, Biotic interactions, Community assembly, Environmental gradients, Interaction turnover, Trophic organisation, Ecosystem resilience, Macroecology</cp:keywords>
  <dcterms:created xsi:type="dcterms:W3CDTF">2026-02-17T13:01:43Z</dcterms:created>
  <dcterms:modified xsi:type="dcterms:W3CDTF">2026-02-17T13:01:43Z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dynamics.LocationCleveland Basin, United Kingdom.Time periodToarcian extinction event (Early Jurassic, upper Pliensbachian–upper Toarcian, ~183 Ma).Major taxa studiedMarine animal communities.MethodsWe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models.ResultsReconstruction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level.Main conclusionsNetwork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2026-02-17</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