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reconstruction approach conditions ecological inference in food web reconstruction</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Dunhill</w:t>
      </w:r>
    </w:p>
    <w:p>
      <w:pPr>
        <w:pStyle w:val="Date"/>
      </w:pPr>
      <w:r>
        <w:t xml:space="preserve">2026-04-21</w:t>
      </w:r>
    </w:p>
    <w:p>
      <w:pPr>
        <w:pStyle w:val="AbstractTitle"/>
      </w:pPr>
      <w:r>
        <w:t xml:space="preserve">Abstract</w:t>
      </w:r>
    </w:p>
    <w:p>
      <w:pPr>
        <w:pStyle w:val="Abstract"/>
      </w:pPr>
      <w:r>
        <w:t xml:space="preserve">Aim</w:t>
      </w:r>
    </w:p>
    <w:p>
      <w:pPr>
        <w:pStyle w:val="Abstract"/>
      </w:pPr>
      <w:r>
        <w:t xml:space="preserve">Ecological networks are widely used to assess community structure, stability, and responses to disturbance. Such networks often require model-based reconstructions (e.g., based on traits or theoretical constraints); however, the extent to which these frameworks influence ecological inference remains unexplored. Here, we assess whether macroecological inference derived from ecological networks is robust to variation in reconstruction framework.</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Shelly 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w:t>
      </w:r>
      <w:r>
        <w:t xml:space="preserve"> </w:t>
      </w:r>
      <w:r>
        <w:rPr>
          <w:i/>
          <w:iCs/>
        </w:rPr>
        <w:t xml:space="preserve">et al.</w:t>
      </w:r>
      <w:r>
        <w:t xml:space="preserve">,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(Poisot</w:t>
      </w:r>
      <w:r>
        <w:t xml:space="preserve"> </w:t>
      </w:r>
      <w:r>
        <w:rPr>
          <w:i/>
          <w:iCs/>
        </w:rPr>
        <w:t xml:space="preserve">et al.</w:t>
      </w:r>
      <w:r>
        <w:t xml:space="preserve">, 2015; Trøjelsgaard &amp; Olesen, 2016; Tylianakis &amp; Morris, 2017; Gravel</w:t>
      </w:r>
      <w:r>
        <w:t xml:space="preserve"> </w:t>
      </w:r>
      <w:r>
        <w:rPr>
          <w:i/>
          <w:iCs/>
        </w:rPr>
        <w:t xml:space="preserve">et al.</w:t>
      </w:r>
      <w:r>
        <w:t xml:space="preserve">, 2019)</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w:t>
      </w:r>
      <w:r>
        <w:t xml:space="preserve"> </w:t>
      </w:r>
      <w:r>
        <w:rPr>
          <w:i/>
          <w:iCs/>
        </w:rPr>
        <w:t xml:space="preserve">et al.</w:t>
      </w:r>
      <w:r>
        <w:t xml:space="preserve">, 2016; Jordano, 2016)</w:t>
      </w:r>
      <w:r>
        <w:t xml:space="preserve">. However, most ecological networks are not fully observed as interaction data are incomplete and sampling is uneven across historical and biogeographic contexts, across both present day and deep-time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w:t>
      </w:r>
    </w:p>
    <w:p>
      <w:pPr>
        <w:pStyle w:val="BodyText"/>
      </w:pPr>
      <w:r>
        <w:t xml:space="preserve">Interactions must often be inferred indirectly from traits (</w:t>
      </w:r>
      <w:r>
        <w:rPr>
          <w:i/>
          <w:iCs/>
        </w:rPr>
        <w:t xml:space="preserve">e.g.,</w:t>
      </w:r>
      <w:r>
        <w:t xml:space="preserve"> </w:t>
      </w:r>
      <w:r>
        <w:t xml:space="preserve">body size), phylogeny,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If alternative reconstruction approaches systematically generate different trophic configurations, then comparative analyses risk conflating ecological differences among communities with artefacts introduced by reconstruction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If reconstruction approaches encode distinct structural priors over interaction topology, then differences among communities may reflect reconstruction assumptions rather than ecological processes. Consequently, here we test whether macroecological inference derived from ecological networks is robust to variation in reconstruction framework, asking which aspects of network-based inference are stable across plausible representations of interaction structure and which are intrinsically reconstruction approach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(Roopnarine, 2006; Dunne</w:t>
      </w:r>
      <w:r>
        <w:t xml:space="preserve"> </w:t>
      </w:r>
      <w:r>
        <w:rPr>
          <w:i/>
          <w:iCs/>
        </w:rPr>
        <w:t xml:space="preserve">et al.</w:t>
      </w:r>
      <w:r>
        <w:t xml:space="preserve">, 2008; Dunne</w:t>
      </w:r>
      <w:r>
        <w:t xml:space="preserve"> </w:t>
      </w:r>
      <w:r>
        <w:rPr>
          <w:i/>
          <w:iCs/>
        </w:rPr>
        <w:t xml:space="preserve">et al.</w:t>
      </w:r>
      <w:r>
        <w:t xml:space="preserve">, 2014; Dunhill</w:t>
      </w:r>
      <w:r>
        <w:t xml:space="preserve"> </w:t>
      </w:r>
      <w:r>
        <w:rPr>
          <w:i/>
          <w:iCs/>
        </w:rPr>
        <w:t xml:space="preserve">et al.</w:t>
      </w:r>
      <w:r>
        <w:t xml:space="preserve">, 2024; Karapunar</w:t>
      </w:r>
      <w:r>
        <w:t xml:space="preserve"> </w:t>
      </w:r>
      <w:r>
        <w:rPr>
          <w:i/>
          <w:iCs/>
        </w:rPr>
        <w:t xml:space="preserve">et al.</w:t>
      </w:r>
      <w:r>
        <w:t xml:space="preserve">, 2026)</w:t>
      </w:r>
      <w:r>
        <w:t xml:space="preserve">, rendering reconstruction approach assumptions transparent. Against this stringency, here we re-evaluate inferences made by</w:t>
      </w:r>
      <w:r>
        <w:t xml:space="preserve"> </w:t>
      </w:r>
      <w:r>
        <w:t xml:space="preserve">Dunhill</w:t>
      </w:r>
      <w:r>
        <w:t xml:space="preserve"> </w:t>
      </w:r>
      <w:r>
        <w:rPr>
          <w:i/>
          <w:iCs/>
        </w:rPr>
        <w:t xml:space="preserve">et al.</w:t>
      </w:r>
      <w:r>
        <w:t xml:space="preserve"> </w:t>
      </w:r>
      <w:r>
        <w:t xml:space="preserve">(2024)</w:t>
      </w:r>
      <w:r>
        <w:t xml:space="preserve"> </w:t>
      </w:r>
      <w:r>
        <w:t xml:space="preserve">on community structure and extinction dynamics during the Early Toarcian Extinction Event (ETEE; ~183 Ma),a marine biotic crisis in the Early Jurassic, likely caused by a volcanic-driven hyperthermal event</w:t>
      </w:r>
      <w:r>
        <w:t xml:space="preserve"> </w:t>
      </w:r>
      <w:r>
        <w:t xml:space="preserve">(Kemp</w:t>
      </w:r>
      <w:r>
        <w:t xml:space="preserve"> </w:t>
      </w:r>
      <w:r>
        <w:rPr>
          <w:i/>
          <w:iCs/>
        </w:rPr>
        <w:t xml:space="preserve">et al.</w:t>
      </w:r>
      <w:r>
        <w:t xml:space="preserve">, 2024)</w:t>
      </w:r>
      <w:r>
        <w:t xml:space="preserve">. Crucially, this re-evaluation allows us to test a pivotal but often overlooked possibility - that the ecological narratives regarding community stability or collapse might be as much a product of the specific reconstruction method chosen as they are of the fossil data itself. By applying alternative reconstruction approaches, we can determine if the</w:t>
      </w:r>
      <w:r>
        <w:t xml:space="preserve"> </w:t>
      </w:r>
      <w:r>
        <w:t xml:space="preserve">Dunhill</w:t>
      </w:r>
      <w:r>
        <w:t xml:space="preserve"> </w:t>
      </w:r>
      <w:r>
        <w:rPr>
          <w:i/>
          <w:iCs/>
        </w:rPr>
        <w:t xml:space="preserve">et al.</w:t>
      </w:r>
      <w:r>
        <w:t xml:space="preserve"> </w:t>
      </w:r>
      <w:r>
        <w:t xml:space="preserve">(2024)</w:t>
      </w:r>
      <w:r>
        <w:t xml:space="preserve"> </w:t>
      </w:r>
      <w:r>
        <w:t xml:space="preserve">conclusions remain robust or if a different choice of reconstruction method would have led to fundamentally different inferences about extinction dynamics. Using four successive assemblages, we reconstruct ecological networks under six contrasting reconstruction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reconstruction approach used, this design isolates the influence of reconstruction constrained structure on inferred food web organisation and extinction dynamics, allowing us to distinguish ecological signals that are robust from those that are reconstruction contingent.</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upper Pliensbachian to the upper Toarcian. This interval encompasses a major volcanic-driven hyperthermal and marine extinction event. To capture network dynamics across this transition, we defined four successive palaeo-assemblages: pre-extinction (Pliensbachian), post-extinction (Lower Toarcian), early recovery, and late recovery (Middle/Upper Toarcian). Each taxon was characterized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palaeontological research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 use reconstruction approaches from within the feasibility space. That is, the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the data. Along with one feasibility reconstruction approach we include structural models that create species agnostic networks that are structurally ‘correct’ by assigning links between nodes based on assumptions of link distributions; and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 and are suitable for an array of different palaeo-assemblages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approaches (ADBM, ATN, Body-size ratio) differ primarily in their underlying ecological assumptions. Although all three approaches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approaches using the approaches listed in</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reconstruction approach assumptions, parameterisation, and link-generation rules are provided in Supplementary Material S1. For each community, 100 networks were generated per reconstruction approach per successive community (n = 2400) to capture stochastic variation in link assignment. Where reconstruction approaches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parameterised using connectance values drawn from an empirically realistic range (0.07 – 0.34), with species richness held constant. Identical parameter draws were applied across comparable reconstruction approaches within each replicate to ensure comparability.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and excluded the latent trait terms.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reconstruction frameworks (ADBM, ATN, body-size ratio, and PFIM). We excluded the purely structural Random and Niche models as they are inherently species agnostic. For each pair of reconstructed networks, we represented trophic interactions as binary adjacency matrices and calculated their dissimilarity. Specifically we looked at interaction rewiring among shared species (</w:t>
      </w:r>
      <m:oMath>
        <m:sSub>
          <m:e>
            <m:r>
              <m:t>β</m:t>
            </m:r>
          </m:e>
          <m:sub>
            <m:r>
              <m:t>O</m:t>
            </m:r>
            <m:r>
              <m:t>S</m:t>
            </m:r>
          </m:sub>
        </m:sSub>
      </m:oMath>
      <w:r>
        <w:t xml:space="preserve">), which allows separation of differences arising from altered interaction identities among species common to both networks.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89f4cf6a33fc88184218f6a581bc75601516373"/>
    <w:p>
      <w:pPr>
        <w:pStyle w:val="Heading2"/>
      </w:pPr>
      <w:r>
        <w:t xml:space="preserve">2.4 Extinction simulations and reconstruction approach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concordance in scenario ordering across reconstruction approaches. Full methodological details are provided in the Supplementary Materials.</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All statistical analyses, model fitting (MANOVA, PERMANOVA, GAMs), and figure production were performed in R v4.5.2</w:t>
      </w:r>
      <w:r>
        <w:t xml:space="preserve"> </w:t>
      </w:r>
      <w:r>
        <w:t xml:space="preserve">(R Core Team, 2024)</w:t>
      </w:r>
      <w:r>
        <w:t xml:space="preserve">. The empirical data, derived network datasets and code implementing network reconstruction, extinction simulations, and all analytical workflows are archived at [</w:t>
      </w:r>
      <w:r>
        <w:rPr>
          <w:b/>
          <w:bCs/>
        </w:rPr>
        <w:t xml:space="preserve">TODO</w:t>
      </w:r>
      <w:r>
        <w:t xml:space="preserve"> </w:t>
      </w:r>
      <w:r>
        <w:t xml:space="preserve">Zenodo DOI].</w:t>
      </w:r>
    </w:p>
    <w:bookmarkEnd w:id="18"/>
    <w:bookmarkEnd w:id="19"/>
    <w:bookmarkStart w:id="41" w:name="results"/>
    <w:p>
      <w:pPr>
        <w:pStyle w:val="Heading1"/>
      </w:pPr>
      <w:r>
        <w:t xml:space="preserve">3. Results</w:t>
      </w:r>
    </w:p>
    <w:p>
      <w:pPr>
        <w:pStyle w:val="FirstParagraph"/>
      </w:pPr>
      <w:r>
        <w:t xml:space="preserve">Results show that reconstruction approaches that appear similar when evaluated using network metrics can yield fundamentally different ecological narratives when interrogated at the level of interactions and extinction dynamics. Across six network reconstruction approaches, inferred food web structure, species interactions, and extinction dynamics differed consistently. Multivariate analyses showed pronounced separation among reconstruction approaches in network metric space. Reconstruction approach explained most of the variance in structural properties, leaving a distinct signature independent of community composition. Notably, approaches that were statistically similar in multivariate structural space often diverged in inferred interactions or extinction dynamics. This demonstrates that structural similarity does not guarantee concordance in species-level diets or trophic roles.</w:t>
      </w:r>
    </w:p>
    <w:p>
      <w:pPr>
        <w:pStyle w:val="BodyText"/>
      </w:pPr>
      <w:r>
        <w:t xml:space="preserve">Reconstruction approach substantially influenced inferred extinction dynamics. Temporal trajectories of network collapse, interaction loss, and motif reorganisation differed among approaches. Although node-level extinction ranking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reconstruction approach systematically alters inferred food web topology. Canonical discriminant analysis identified two dominant axes of variation, explaining 86% of between reconstruction approach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and ellipses indicate 95% confidence regions for each reconstruction approach.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if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it is clear that for certain network metrics reconstruction approaches predict different responses across time</w:t>
      </w:r>
      <w:r>
        <w:t xml:space="preserve"> </w:t>
      </w:r>
      <w:r>
        <w:rPr>
          <w:i/>
          <w:iCs/>
        </w:rPr>
        <w:t xml:space="preserve">e.g.,</w:t>
      </w:r>
      <w:r>
        <w:t xml:space="preserve"> </w:t>
      </w:r>
      <w:r>
        <w:t xml:space="preserve">connectance, as well as differing magnitudes of change</w:t>
      </w:r>
      <w:r>
        <w:t xml:space="preserve"> </w:t>
      </w:r>
      <w:r>
        <w:rPr>
          <w:i/>
          <w:iCs/>
        </w:rPr>
        <w:t xml:space="preserve">e.g.,</w:t>
      </w:r>
      <w:r>
        <w:t xml:space="preserve"> </w:t>
      </w:r>
      <w:r>
        <w:t xml:space="preserve">the number of apparent cmpetition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quadrant of this space,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A</w:t>
            </w:r>
            <w:r>
              <w:t xml:space="preserve"> </w:t>
            </w:r>
            <w:r>
              <w:t xml:space="preserve">Changes in network metrics through time, expressed as deviation from Pre-Extinction conditions (Δ). Metrics are faceted and scaled independently to highlight differences in temporal trajectories across different network properties.</w:t>
            </w:r>
            <w:r>
              <w:t xml:space="preserve"> </w:t>
            </w:r>
            <w:r>
              <w:rPr>
                <w:b/>
                <w:bCs/>
              </w:rPr>
              <w:t xml:space="preserve">B</w:t>
            </w:r>
            <w:r>
              <w:t xml:space="preserve"> </w:t>
            </w:r>
            <w:r>
              <w:t xml:space="preserve">Scatter plot illustrating the influence of reconstruction approach (x-axis) and time (y-axis) across network metrics. The dashed 1:1 diagonal represents parity of influence; metrics below this line are governed primarily by reconstruction approach and those above by time. Bubble size indicates the interaction between reconstruction approach and time, while colour indicates inter reconstruction approach disagreement (mean CV%); greener bubbles signify metrics where reconstruction approaches show the highest divergence in their structural predictions.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netwrok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PFIM showed intermediate overlap with body mass-based models. These results demonstrate that agreement in overall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w:t>
            </w:r>
            <w:r>
              <w:t xml:space="preserve"> </w:t>
            </w:r>
            <m:oMath>
              <m:sSub>
                <m:e>
                  <m:r>
                    <m:t>β</m:t>
                  </m:r>
                </m:e>
                <m:sub>
                  <m:r>
                    <m:t>O</m:t>
                  </m:r>
                  <m:r>
                    <m:t>S</m:t>
                  </m:r>
                </m:sub>
              </m:sSub>
            </m:oMath>
            <w:r>
              <w:t xml:space="preserve"> </w:t>
            </w:r>
            <w:r>
              <w:t xml:space="preserve">in species interactions among four ecological network reconstruction approaches (ADBM, ATN, Body-size ratio, and PFIM). Each cell represents the mean turnover value between a pair of reconstruction approaches, with darker colours indicating greater dissimilarity in inferred interactions. High turnover values indicate strong disagreement in pairwise interactions between reconstruction approaches, whereas lower values indicate greater similarity. Note that we do not include the Random or Niche model as these reconstruction approaches are species agnostic and thus we cannot truly evaluate differences in pairwise interactions</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retained, or re-established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Warmer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palaeoecological data. Because interactions in fossil ecosystems are never observed directly, they must explicitly be formed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palaeoecological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the overwhelming majority of variance in inferred food web topology, far outweighing the influence of temporal turnover across extinction and recovery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reconstruction approaches reflects intrinsic differences in how interactions are organised rather than temporal shifts in community composition. Even after centring metrics within time bins (extinction phases)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reconstruction assumptions, and level of organisation</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with partial η² values exceeding 0.9 for meso-scale motif composition and remaining consistently high across macro- and micro-scale properties. Thus the imprint of reconstruction framework is visible not only in aggregate topology but in the very structural features often interpreted as ecological signals — trophic height, competition, and variability in species roles. Notably, the few properties that exhibited detectable temporal sensitivity were also those with the greatest inter-reconstruction approach disagreement, indicating that temporal trends is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reconstruction approaches encode different assumptions about constraint, optimisation, and topology, with these assumptions propagating into emergent metrics and dynamical predictions</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 Poisot &amp; Gravel, 2014; Michalska-Smith &amp; Allesina, 2019)</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Node-level extinction rankings were broadly consistent among reconstruction approaches, whereas interaction-level outcomes and cascade trajectories were highly contingent on reconstruction approach. The predominance of reconstruction framework over temporal turnover (~80% vs. 6% variance explained) illustrates why coarse-grained patterns like node-level extinction rankings are more robust. reconstruction approach-imposed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w:t>
      </w:r>
      <w:r>
        <w:t xml:space="preserve"> </w:t>
      </w:r>
      <w:r>
        <w:rPr>
          <w:i/>
          <w:iCs/>
        </w:rPr>
        <w:t xml:space="preserve">et al.</w:t>
      </w:r>
      <w:r>
        <w:t xml:space="preserve"> </w:t>
      </w:r>
      <w:r>
        <w:t xml:space="preserve">(2024)</w:t>
      </w:r>
      <w:r>
        <w:t xml:space="preserve"> </w:t>
      </w:r>
      <w:r>
        <w:t xml:space="preserve">selected a different reconstruction method, the resulting inferences regarding the drivers of extinctions and subsequent recovery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The inferred topology and dynamics of a food web therefore reflect not only ecological data, but the theoretical assumptions embedded in the reconstruction framework. Disagreement among reconstruction approaches does not imply that any single approach is ‘wrong’, but rather that different reconstruction approaches capture different facets of ecological reality</w:t>
      </w:r>
      <w:r>
        <w:t xml:space="preserve"> </w:t>
      </w:r>
      <w:r>
        <w:t xml:space="preserve">(Petchey</w:t>
      </w:r>
      <w:r>
        <w:t xml:space="preserve"> </w:t>
      </w:r>
      <w:r>
        <w:rPr>
          <w:i/>
          <w:iCs/>
        </w:rPr>
        <w:t xml:space="preserve">et al.</w:t>
      </w:r>
      <w:r>
        <w:t xml:space="preserve">, 2011; Stouffer, 2019)</w:t>
      </w:r>
      <w:r>
        <w:t xml:space="preserve">. Disagreement among reconstruction approaches does not imply that any single approach is</w:t>
      </w:r>
      <w:r>
        <w:t xml:space="preserve"> </w:t>
      </w:r>
      <w:r>
        <w:t xml:space="preserve">‘incorrect’</w:t>
      </w:r>
      <w:r>
        <w:t xml:space="preserve">. Rather, different reconstruction approaches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network reconstruction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(Tylianakis</w:t>
      </w:r>
      <w:r>
        <w:t xml:space="preserve"> </w:t>
      </w:r>
      <w:r>
        <w:rPr>
          <w:i/>
          <w:iCs/>
        </w:rPr>
        <w:t xml:space="preserve">et al.</w:t>
      </w:r>
      <w:r>
        <w:t xml:space="preserve">, 2008; Gilman</w:t>
      </w:r>
      <w:r>
        <w:t xml:space="preserve"> </w:t>
      </w:r>
      <w:r>
        <w:rPr>
          <w:i/>
          <w:iCs/>
        </w:rPr>
        <w:t xml:space="preserve">et al.</w:t>
      </w:r>
      <w:r>
        <w:t xml:space="preserve">, 2010)</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These studies frequently interpret variation in connectance, trophic height, interaction</w:t>
      </w:r>
      <w:r>
        <w:t xml:space="preserve"> </w:t>
      </w:r>
      <m:oMath>
        <m:r>
          <m:t>β</m:t>
        </m:r>
      </m:oMath>
      <w:r>
        <w:t xml:space="preserve">-diversity, or robustness as indicators of ecological differentiation among regions or time intervals</w:t>
      </w:r>
      <w:r>
        <w:t xml:space="preserve"> </w:t>
      </w:r>
      <w:r>
        <w:t xml:space="preserve">(</w:t>
      </w:r>
      <w:r>
        <w:rPr>
          <w:i/>
          <w:iCs/>
        </w:rPr>
        <w:t xml:space="preserve">e.g.,</w:t>
      </w:r>
      <w:r>
        <w:t xml:space="preserve"> </w:t>
      </w:r>
      <w:r>
        <w:t xml:space="preserve">Pellissier</w:t>
      </w:r>
      <w:r>
        <w:t xml:space="preserve"> </w:t>
      </w:r>
      <w:r>
        <w:rPr>
          <w:i/>
          <w:iCs/>
        </w:rPr>
        <w:t xml:space="preserve">et al.</w:t>
      </w:r>
      <w:r>
        <w:t xml:space="preserve">,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palaeo 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w:t>
      </w:r>
      <w:r>
        <w:t xml:space="preserve"> </w:t>
      </w:r>
      <w:r>
        <w:rPr>
          <w:i/>
          <w:iCs/>
        </w:rPr>
        <w:t xml:space="preserve">et al.</w:t>
      </w:r>
      <w:r>
        <w:t xml:space="preserve"> </w:t>
      </w:r>
      <w:r>
        <w:t xml:space="preserve">(2024)</w:t>
      </w:r>
      <w:r>
        <w:t xml:space="preserve">;</w:t>
      </w:r>
      <w:r>
        <w:t xml:space="preserve"> </w:t>
      </w:r>
      <w:r>
        <w:t xml:space="preserve">Karapunar</w:t>
      </w:r>
      <w:r>
        <w:t xml:space="preserve"> </w:t>
      </w:r>
      <w:r>
        <w:rPr>
          <w:i/>
          <w:iCs/>
        </w:rPr>
        <w:t xml:space="preserve">et al.</w:t>
      </w:r>
      <w:r>
        <w:t xml:space="preserve"> </w:t>
      </w:r>
      <w:r>
        <w:t xml:space="preserve">(2026)</w:t>
      </w:r>
      <w:r>
        <w:t xml:space="preserve">;</w:t>
      </w:r>
      <w:r>
        <w:t xml:space="preserve"> </w:t>
      </w:r>
      <w:r>
        <w:t xml:space="preserve">Smith</w:t>
      </w:r>
      <w:r>
        <w:t xml:space="preserve"> </w:t>
      </w:r>
      <w:r>
        <w:rPr>
          <w:i/>
          <w:iCs/>
        </w:rPr>
        <w:t xml:space="preserve">et al.</w:t>
      </w:r>
      <w:r>
        <w:t xml:space="preserve"> </w:t>
      </w:r>
      <w:r>
        <w:t xml:space="preserve">(2025)</w:t>
      </w:r>
      <w:r>
        <w:t xml:space="preserve">). Fossil networks therefore represent natural experiments for evaluating resilience, trophic reorganisation, and recovery following extreme environmental change. Studies of palaeo food webs have demonstrated how network structure mediates extinction cascades and post-disturbance reassembly</w:t>
      </w:r>
      <w:r>
        <w:t xml:space="preserve"> </w:t>
      </w:r>
      <w:r>
        <w:t xml:space="preserve">(Roopnarine, 2006; Dunne</w:t>
      </w:r>
      <w:r>
        <w:t xml:space="preserve"> </w:t>
      </w:r>
      <w:r>
        <w:rPr>
          <w:i/>
          <w:iCs/>
        </w:rPr>
        <w:t xml:space="preserve">et al.</w:t>
      </w:r>
      <w:r>
        <w:t xml:space="preserve">, 2008)</w:t>
      </w:r>
      <w:r>
        <w:t xml:space="preserve">, providing empirical constraints on long-term ecological stability.</w:t>
      </w:r>
    </w:p>
    <w:p>
      <w:pPr>
        <w:pStyle w:val="BodyText"/>
      </w:pPr>
      <w:r>
        <w:t xml:space="preserve">However, our results emphasise that even in deep-time systems structural conclusions remain sensitive to reconstruction approaches. Treating reconstructed networks as ensembles rather than single deterministic representations provides a more transparent framework for incorporating uncertainty into comparative macroecology and for using palaeo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reconstruction approach represents a distinct hypothesis about how interactions are constrained—by trait compatibility, energetic optimisation, or topological regularity</w:t>
      </w:r>
      <w:r>
        <w:t xml:space="preserve"> </w:t>
      </w:r>
      <w:r>
        <w:t xml:space="preserve">(Petchey</w:t>
      </w:r>
      <w:r>
        <w:t xml:space="preserve"> </w:t>
      </w:r>
      <w:r>
        <w:rPr>
          <w:i/>
          <w:iCs/>
        </w:rPr>
        <w:t xml:space="preserve">et al.</w:t>
      </w:r>
      <w:r>
        <w:t xml:space="preserve">,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reconstruction approaches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representations. In contrast, fine-scale interaction structure and cascade pathways are highly contingent on reconstruction approach.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reconstruction approaches as much as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network reconstruction as fundamental determinants of inference is critical for advancing food web ecology from descriptive reconstruction toward rigorous comparative synthesis.</w:t>
      </w:r>
    </w:p>
    <w:bookmarkEnd w:id="47"/>
    <w:bookmarkStart w:id="154" w:name="references"/>
    <w:p>
      <w:pPr>
        <w:pStyle w:val="Heading1"/>
      </w:pPr>
      <w:r>
        <w:t xml:space="preserve">References</w:t>
      </w:r>
    </w:p>
    <w:bookmarkStart w:id="153" w:name="refs"/>
    <w:bookmarkStart w:id="49" w:name="ref-allesina2012"/>
    <w:p>
      <w:pPr>
        <w:pStyle w:val="Bibliography"/>
      </w:pPr>
      <w:r>
        <w:t xml:space="preserve">Allesina, S. &amp; Tang, S. (2012)</w:t>
      </w:r>
      <w:r>
        <w:t xml:space="preserve"> </w:t>
      </w:r>
      <w:hyperlink r:id="rId48">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49"/>
    <w:bookmarkStart w:id="51" w:name="ref-bambach2007"/>
    <w:p>
      <w:pPr>
        <w:pStyle w:val="Bibliography"/>
      </w:pPr>
      <w:r>
        <w:t xml:space="preserve">Bambach, R.K., Bush, A.M. &amp; Erwin, D.H. (2007)</w:t>
      </w:r>
      <w:r>
        <w:t xml:space="preserve"> </w:t>
      </w:r>
      <w:hyperlink r:id="rId50">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1"/>
    <w:bookmarkStart w:id="53" w:name="ref-banville2025"/>
    <w:p>
      <w:pPr>
        <w:pStyle w:val="Bibliography"/>
      </w:pPr>
      <w:r>
        <w:t xml:space="preserve">Banville, F., Strydom, T., Blyth, P.S.A., Brimacombe, C., Catchen, M.D., Dansereau, G., Higino, G., Malpas, T., Mayall, H., Norman, K., Gravel, D. &amp; Poisot, T. (2025)</w:t>
      </w:r>
      <w:r>
        <w:t xml:space="preserve"> </w:t>
      </w:r>
      <w:hyperlink r:id="rId52">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3"/>
    <w:bookmarkStart w:id="55" w:name="ref-Bezanson2017Julia"/>
    <w:p>
      <w:pPr>
        <w:pStyle w:val="Bibliography"/>
      </w:pPr>
      <w:r>
        <w:t xml:space="preserve">Bezanson, J., Edelman, A., Karpinski, S. &amp; Shah, V.B. (2017)</w:t>
      </w:r>
      <w:r>
        <w:t xml:space="preserve"> </w:t>
      </w:r>
      <w:hyperlink r:id="rId54">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5"/>
    <w:bookmarkStart w:id="57"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56">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57"/>
    <w:bookmarkStart w:id="59" w:name="ref-curtsdotter2011"/>
    <w:p>
      <w:pPr>
        <w:pStyle w:val="Bibliography"/>
      </w:pPr>
      <w:r>
        <w:t xml:space="preserve">Curtsdotter, A., Binzer, A., Brose, U., De Castro, F., Ebenman, B., Eklöf, A., Riede, J.O., Thierry, A. &amp; Rall, B.C. (2011)</w:t>
      </w:r>
      <w:r>
        <w:t xml:space="preserve"> </w:t>
      </w:r>
      <w:hyperlink r:id="rId58">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59"/>
    <w:bookmarkStart w:id="61"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60">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61"/>
    <w:bookmarkStart w:id="63" w:name="ref-dunhill2024"/>
    <w:p>
      <w:pPr>
        <w:pStyle w:val="Bibliography"/>
      </w:pPr>
      <w:r>
        <w:t xml:space="preserve">Dunhill, A.M., Zarzyczny, K., Shaw, J.O., Atkinson, J.W., Little, C.T.S. &amp; Beckerman, A.P. (2024)</w:t>
      </w:r>
      <w:r>
        <w:t xml:space="preserve"> </w:t>
      </w:r>
      <w:hyperlink r:id="rId62">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63"/>
    <w:bookmarkStart w:id="65" w:name="ref-dunne2014"/>
    <w:p>
      <w:pPr>
        <w:pStyle w:val="Bibliography"/>
      </w:pPr>
      <w:r>
        <w:t xml:space="preserve">Dunne, J.A., Labandeira, C.C. &amp; Williams, R.J. (2014)</w:t>
      </w:r>
      <w:r>
        <w:t xml:space="preserve"> </w:t>
      </w:r>
      <w:hyperlink r:id="rId64">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65"/>
    <w:bookmarkStart w:id="66"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66"/>
    <w:bookmarkStart w:id="68" w:name="ref-dunne2008"/>
    <w:p>
      <w:pPr>
        <w:pStyle w:val="Bibliography"/>
      </w:pPr>
      <w:r>
        <w:t xml:space="preserve">Dunne, J.A., Williams, R.J., Martinez, N.D., Wood, R.A. &amp; Erwin, D.H. (2008)</w:t>
      </w:r>
      <w:r>
        <w:t xml:space="preserve"> </w:t>
      </w:r>
      <w:hyperlink r:id="rId67">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68"/>
    <w:bookmarkStart w:id="70" w:name="ref-erdos1959"/>
    <w:p>
      <w:pPr>
        <w:pStyle w:val="Bibliography"/>
      </w:pPr>
      <w:r>
        <w:t xml:space="preserve">Erdős, P. &amp; Rényi, A. (1959)</w:t>
      </w:r>
      <w:r>
        <w:t xml:space="preserve"> </w:t>
      </w:r>
      <w:hyperlink r:id="rId69">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70"/>
    <w:bookmarkStart w:id="72" w:name="ref-fricke2022a"/>
    <w:p>
      <w:pPr>
        <w:pStyle w:val="Bibliography"/>
      </w:pPr>
      <w:r>
        <w:t xml:space="preserve">Fricke, E.C., Hsieh, C., Middleton, O., Gorczynski, D., Cappello, C.D., Sanisidro, O., Rowan, J., Svenning, J.-C. &amp; Beaudrot, L. (2022)</w:t>
      </w:r>
      <w:r>
        <w:t xml:space="preserve"> </w:t>
      </w:r>
      <w:hyperlink r:id="rId71">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72"/>
    <w:bookmarkStart w:id="74" w:name="ref-fründ2016"/>
    <w:p>
      <w:pPr>
        <w:pStyle w:val="Bibliography"/>
      </w:pPr>
      <w:r>
        <w:t xml:space="preserve">Fründ, J., McCann, K.S. &amp; Williams, N.M. (2016)</w:t>
      </w:r>
      <w:r>
        <w:t xml:space="preserve"> </w:t>
      </w:r>
      <w:hyperlink r:id="rId73">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74"/>
    <w:bookmarkStart w:id="76" w:name="ref-gauzens2023"/>
    <w:p>
      <w:pPr>
        <w:pStyle w:val="Bibliography"/>
      </w:pPr>
      <w:r>
        <w:t xml:space="preserve">Gauzens, B., Brose, U., Delmas, E. &amp; Berti, E. (2023)</w:t>
      </w:r>
      <w:r>
        <w:t xml:space="preserve"> </w:t>
      </w:r>
      <w:hyperlink r:id="rId75">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76"/>
    <w:bookmarkStart w:id="78"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77">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78"/>
    <w:bookmarkStart w:id="80" w:name="ref-gilman2010"/>
    <w:p>
      <w:pPr>
        <w:pStyle w:val="Bibliography"/>
      </w:pPr>
      <w:r>
        <w:t xml:space="preserve">Gilman, S.E., Urban, M.C., Tewksbury, J., Gilchrist, G.W. &amp; Holt, R.D. (2010)</w:t>
      </w:r>
      <w:r>
        <w:t xml:space="preserve"> </w:t>
      </w:r>
      <w:hyperlink r:id="rId79">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80"/>
    <w:bookmarkStart w:id="82" w:name="ref-gravel2019"/>
    <w:p>
      <w:pPr>
        <w:pStyle w:val="Bibliography"/>
      </w:pPr>
      <w:r>
        <w:t xml:space="preserve">Gravel, D., Baiser, B., Dunne, J.A., Kopelke, J.-P., Martinez, N.D., Nyman, T., Poisot, T., Stouffer, D.B., Tylianakis, J.M., Wood, S.A. &amp; Roslin, T. (2019)</w:t>
      </w:r>
      <w:r>
        <w:t xml:space="preserve"> </w:t>
      </w:r>
      <w:hyperlink r:id="rId81">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82"/>
    <w:bookmarkStart w:id="84" w:name="ref-guimarães2020"/>
    <w:p>
      <w:pPr>
        <w:pStyle w:val="Bibliography"/>
      </w:pPr>
      <w:r>
        <w:t xml:space="preserve">Guimarães, P.R. (2020)</w:t>
      </w:r>
      <w:r>
        <w:t xml:space="preserve"> </w:t>
      </w:r>
      <w:hyperlink r:id="rId83">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84"/>
    <w:bookmarkStart w:id="86" w:name="ref-hao2025"/>
    <w:p>
      <w:pPr>
        <w:pStyle w:val="Bibliography"/>
      </w:pPr>
      <w:r>
        <w:t xml:space="preserve">Hao, X., Holyoak, M., Zhang, Z. &amp; Yan, C. (2025)</w:t>
      </w:r>
      <w:r>
        <w:t xml:space="preserve"> </w:t>
      </w:r>
      <w:hyperlink r:id="rId85">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86"/>
    <w:bookmarkStart w:id="88" w:name="ref-jordano2016"/>
    <w:p>
      <w:pPr>
        <w:pStyle w:val="Bibliography"/>
      </w:pPr>
      <w:r>
        <w:t xml:space="preserve">Jordano, P. (2016)</w:t>
      </w:r>
      <w:r>
        <w:t xml:space="preserve"> </w:t>
      </w:r>
      <w:hyperlink r:id="rId87">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88"/>
    <w:bookmarkStart w:id="90" w:name="ref-karapunar2026"/>
    <w:p>
      <w:pPr>
        <w:pStyle w:val="Bibliography"/>
      </w:pPr>
      <w:r>
        <w:t xml:space="preserve">Karapunar, B., Strydom, T., Beckerman, A.P., Ridgwell, A., Wignall, P.B., Dunne, J.A., Little, C.T.S., Hull, P., Pimiento, C. &amp; Dunhill, A. (2026)</w:t>
      </w:r>
      <w:r>
        <w:t xml:space="preserve"> </w:t>
      </w:r>
      <w:hyperlink r:id="rId89">
        <w:r>
          <w:rPr>
            <w:rStyle w:val="Hyperlink"/>
          </w:rPr>
          <w:t xml:space="preserve">No global collapse of food webs across the permian-triassic mass extinction</w:t>
        </w:r>
      </w:hyperlink>
      <w:r>
        <w:t xml:space="preserve">.</w:t>
      </w:r>
      <w:r>
        <w:t xml:space="preserve"> </w:t>
      </w:r>
      <w:r>
        <w:rPr>
          <w:i/>
          <w:iCs/>
        </w:rPr>
        <w:t xml:space="preserve">BioRxiv</w:t>
      </w:r>
      <w:r>
        <w:t xml:space="preserve">.</w:t>
      </w:r>
    </w:p>
    <w:bookmarkEnd w:id="90"/>
    <w:bookmarkStart w:id="92" w:name="ref-kemp2024"/>
    <w:p>
      <w:pPr>
        <w:pStyle w:val="Bibliography"/>
      </w:pPr>
      <w:r>
        <w:t xml:space="preserve">Kemp, D.B., Han, Z., Hu, X., Chen, W., Jin, S., Izumi, K., Yan, Q., Baranyi, V., Jin, X., Corso, J.D. &amp; Ge, Y. (2024)</w:t>
      </w:r>
      <w:r>
        <w:t xml:space="preserve"> </w:t>
      </w:r>
      <w:hyperlink r:id="rId91">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92"/>
    <w:bookmarkStart w:id="94" w:name="ref-marjakangas2025"/>
    <w:p>
      <w:pPr>
        <w:pStyle w:val="Bibliography"/>
      </w:pPr>
      <w:r>
        <w:t xml:space="preserve">Marjakangas, E.-L., Dalsgaard, B. &amp; Ordonez, A. (2025)</w:t>
      </w:r>
      <w:r>
        <w:t xml:space="preserve"> </w:t>
      </w:r>
      <w:hyperlink r:id="rId93">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94"/>
    <w:bookmarkStart w:id="96" w:name="ref-michalska-smith2019"/>
    <w:p>
      <w:pPr>
        <w:pStyle w:val="Bibliography"/>
      </w:pPr>
      <w:r>
        <w:t xml:space="preserve">Michalska-Smith, M.J. &amp; Allesina, S. (2019)</w:t>
      </w:r>
      <w:r>
        <w:t xml:space="preserve"> </w:t>
      </w:r>
      <w:hyperlink r:id="rId95">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96"/>
    <w:bookmarkStart w:id="98" w:name="ref-milo2002"/>
    <w:p>
      <w:pPr>
        <w:pStyle w:val="Bibliography"/>
      </w:pPr>
      <w:r>
        <w:t xml:space="preserve">Milo, R., Shen-Orr, S., Itzkovitz, S., Kashtan, N., Chklovskii, D. &amp; Alon, U. (2002)</w:t>
      </w:r>
      <w:r>
        <w:t xml:space="preserve"> </w:t>
      </w:r>
      <w:hyperlink r:id="rId97">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98"/>
    <w:bookmarkStart w:id="100" w:name="ref-morales-castilla2015"/>
    <w:p>
      <w:pPr>
        <w:pStyle w:val="Bibliography"/>
      </w:pPr>
      <w:r>
        <w:t xml:space="preserve">Morales-Castilla, I., Matias, M.G., Gravel, D. &amp; Araújo, M.B. (2015)</w:t>
      </w:r>
      <w:r>
        <w:t xml:space="preserve"> </w:t>
      </w:r>
      <w:hyperlink r:id="rId99">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00"/>
    <w:bookmarkStart w:id="102"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01">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02"/>
    <w:bookmarkStart w:id="104" w:name="ref-petchey2011"/>
    <w:p>
      <w:pPr>
        <w:pStyle w:val="Bibliography"/>
      </w:pPr>
      <w:r>
        <w:t xml:space="preserve">Petchey, O.L., Beckerman, A.P., Riede, J.O. &amp; Warren, P.H. (2011)</w:t>
      </w:r>
      <w:r>
        <w:t xml:space="preserve"> </w:t>
      </w:r>
      <w:hyperlink r:id="rId103">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04"/>
    <w:bookmarkStart w:id="106" w:name="ref-petchey2008"/>
    <w:p>
      <w:pPr>
        <w:pStyle w:val="Bibliography"/>
      </w:pPr>
      <w:r>
        <w:t xml:space="preserve">Petchey, O.L., Beckerman, A.P., Riede, J.O. &amp; Warren, P.H. (2008)</w:t>
      </w:r>
      <w:r>
        <w:t xml:space="preserve"> </w:t>
      </w:r>
      <w:hyperlink r:id="rId105">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06"/>
    <w:bookmarkStart w:id="108" w:name="ref-poisot2021"/>
    <w:p>
      <w:pPr>
        <w:pStyle w:val="Bibliography"/>
      </w:pPr>
      <w:r>
        <w:t xml:space="preserve">Poisot, T., Bergeron, G., Cazelles, K., Dallas, T., Gravel, D., MacDonald, A., Mercier, B., Violet, C. &amp; Vissault, S. (2021)</w:t>
      </w:r>
      <w:r>
        <w:t xml:space="preserve"> </w:t>
      </w:r>
      <w:hyperlink r:id="rId107">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08"/>
    <w:bookmarkStart w:id="110" w:name="ref-poisot2012a"/>
    <w:p>
      <w:pPr>
        <w:pStyle w:val="Bibliography"/>
      </w:pPr>
      <w:r>
        <w:t xml:space="preserve">Poisot, T., Canard, E., Mouillot, D., Mouquet, N. &amp; Gravel, D. (2012)</w:t>
      </w:r>
      <w:r>
        <w:t xml:space="preserve"> </w:t>
      </w:r>
      <w:hyperlink r:id="rId109">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10"/>
    <w:bookmarkStart w:id="112" w:name="ref-poisot2016"/>
    <w:p>
      <w:pPr>
        <w:pStyle w:val="Bibliography"/>
      </w:pPr>
      <w:r>
        <w:t xml:space="preserve">Poisot, T., Cirtwill, A., Cazelles, K., Gravel, D., Fortin, M.-J. &amp; Stouffer, D. (2016)</w:t>
      </w:r>
      <w:r>
        <w:t xml:space="preserve"> </w:t>
      </w:r>
      <w:hyperlink r:id="rId111">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12"/>
    <w:bookmarkStart w:id="114" w:name="ref-poisot2014"/>
    <w:p>
      <w:pPr>
        <w:pStyle w:val="Bibliography"/>
      </w:pPr>
      <w:r>
        <w:t xml:space="preserve">Poisot, T. &amp; Gravel, D. (2014)</w:t>
      </w:r>
      <w:r>
        <w:t xml:space="preserve"> </w:t>
      </w:r>
      <w:hyperlink r:id="rId113">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14"/>
    <w:bookmarkStart w:id="116" w:name="ref-poisot2015"/>
    <w:p>
      <w:pPr>
        <w:pStyle w:val="Bibliography"/>
      </w:pPr>
      <w:r>
        <w:t xml:space="preserve">Poisot, T., Stouffer, D.B. &amp; Gravel, D. (2015)</w:t>
      </w:r>
      <w:r>
        <w:t xml:space="preserve"> </w:t>
      </w:r>
      <w:hyperlink r:id="rId115">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16"/>
    <w:bookmarkStart w:id="118" w:name="ref-RCoreTeam2024"/>
    <w:p>
      <w:pPr>
        <w:pStyle w:val="Bibliography"/>
      </w:pPr>
      <w:r>
        <w:t xml:space="preserve">R Core Team (2024)</w:t>
      </w:r>
      <w:r>
        <w:t xml:space="preserve"> </w:t>
      </w:r>
      <w:hyperlink r:id="rId117">
        <w:r>
          <w:rPr>
            <w:rStyle w:val="Hyperlink"/>
            <w:i/>
            <w:iCs/>
          </w:rPr>
          <w:t xml:space="preserve">R: A language and environment for statistical computing</w:t>
        </w:r>
      </w:hyperlink>
      <w:r>
        <w:t xml:space="preserve">, R Foundation for Statistical Computing, Vienna, Austria.</w:t>
      </w:r>
    </w:p>
    <w:bookmarkEnd w:id="118"/>
    <w:bookmarkStart w:id="120" w:name="ref-rohr2010"/>
    <w:p>
      <w:pPr>
        <w:pStyle w:val="Bibliography"/>
      </w:pPr>
      <w:r>
        <w:t xml:space="preserve">Rohr, R., Scherer, H., Kehrli, P., Mazza, C. &amp; Bersier, L.-F. (2010)</w:t>
      </w:r>
      <w:r>
        <w:t xml:space="preserve"> </w:t>
      </w:r>
      <w:hyperlink r:id="rId119">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20"/>
    <w:bookmarkStart w:id="122" w:name="ref-roopnarine2006"/>
    <w:p>
      <w:pPr>
        <w:pStyle w:val="Bibliography"/>
      </w:pPr>
      <w:r>
        <w:t xml:space="preserve">Roopnarine, P.D. (2006)</w:t>
      </w:r>
      <w:r>
        <w:t xml:space="preserve"> </w:t>
      </w:r>
      <w:hyperlink r:id="rId121">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22"/>
    <w:bookmarkStart w:id="124" w:name="ref-sandra2025"/>
    <w:p>
      <w:pPr>
        <w:pStyle w:val="Bibliography"/>
      </w:pPr>
      <w:r>
        <w:t xml:space="preserve">Sandra, H.-P., Traveset, A., Nogales, M., Heleno, R., Llewelyn, J. &amp; Strona, G. (2025)</w:t>
      </w:r>
      <w:r>
        <w:t xml:space="preserve"> </w:t>
      </w:r>
      <w:hyperlink r:id="rId123">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24"/>
    <w:bookmarkStart w:id="126" w:name="ref-shaw2024"/>
    <w:p>
      <w:pPr>
        <w:pStyle w:val="Bibliography"/>
      </w:pPr>
      <w:r>
        <w:t xml:space="preserve">Shaw, J.O., Dunhill, A.M., Beckerman, A.P., Dunne, J.A. &amp; Hull, P.M. (2024)</w:t>
      </w:r>
      <w:r>
        <w:t xml:space="preserve"> </w:t>
      </w:r>
      <w:hyperlink r:id="rId125">
        <w:r>
          <w:rPr>
            <w:rStyle w:val="Hyperlink"/>
          </w:rPr>
          <w:t xml:space="preserve">A framework for reconstructing ancient food webs using functional trait data</w:t>
        </w:r>
      </w:hyperlink>
      <w:r>
        <w:t xml:space="preserve">. 2024.01.30.578036.</w:t>
      </w:r>
    </w:p>
    <w:bookmarkEnd w:id="126"/>
    <w:bookmarkStart w:id="128" w:name="ref-smith2025"/>
    <w:p>
      <w:pPr>
        <w:pStyle w:val="Bibliography"/>
      </w:pPr>
      <w:r>
        <w:t xml:space="preserve">Smith, Q.A., Tomé, C.P., Gearty, W., Smith, F.A., Shizuka, D. &amp; Lyons, S.K. (2025)</w:t>
      </w:r>
      <w:r>
        <w:t xml:space="preserve"> </w:t>
      </w:r>
      <w:hyperlink r:id="rId127">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28"/>
    <w:bookmarkStart w:id="130" w:name="ref-stouffer2019"/>
    <w:p>
      <w:pPr>
        <w:pStyle w:val="Bibliography"/>
      </w:pPr>
      <w:r>
        <w:t xml:space="preserve">Stouffer, D.B. (2019)</w:t>
      </w:r>
      <w:r>
        <w:t xml:space="preserve"> </w:t>
      </w:r>
      <w:hyperlink r:id="rId129">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30"/>
    <w:bookmarkStart w:id="132" w:name="ref-stouffer2007"/>
    <w:p>
      <w:pPr>
        <w:pStyle w:val="Bibliography"/>
      </w:pPr>
      <w:r>
        <w:t xml:space="preserve">Stouffer, D.B., Camacho, J., Jiang, W. &amp; Nunes Amaral, L.A. (2007)</w:t>
      </w:r>
      <w:r>
        <w:t xml:space="preserve"> </w:t>
      </w:r>
      <w:hyperlink r:id="rId131">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w:t>
      </w:r>
      <w:r>
        <w:t xml:space="preserve"> </w:t>
      </w:r>
      <w:r>
        <w:rPr>
          <w:b/>
          <w:bCs/>
        </w:rPr>
        <w:t xml:space="preserve">274</w:t>
      </w:r>
      <w:r>
        <w:t xml:space="preserve">, 1931–1940.</w:t>
      </w:r>
    </w:p>
    <w:bookmarkEnd w:id="132"/>
    <w:bookmarkStart w:id="134" w:name="ref-strydom2021"/>
    <w:p>
      <w:pPr>
        <w:pStyle w:val="Bibliography"/>
      </w:pPr>
      <w:r>
        <w:t xml:space="preserve">Strydom, T., Catchen, M.D., Banville, F., Caron, D., Dansereau, G., Desjardins-Proulx, P., Forero-Muñoz, N.R., Higino, G., Mercier, B., Gonzalez, A., Gravel, D., Pollock, L. &amp; Poisot, T. (2021)</w:t>
      </w:r>
      <w:r>
        <w:t xml:space="preserve"> </w:t>
      </w:r>
      <w:hyperlink r:id="rId133">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34"/>
    <w:bookmarkStart w:id="136" w:name="ref-strydom2026"/>
    <w:p>
      <w:pPr>
        <w:pStyle w:val="Bibliography"/>
      </w:pPr>
      <w:r>
        <w:t xml:space="preserve">Strydom, T., Dunhill, A.M., Dunne, J.A., Poisot, T. &amp; Beckerman, A.P. (2026)</w:t>
      </w:r>
      <w:r>
        <w:t xml:space="preserve"> </w:t>
      </w:r>
      <w:hyperlink r:id="rId135">
        <w:r>
          <w:rPr>
            <w:rStyle w:val="Hyperlink"/>
          </w:rPr>
          <w:t xml:space="preserve">Scaling from metawebs to realised webs: A hierarchical approach to network ecology</w:t>
        </w:r>
      </w:hyperlink>
      <w:r>
        <w:t xml:space="preserve">.</w:t>
      </w:r>
      <w:r>
        <w:t xml:space="preserve"> </w:t>
      </w:r>
      <w:r>
        <w:rPr>
          <w:i/>
          <w:iCs/>
        </w:rPr>
        <w:t xml:space="preserve">EcoEvoRxiv</w:t>
      </w:r>
      <w:r>
        <w:t xml:space="preserve">.</w:t>
      </w:r>
    </w:p>
    <w:bookmarkEnd w:id="136"/>
    <w:bookmarkStart w:id="138" w:name="ref-thuiller2024"/>
    <w:p>
      <w:pPr>
        <w:pStyle w:val="Bibliography"/>
      </w:pPr>
      <w:r>
        <w:t xml:space="preserve">Thuiller, W., Calderón-Sanou, I., Chalmandrier, L., Gaüzère, P., O’Connor, L.M.J., Ohlmann, M., Poggiato, G. &amp; Münkemüller, T. (2024)</w:t>
      </w:r>
      <w:r>
        <w:t xml:space="preserve"> </w:t>
      </w:r>
      <w:hyperlink r:id="rId137">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38"/>
    <w:bookmarkStart w:id="140" w:name="ref-trøjelsgaard2016"/>
    <w:p>
      <w:pPr>
        <w:pStyle w:val="Bibliography"/>
      </w:pPr>
      <w:r>
        <w:t xml:space="preserve">Trøjelsgaard, K. &amp; Olesen, J.M. (2016)</w:t>
      </w:r>
      <w:r>
        <w:t xml:space="preserve"> </w:t>
      </w:r>
      <w:hyperlink r:id="rId139">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40"/>
    <w:bookmarkStart w:id="142" w:name="ref-tylianakis2008"/>
    <w:p>
      <w:pPr>
        <w:pStyle w:val="Bibliography"/>
      </w:pPr>
      <w:r>
        <w:t xml:space="preserve">Tylianakis, J.M., Didham, R.K., Bascompte, J. &amp; Wardle, D.A. (2008)</w:t>
      </w:r>
      <w:r>
        <w:t xml:space="preserve"> </w:t>
      </w:r>
      <w:hyperlink r:id="rId141">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42"/>
    <w:bookmarkStart w:id="144" w:name="ref-tylianakis2017"/>
    <w:p>
      <w:pPr>
        <w:pStyle w:val="Bibliography"/>
      </w:pPr>
      <w:r>
        <w:t xml:space="preserve">Tylianakis, J.M. &amp; Morris, R.J. (2017)</w:t>
      </w:r>
      <w:r>
        <w:t xml:space="preserve"> </w:t>
      </w:r>
      <w:hyperlink r:id="rId143">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44"/>
    <w:bookmarkStart w:id="146" w:name="ref-williams2000"/>
    <w:p>
      <w:pPr>
        <w:pStyle w:val="Bibliography"/>
      </w:pPr>
      <w:r>
        <w:t xml:space="preserve">Williams, R.J. &amp; Martinez, N.D. (2000)</w:t>
      </w:r>
      <w:r>
        <w:t xml:space="preserve"> </w:t>
      </w:r>
      <w:hyperlink r:id="rId145">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46"/>
    <w:bookmarkStart w:id="148" w:name="ref-williams2004"/>
    <w:p>
      <w:pPr>
        <w:pStyle w:val="Bibliography"/>
      </w:pPr>
      <w:r>
        <w:t xml:space="preserve">Williams, R.J. &amp; Martinez, N.D. (2004)</w:t>
      </w:r>
      <w:r>
        <w:t xml:space="preserve"> </w:t>
      </w:r>
      <w:hyperlink r:id="rId147">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48"/>
    <w:bookmarkStart w:id="150" w:name="ref-williams2008"/>
    <w:p>
      <w:pPr>
        <w:pStyle w:val="Bibliography"/>
      </w:pPr>
      <w:r>
        <w:t xml:space="preserve">Williams, R.J. &amp; Martinez, N.D. (2008)</w:t>
      </w:r>
      <w:r>
        <w:t xml:space="preserve"> </w:t>
      </w:r>
      <w:hyperlink r:id="rId149">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50"/>
    <w:bookmarkStart w:id="152" w:name="ref-yeakel2014"/>
    <w:p>
      <w:pPr>
        <w:pStyle w:val="Bibliography"/>
      </w:pPr>
      <w:r>
        <w:t xml:space="preserve">Yeakel, J.D., Pires, M.M., Rudolf, L., Dominy, N.J., Koch, P.L., Guimarães, P.R. &amp; Gross, T. (2014)</w:t>
      </w:r>
      <w:r>
        <w:t xml:space="preserve"> </w:t>
      </w:r>
      <w:hyperlink r:id="rId151">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11" Target="https://doi.org/10" TargetMode="External" /><Relationship Type="http://schemas.openxmlformats.org/officeDocument/2006/relationships/hyperlink" Id="rId58"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3"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79" Target="https://doi.org/10.1016/j.tree.2010.03.002" TargetMode="External" /><Relationship Type="http://schemas.openxmlformats.org/officeDocument/2006/relationships/hyperlink" Id="rId99" Target="https://doi.org/10.1016/j.tree.2015.03.014" TargetMode="External" /><Relationship Type="http://schemas.openxmlformats.org/officeDocument/2006/relationships/hyperlink" Id="rId145"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2" Target="https://doi.org/10.1038/s41467-024-53000-2" TargetMode="External" /><Relationship Type="http://schemas.openxmlformats.org/officeDocument/2006/relationships/hyperlink" Id="rId77" Target="https://doi.org/10.1038/s44358-025-00056-7" TargetMode="External" /><Relationship Type="http://schemas.openxmlformats.org/officeDocument/2006/relationships/hyperlink" Id="rId105" Target="https://doi.org/10.1073/pnas.0710672105" TargetMode="External" /><Relationship Type="http://schemas.openxmlformats.org/officeDocument/2006/relationships/hyperlink" Id="rId151" Target="https://doi.org/10.1073/pnas.1408471111" TargetMode="External" /><Relationship Type="http://schemas.openxmlformats.org/officeDocument/2006/relationships/hyperlink" Id="rId119" Target="https://doi.org/10.1086/653667" TargetMode="External" /><Relationship Type="http://schemas.openxmlformats.org/officeDocument/2006/relationships/hyperlink" Id="rId131" Target="https://doi.org/10.1098/rspb.2007.0571" TargetMode="External" /><Relationship Type="http://schemas.openxmlformats.org/officeDocument/2006/relationships/hyperlink" Id="rId64" Target="https://doi.org/10.1098/rspb.2013.3280" TargetMode="External" /><Relationship Type="http://schemas.openxmlformats.org/officeDocument/2006/relationships/hyperlink" Id="rId133" Target="https://doi.org/10.1098/rstb.2021.0063" TargetMode="External" /><Relationship Type="http://schemas.openxmlformats.org/officeDocument/2006/relationships/hyperlink" Id="rId125" Target="https://doi.org/10.1101/2024.01.30.578036" TargetMode="External" /><Relationship Type="http://schemas.openxmlformats.org/officeDocument/2006/relationships/hyperlink" Id="rId139" Target="https://doi.org/10.1111/1365-2435.12710" TargetMode="External" /><Relationship Type="http://schemas.openxmlformats.org/officeDocument/2006/relationships/hyperlink" Id="rId87" Target="https://doi.org/10.1111/1365-2435.12763" TargetMode="External" /><Relationship Type="http://schemas.openxmlformats.org/officeDocument/2006/relationships/hyperlink" Id="rId129" Target="https://doi.org/10.1111/1365-2656.12949" TargetMode="External" /><Relationship Type="http://schemas.openxmlformats.org/officeDocument/2006/relationships/hyperlink" Id="rId75" Target="https://doi.org/10.1111/2041-210X.14212" TargetMode="External" /><Relationship Type="http://schemas.openxmlformats.org/officeDocument/2006/relationships/hyperlink" Id="rId101" Target="https://doi.org/10.1111/brv.12366" TargetMode="External" /><Relationship Type="http://schemas.openxmlformats.org/officeDocument/2006/relationships/hyperlink" Id="rId60" Target="https://doi.org/10.1111/brv.12433" TargetMode="External" /><Relationship Type="http://schemas.openxmlformats.org/officeDocument/2006/relationships/hyperlink" Id="rId81"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93"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85" Target="https://doi.org/10.1111/gcb.70061" TargetMode="External" /><Relationship Type="http://schemas.openxmlformats.org/officeDocument/2006/relationships/hyperlink" Id="rId127" Target="https://doi.org/10.1111/geb.70113" TargetMode="External" /><Relationship Type="http://schemas.openxmlformats.org/officeDocument/2006/relationships/hyperlink" Id="rId149" Target="https://doi.org/10.1111/j.1365-2656.2008.01362.x" TargetMode="External" /><Relationship Type="http://schemas.openxmlformats.org/officeDocument/2006/relationships/hyperlink" Id="rId141"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7"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3" Target="https://doi.org/10.1111/oik.02256" TargetMode="External" /><Relationship Type="http://schemas.openxmlformats.org/officeDocument/2006/relationships/hyperlink" Id="rId97" Target="https://doi.org/10.1126/science.298.5594.824" TargetMode="External" /><Relationship Type="http://schemas.openxmlformats.org/officeDocument/2006/relationships/hyperlink" Id="rId71" Target="https://doi.org/10.1126/science.abn4012" TargetMode="External" /><Relationship Type="http://schemas.openxmlformats.org/officeDocument/2006/relationships/hyperlink" Id="rId54" Target="https://doi.org/10.1137/141000671" TargetMode="External" /><Relationship Type="http://schemas.openxmlformats.org/officeDocument/2006/relationships/hyperlink" Id="rId147" Target="https://doi.org/10.1140/epjb/e2004-00122-1" TargetMode="External" /><Relationship Type="http://schemas.openxmlformats.org/officeDocument/2006/relationships/hyperlink" Id="rId83" Target="https://doi.org/10.1146/annurev-ecolsys-012220-120819" TargetMode="External" /><Relationship Type="http://schemas.openxmlformats.org/officeDocument/2006/relationships/hyperlink" Id="rId143" Target="https://doi.org/10.1146/annurev-ecolsys-110316-022821" TargetMode="External" /><Relationship Type="http://schemas.openxmlformats.org/officeDocument/2006/relationships/hyperlink" Id="rId67" Target="https://doi.org/10.1371/journal.pbio.0060102" TargetMode="External" /><Relationship Type="http://schemas.openxmlformats.org/officeDocument/2006/relationships/hyperlink" Id="rId95" Target="https://doi.org/10.1371/journal.pcbi.1007076" TargetMode="External" /><Relationship Type="http://schemas.openxmlformats.org/officeDocument/2006/relationships/hyperlink" Id="rId56" Target="https://doi.org/10.1890/0012-9658(2006)87[2411:CBRINF]2.0.CO;2" TargetMode="External" /><Relationship Type="http://schemas.openxmlformats.org/officeDocument/2006/relationships/hyperlink" Id="rId135" Target="https://doi.org/10.32942/X2JW8K" TargetMode="External" /><Relationship Type="http://schemas.openxmlformats.org/officeDocument/2006/relationships/hyperlink" Id="rId69" Target="https://doi.org/10.5486/pmd.1959.6.3-4.12" TargetMode="External" /><Relationship Type="http://schemas.openxmlformats.org/officeDocument/2006/relationships/hyperlink" Id="rId89" Target="https://doi.org/10.64898/2026.02.24.707709" TargetMode="External" /><Relationship Type="http://schemas.openxmlformats.org/officeDocument/2006/relationships/hyperlink" Id="rId113" Target="https://doi.org/10.7717/peerj.251" TargetMode="External" /><Relationship Type="http://schemas.openxmlformats.org/officeDocument/2006/relationships/hyperlink" Id="rId117" Target="https://www.R-project.org/" TargetMode="External" /><Relationship Type="http://schemas.openxmlformats.org/officeDocument/2006/relationships/hyperlink" Id="rId121"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 TargetMode="External" /><Relationship Type="http://schemas.openxmlformats.org/officeDocument/2006/relationships/hyperlink" Id="rId58"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3"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79" Target="https://doi.org/10.1016/j.tree.2010.03.002" TargetMode="External" /><Relationship Type="http://schemas.openxmlformats.org/officeDocument/2006/relationships/hyperlink" Id="rId99" Target="https://doi.org/10.1016/j.tree.2015.03.014" TargetMode="External" /><Relationship Type="http://schemas.openxmlformats.org/officeDocument/2006/relationships/hyperlink" Id="rId145"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2" Target="https://doi.org/10.1038/s41467-024-53000-2" TargetMode="External" /><Relationship Type="http://schemas.openxmlformats.org/officeDocument/2006/relationships/hyperlink" Id="rId77" Target="https://doi.org/10.1038/s44358-025-00056-7" TargetMode="External" /><Relationship Type="http://schemas.openxmlformats.org/officeDocument/2006/relationships/hyperlink" Id="rId105" Target="https://doi.org/10.1073/pnas.0710672105" TargetMode="External" /><Relationship Type="http://schemas.openxmlformats.org/officeDocument/2006/relationships/hyperlink" Id="rId151" Target="https://doi.org/10.1073/pnas.1408471111" TargetMode="External" /><Relationship Type="http://schemas.openxmlformats.org/officeDocument/2006/relationships/hyperlink" Id="rId119" Target="https://doi.org/10.1086/653667" TargetMode="External" /><Relationship Type="http://schemas.openxmlformats.org/officeDocument/2006/relationships/hyperlink" Id="rId131" Target="https://doi.org/10.1098/rspb.2007.0571" TargetMode="External" /><Relationship Type="http://schemas.openxmlformats.org/officeDocument/2006/relationships/hyperlink" Id="rId64" Target="https://doi.org/10.1098/rspb.2013.3280" TargetMode="External" /><Relationship Type="http://schemas.openxmlformats.org/officeDocument/2006/relationships/hyperlink" Id="rId133" Target="https://doi.org/10.1098/rstb.2021.0063" TargetMode="External" /><Relationship Type="http://schemas.openxmlformats.org/officeDocument/2006/relationships/hyperlink" Id="rId125" Target="https://doi.org/10.1101/2024.01.30.578036" TargetMode="External" /><Relationship Type="http://schemas.openxmlformats.org/officeDocument/2006/relationships/hyperlink" Id="rId139" Target="https://doi.org/10.1111/1365-2435.12710" TargetMode="External" /><Relationship Type="http://schemas.openxmlformats.org/officeDocument/2006/relationships/hyperlink" Id="rId87" Target="https://doi.org/10.1111/1365-2435.12763" TargetMode="External" /><Relationship Type="http://schemas.openxmlformats.org/officeDocument/2006/relationships/hyperlink" Id="rId129" Target="https://doi.org/10.1111/1365-2656.12949" TargetMode="External" /><Relationship Type="http://schemas.openxmlformats.org/officeDocument/2006/relationships/hyperlink" Id="rId75" Target="https://doi.org/10.1111/2041-210X.14212" TargetMode="External" /><Relationship Type="http://schemas.openxmlformats.org/officeDocument/2006/relationships/hyperlink" Id="rId101" Target="https://doi.org/10.1111/brv.12366" TargetMode="External" /><Relationship Type="http://schemas.openxmlformats.org/officeDocument/2006/relationships/hyperlink" Id="rId60" Target="https://doi.org/10.1111/brv.12433" TargetMode="External" /><Relationship Type="http://schemas.openxmlformats.org/officeDocument/2006/relationships/hyperlink" Id="rId81"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93"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85" Target="https://doi.org/10.1111/gcb.70061" TargetMode="External" /><Relationship Type="http://schemas.openxmlformats.org/officeDocument/2006/relationships/hyperlink" Id="rId127" Target="https://doi.org/10.1111/geb.70113" TargetMode="External" /><Relationship Type="http://schemas.openxmlformats.org/officeDocument/2006/relationships/hyperlink" Id="rId149" Target="https://doi.org/10.1111/j.1365-2656.2008.01362.x" TargetMode="External" /><Relationship Type="http://schemas.openxmlformats.org/officeDocument/2006/relationships/hyperlink" Id="rId141"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7"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3" Target="https://doi.org/10.1111/oik.02256" TargetMode="External" /><Relationship Type="http://schemas.openxmlformats.org/officeDocument/2006/relationships/hyperlink" Id="rId97" Target="https://doi.org/10.1126/science.298.5594.824" TargetMode="External" /><Relationship Type="http://schemas.openxmlformats.org/officeDocument/2006/relationships/hyperlink" Id="rId71" Target="https://doi.org/10.1126/science.abn4012" TargetMode="External" /><Relationship Type="http://schemas.openxmlformats.org/officeDocument/2006/relationships/hyperlink" Id="rId54" Target="https://doi.org/10.1137/141000671" TargetMode="External" /><Relationship Type="http://schemas.openxmlformats.org/officeDocument/2006/relationships/hyperlink" Id="rId147" Target="https://doi.org/10.1140/epjb/e2004-00122-1" TargetMode="External" /><Relationship Type="http://schemas.openxmlformats.org/officeDocument/2006/relationships/hyperlink" Id="rId83" Target="https://doi.org/10.1146/annurev-ecolsys-012220-120819" TargetMode="External" /><Relationship Type="http://schemas.openxmlformats.org/officeDocument/2006/relationships/hyperlink" Id="rId143" Target="https://doi.org/10.1146/annurev-ecolsys-110316-022821" TargetMode="External" /><Relationship Type="http://schemas.openxmlformats.org/officeDocument/2006/relationships/hyperlink" Id="rId67" Target="https://doi.org/10.1371/journal.pbio.0060102" TargetMode="External" /><Relationship Type="http://schemas.openxmlformats.org/officeDocument/2006/relationships/hyperlink" Id="rId95" Target="https://doi.org/10.1371/journal.pcbi.1007076" TargetMode="External" /><Relationship Type="http://schemas.openxmlformats.org/officeDocument/2006/relationships/hyperlink" Id="rId56" Target="https://doi.org/10.1890/0012-9658(2006)87[2411:CBRINF]2.0.CO;2" TargetMode="External" /><Relationship Type="http://schemas.openxmlformats.org/officeDocument/2006/relationships/hyperlink" Id="rId135" Target="https://doi.org/10.32942/X2JW8K" TargetMode="External" /><Relationship Type="http://schemas.openxmlformats.org/officeDocument/2006/relationships/hyperlink" Id="rId69" Target="https://doi.org/10.5486/pmd.1959.6.3-4.12" TargetMode="External" /><Relationship Type="http://schemas.openxmlformats.org/officeDocument/2006/relationships/hyperlink" Id="rId89" Target="https://doi.org/10.64898/2026.02.24.707709" TargetMode="External" /><Relationship Type="http://schemas.openxmlformats.org/officeDocument/2006/relationships/hyperlink" Id="rId113" Target="https://doi.org/10.7717/peerj.251" TargetMode="External" /><Relationship Type="http://schemas.openxmlformats.org/officeDocument/2006/relationships/hyperlink" Id="rId117" Target="https://www.R-project.org/" TargetMode="External" /><Relationship Type="http://schemas.openxmlformats.org/officeDocument/2006/relationships/hyperlink" Id="rId121"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reconstruction approach conditions ecological inference in food web reconstruction</dc:title>
  <dc:creator>Tanya Strydom; Baran Karapunar; Jennifer A. Dunne; Pincelli M. Hull; Crispin T.S. Little; Catalina Pimiento; Andy Ridgwell; Andrew P. Beckerman; Alexander Dunhill</dc:creator>
  <cp:keywords>Ecological networks, Biotic interactions, Community assembly, Environmental gradients, Interaction turnover, Trophic organisation, Ecosystem resilience, Macroecology</cp:keywords>
  <dcterms:created xsi:type="dcterms:W3CDTF">2026-04-21T15:56:17Z</dcterms:created>
  <dcterms:modified xsi:type="dcterms:W3CDTF">2026-04-21T15:56:17Z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assess community structure, stability, and responses to disturbance. Such networks often require model-based reconstructions (e.g., based on traits or theoretical constraints); however, the extent to which these frameworks influence ecological inference remains unexplored. Here, we assess whether macroecological inference derived from ecological networks is robust to variation in reconstruction framework.LocationCleveland Basin, United Kingdom.Time periodToarcian extinction event (Early Jurassic, late Pliensbachian–late Toarcian, ~183 Ma).Major taxa studiedShelly 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https://www.zotero.org/styles/global-ecology-and-biogeography</vt:lpwstr>
  </property>
  <property fmtid="{D5CDD505-2E9C-101B-9397-08002B2CF9AE}" pid="12" name="date">
    <vt:lpwstr>2026-04-21</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