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2026-04-01</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w:t>
      </w:r>
      <w:r>
        <w:t xml:space="preserve"> </w:t>
      </w:r>
      <w:r>
        <w:rPr>
          <w:i/>
          <w:iCs/>
        </w:rPr>
        <w:t xml:space="preserve">et al.</w:t>
      </w:r>
      <w:r>
        <w:t xml:space="preserve">, 2016; Jordano, 2016)</w:t>
      </w:r>
      <w:r>
        <w:t xml:space="preserve">.</w:t>
      </w:r>
    </w:p>
    <w:p>
      <w:pPr>
        <w:pStyle w:val="BodyText"/>
      </w:pPr>
      <w:r>
        <w:t xml:space="preserve">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 Interactions must often be inferred indirectly from traits, phylogeny, body size,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priors over interaction topology, then differences among communities may reflect reconstruction assumptions rather than ecological processes. Consequently, here we test whether macroecological inference derived from ecological networks is robust to variation in reconstruction framework, asking which aspects of network-based inference are stable across plausible representations of interaction structure and which are intrinsically reconstruction approach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rendering reconstruction approach assumptions transparent. Against this stringency, here we re-evaluate inferences made by</w:t>
      </w:r>
      <w:r>
        <w:t xml:space="preserve"> </w:t>
      </w:r>
      <w:r>
        <w:t xml:space="preserve">Dunhill</w:t>
      </w:r>
      <w:r>
        <w:t xml:space="preserve"> </w:t>
      </w:r>
      <w:r>
        <w:rPr>
          <w:i/>
          <w:iCs/>
        </w:rPr>
        <w:t xml:space="preserve">et al.</w:t>
      </w:r>
      <w:r>
        <w:t xml:space="preserve"> </w:t>
      </w:r>
      <w:r>
        <w:t xml:space="preserve">(2024)</w:t>
      </w:r>
      <w:r>
        <w:t xml:space="preserve"> </w:t>
      </w:r>
      <w:r>
        <w:t xml:space="preserve">on community structure and extinction dynamics during the Early Toarcian Extinction Event (ETEE; ~183 Ma),a marine biotic crisis in the Early Jurassic, likely caused by a volcanic-driven hyperthermal event</w:t>
      </w:r>
      <w:r>
        <w:t xml:space="preserve"> </w:t>
      </w:r>
      <w:r>
        <w:t xml:space="preserve">(Kemp</w:t>
      </w:r>
      <w:r>
        <w:t xml:space="preserve"> </w:t>
      </w:r>
      <w:r>
        <w:rPr>
          <w:i/>
          <w:iCs/>
        </w:rPr>
        <w:t xml:space="preserve">et al.</w:t>
      </w:r>
      <w:r>
        <w:t xml:space="preserve">,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reconstruction approaches, we can determine if the</w:t>
      </w:r>
      <w:r>
        <w:t xml:space="preserve"> </w:t>
      </w:r>
      <w:r>
        <w:t xml:space="preserve">Dunhill</w:t>
      </w:r>
      <w:r>
        <w:t xml:space="preserve"> </w:t>
      </w:r>
      <w:r>
        <w:rPr>
          <w:i/>
          <w:iCs/>
        </w:rPr>
        <w:t xml:space="preserve">et al.</w:t>
      </w:r>
      <w:r>
        <w:t xml:space="preserve"> </w:t>
      </w:r>
      <w:r>
        <w:t xml:space="preserve">(2024)</w:t>
      </w:r>
      <w:r>
        <w:t xml:space="preserve"> </w:t>
      </w:r>
      <w:r>
        <w:t xml:space="preserve">conclusions remain robust or if a different choice of reconstruction method would have led to fundamentally different inferences about extinction dynamics. Using four successive assemblages, we reconstruct ecological networks under six contrasting reconstruction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reconstruction approach used, this design isolates the influence of reconstruction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and late recovery (Middle/Upper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palaeontological research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 use reconstruction approaches from within the feasibility space. That is, the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Along with one feasibility reconstruction approach we include structural models that create species agnostic networks that are structurally ‘correct’ by assigning links between nodes based on assumptions of link distributions; and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approaches (ADBM, ATN, Body-size ratio) differ primarily in their underlying ecological assumptions. Although all three approaches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approaches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For each community, 100 networks were generated per reconstruction approach per successive community (n = 2400) to capture stochastic variation in link assignment. Where reconstruction approaches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parameterised using connectance values drawn from an empirically realistic range (0.07 – 0.34), with species richness held constant. Identical parameter draws were applied across comparable reconstruction approaches within each replicate to ensure comparability.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are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inter-reconstruction approach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w:t>
      </w:r>
      <w:r>
        <w:t xml:space="preserve"> </w:t>
      </w:r>
      <w:r>
        <w:rPr>
          <w:i/>
          <w:iCs/>
        </w:rPr>
        <w:t xml:space="preserve">et al.</w:t>
      </w:r>
      <w:r>
        <w:t xml:space="preserve"> </w:t>
      </w:r>
      <w:r>
        <w:t xml:space="preserve">(2024)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Karapunar</w:t>
      </w:r>
      <w:r>
        <w:t xml:space="preserve"> </w:t>
      </w:r>
      <w:r>
        <w:rPr>
          <w:i/>
          <w:iCs/>
        </w:rPr>
        <w:t xml:space="preserve">et al.</w:t>
      </w:r>
      <w:r>
        <w:t xml:space="preserve"> </w:t>
      </w:r>
      <w:r>
        <w:t xml:space="preserve">(2026)</w:t>
      </w:r>
      <w:r>
        <w:t xml:space="preserve">;</w:t>
      </w:r>
      <w:r>
        <w:t xml:space="preserve"> </w:t>
      </w:r>
      <w:r>
        <w:t xml:space="preserve">Smith</w:t>
      </w:r>
      <w:r>
        <w:t xml:space="preserve"> </w:t>
      </w:r>
      <w:r>
        <w:rPr>
          <w:i/>
          <w:iCs/>
        </w:rPr>
        <w:t xml:space="preserve">et al.</w:t>
      </w:r>
      <w:r>
        <w:t xml:space="preserve"> </w:t>
      </w:r>
      <w:r>
        <w:t xml:space="preserve">(2025)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reconstruction approach represents a distinct hypothesis about how interactions are constrained—by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54" w:name="references"/>
    <w:p>
      <w:pPr>
        <w:pStyle w:val="Heading1"/>
      </w:pPr>
      <w:r>
        <w:t xml:space="preserve">References</w:t>
      </w:r>
    </w:p>
    <w:bookmarkStart w:id="153" w:name="refs"/>
    <w:bookmarkStart w:id="49" w:name="ref-allesina2012"/>
    <w:p>
      <w:pPr>
        <w:pStyle w:val="Bibliography"/>
      </w:pPr>
      <w:r>
        <w:t xml:space="preserve">Allesina, S. &amp; Tang, S. (2012)</w:t>
      </w:r>
      <w:r>
        <w:t xml:space="preserve"> </w:t>
      </w:r>
      <w:hyperlink r:id="rId48">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49"/>
    <w:bookmarkStart w:id="51" w:name="ref-bambach2007"/>
    <w:p>
      <w:pPr>
        <w:pStyle w:val="Bibliography"/>
      </w:pPr>
      <w:r>
        <w:t xml:space="preserve">Bambach, R.K., Bush, A.M. &amp; Erwin, D.H. (2007)</w:t>
      </w:r>
      <w:r>
        <w:t xml:space="preserve"> </w:t>
      </w:r>
      <w:hyperlink r:id="rId50">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1"/>
    <w:bookmarkStart w:id="53" w:name="ref-banville2025"/>
    <w:p>
      <w:pPr>
        <w:pStyle w:val="Bibliography"/>
      </w:pPr>
      <w:r>
        <w:t xml:space="preserve">Banville, F., Strydom, T., Blyth, P.S.A., Brimacombe, C., Catchen, M.D., Dansereau, G., Higino, G., Malpas, T., Mayall, H., Norman, K., Gravel, D. &amp; Poisot, T. (2025)</w:t>
      </w:r>
      <w:r>
        <w:t xml:space="preserve"> </w:t>
      </w:r>
      <w:hyperlink r:id="rId52">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3"/>
    <w:bookmarkStart w:id="55" w:name="ref-Bezanson2017Julia"/>
    <w:p>
      <w:pPr>
        <w:pStyle w:val="Bibliography"/>
      </w:pPr>
      <w:r>
        <w:t xml:space="preserve">Bezanson, J., Edelman, A., Karpinski, S. &amp; Shah, V.B. (2017)</w:t>
      </w:r>
      <w:r>
        <w:t xml:space="preserve"> </w:t>
      </w:r>
      <w:hyperlink r:id="rId54">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5"/>
    <w:bookmarkStart w:id="57"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6">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7"/>
    <w:bookmarkStart w:id="59" w:name="ref-curtsdotter2011"/>
    <w:p>
      <w:pPr>
        <w:pStyle w:val="Bibliography"/>
      </w:pPr>
      <w:r>
        <w:t xml:space="preserve">Curtsdotter, A., Binzer, A., Brose, U., De Castro, F., Ebenman, B., Eklöf, A., Riede, J.O., Thierry, A. &amp; Rall, B.C. (2011)</w:t>
      </w:r>
      <w:r>
        <w:t xml:space="preserve"> </w:t>
      </w:r>
      <w:hyperlink r:id="rId58">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59"/>
    <w:bookmarkStart w:id="61"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0">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1"/>
    <w:bookmarkStart w:id="63" w:name="ref-dunhill2024"/>
    <w:p>
      <w:pPr>
        <w:pStyle w:val="Bibliography"/>
      </w:pPr>
      <w:r>
        <w:t xml:space="preserve">Dunhill, A.M., Zarzyczny, K., Shaw, J.O., Atkinson, J.W., Little, C.T.S. &amp; Beckerman, A.P. (2024)</w:t>
      </w:r>
      <w:r>
        <w:t xml:space="preserve"> </w:t>
      </w:r>
      <w:hyperlink r:id="rId62">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3"/>
    <w:bookmarkStart w:id="65" w:name="ref-dunne2014"/>
    <w:p>
      <w:pPr>
        <w:pStyle w:val="Bibliography"/>
      </w:pPr>
      <w:r>
        <w:t xml:space="preserve">Dunne, J.A., Labandeira, C.C. &amp; Williams, R.J. (2014)</w:t>
      </w:r>
      <w:r>
        <w:t xml:space="preserve"> </w:t>
      </w:r>
      <w:hyperlink r:id="rId64">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5"/>
    <w:bookmarkStart w:id="66"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66"/>
    <w:bookmarkStart w:id="68" w:name="ref-dunne2008"/>
    <w:p>
      <w:pPr>
        <w:pStyle w:val="Bibliography"/>
      </w:pPr>
      <w:r>
        <w:t xml:space="preserve">Dunne, J.A., Williams, R.J., Martinez, N.D., Wood, R.A. &amp; Erwin, D.H. (2008)</w:t>
      </w:r>
      <w:r>
        <w:t xml:space="preserve"> </w:t>
      </w:r>
      <w:hyperlink r:id="rId67">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68"/>
    <w:bookmarkStart w:id="70" w:name="ref-erdos1959"/>
    <w:p>
      <w:pPr>
        <w:pStyle w:val="Bibliography"/>
      </w:pPr>
      <w:r>
        <w:t xml:space="preserve">Erdős, P. &amp; Rényi, A. (1959)</w:t>
      </w:r>
      <w:r>
        <w:t xml:space="preserve"> </w:t>
      </w:r>
      <w:hyperlink r:id="rId69">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0"/>
    <w:bookmarkStart w:id="72" w:name="ref-fricke2022a"/>
    <w:p>
      <w:pPr>
        <w:pStyle w:val="Bibliography"/>
      </w:pPr>
      <w:r>
        <w:t xml:space="preserve">Fricke, E.C., Hsieh, C., Middleton, O., Gorczynski, D., Cappello, C.D., Sanisidro, O., Rowan, J., Svenning, J.-C. &amp; Beaudrot, L. (2022)</w:t>
      </w:r>
      <w:r>
        <w:t xml:space="preserve"> </w:t>
      </w:r>
      <w:hyperlink r:id="rId71">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2"/>
    <w:bookmarkStart w:id="74" w:name="ref-fründ2016"/>
    <w:p>
      <w:pPr>
        <w:pStyle w:val="Bibliography"/>
      </w:pPr>
      <w:r>
        <w:t xml:space="preserve">Fründ, J., McCann, K.S. &amp; Williams, N.M. (2016)</w:t>
      </w:r>
      <w:r>
        <w:t xml:space="preserve"> </w:t>
      </w:r>
      <w:hyperlink r:id="rId73">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4"/>
    <w:bookmarkStart w:id="76" w:name="ref-gauzens2023"/>
    <w:p>
      <w:pPr>
        <w:pStyle w:val="Bibliography"/>
      </w:pPr>
      <w:r>
        <w:t xml:space="preserve">Gauzens, B., Brose, U., Delmas, E. &amp; Berti, E. (2023)</w:t>
      </w:r>
      <w:r>
        <w:t xml:space="preserve"> </w:t>
      </w:r>
      <w:hyperlink r:id="rId75">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76"/>
    <w:bookmarkStart w:id="78"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77">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78"/>
    <w:bookmarkStart w:id="80" w:name="ref-gilman2010"/>
    <w:p>
      <w:pPr>
        <w:pStyle w:val="Bibliography"/>
      </w:pPr>
      <w:r>
        <w:t xml:space="preserve">Gilman, S.E., Urban, M.C., Tewksbury, J., Gilchrist, G.W. &amp; Holt, R.D. (2010)</w:t>
      </w:r>
      <w:r>
        <w:t xml:space="preserve"> </w:t>
      </w:r>
      <w:hyperlink r:id="rId79">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0"/>
    <w:bookmarkStart w:id="82" w:name="ref-gravel2019"/>
    <w:p>
      <w:pPr>
        <w:pStyle w:val="Bibliography"/>
      </w:pPr>
      <w:r>
        <w:t xml:space="preserve">Gravel, D., Baiser, B., Dunne, J.A., Kopelke, J.-P., Martinez, N.D., Nyman, T., Poisot, T., Stouffer, D.B., Tylianakis, J.M., Wood, S.A. &amp; Roslin, T. (2019)</w:t>
      </w:r>
      <w:r>
        <w:t xml:space="preserve"> </w:t>
      </w:r>
      <w:hyperlink r:id="rId81">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2"/>
    <w:bookmarkStart w:id="84" w:name="ref-guimarães2020"/>
    <w:p>
      <w:pPr>
        <w:pStyle w:val="Bibliography"/>
      </w:pPr>
      <w:r>
        <w:t xml:space="preserve">Guimarães, P.R. (2020)</w:t>
      </w:r>
      <w:r>
        <w:t xml:space="preserve"> </w:t>
      </w:r>
      <w:hyperlink r:id="rId83">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4"/>
    <w:bookmarkStart w:id="86" w:name="ref-hao2025"/>
    <w:p>
      <w:pPr>
        <w:pStyle w:val="Bibliography"/>
      </w:pPr>
      <w:r>
        <w:t xml:space="preserve">Hao, X., Holyoak, M., Zhang, Z. &amp; Yan, C. (2025)</w:t>
      </w:r>
      <w:r>
        <w:t xml:space="preserve"> </w:t>
      </w:r>
      <w:hyperlink r:id="rId85">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86"/>
    <w:bookmarkStart w:id="88" w:name="ref-jordano2016"/>
    <w:p>
      <w:pPr>
        <w:pStyle w:val="Bibliography"/>
      </w:pPr>
      <w:r>
        <w:t xml:space="preserve">Jordano, P. (2016)</w:t>
      </w:r>
      <w:r>
        <w:t xml:space="preserve"> </w:t>
      </w:r>
      <w:hyperlink r:id="rId87">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88"/>
    <w:bookmarkStart w:id="90" w:name="ref-karapunar2026"/>
    <w:p>
      <w:pPr>
        <w:pStyle w:val="Bibliography"/>
      </w:pPr>
      <w:r>
        <w:t xml:space="preserve">Karapunar, B., Strydom, T., Beckerman, A.P., Ridgwell, A., Wignall, P.B., Dunne, J.A., Little, C.T.S., Hull, P., Pimiento, C. &amp; Dunhill, A. (2026)</w:t>
      </w:r>
      <w:r>
        <w:t xml:space="preserve"> </w:t>
      </w:r>
      <w:hyperlink r:id="rId89">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0"/>
    <w:bookmarkStart w:id="92" w:name="ref-kemp2024"/>
    <w:p>
      <w:pPr>
        <w:pStyle w:val="Bibliography"/>
      </w:pPr>
      <w:r>
        <w:t xml:space="preserve">Kemp, D.B., Han, Z., Hu, X., Chen, W., Jin, S., Izumi, K., Yan, Q., Baranyi, V., Jin, X., Corso, J.D. &amp; Ge, Y. (2024)</w:t>
      </w:r>
      <w:r>
        <w:t xml:space="preserve"> </w:t>
      </w:r>
      <w:hyperlink r:id="rId91">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2"/>
    <w:bookmarkStart w:id="94" w:name="ref-marjakangas2025"/>
    <w:p>
      <w:pPr>
        <w:pStyle w:val="Bibliography"/>
      </w:pPr>
      <w:r>
        <w:t xml:space="preserve">Marjakangas, E.-L., Dalsgaard, B. &amp; Ordonez, A. (2025)</w:t>
      </w:r>
      <w:r>
        <w:t xml:space="preserve"> </w:t>
      </w:r>
      <w:hyperlink r:id="rId93">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4"/>
    <w:bookmarkStart w:id="96" w:name="ref-michalska-smith2019"/>
    <w:p>
      <w:pPr>
        <w:pStyle w:val="Bibliography"/>
      </w:pPr>
      <w:r>
        <w:t xml:space="preserve">Michalska-Smith, M.J. &amp; Allesina, S. (2019)</w:t>
      </w:r>
      <w:r>
        <w:t xml:space="preserve"> </w:t>
      </w:r>
      <w:hyperlink r:id="rId95">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96"/>
    <w:bookmarkStart w:id="98" w:name="ref-milo2002"/>
    <w:p>
      <w:pPr>
        <w:pStyle w:val="Bibliography"/>
      </w:pPr>
      <w:r>
        <w:t xml:space="preserve">Milo, R., Shen-Orr, S., Itzkovitz, S., Kashtan, N., Chklovskii, D. &amp; Alon, U. (2002)</w:t>
      </w:r>
      <w:r>
        <w:t xml:space="preserve"> </w:t>
      </w:r>
      <w:hyperlink r:id="rId97">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98"/>
    <w:bookmarkStart w:id="100" w:name="ref-morales-castilla2015"/>
    <w:p>
      <w:pPr>
        <w:pStyle w:val="Bibliography"/>
      </w:pPr>
      <w:r>
        <w:t xml:space="preserve">Morales-Castilla, I., Matias, M.G., Gravel, D. &amp; Araújo, M.B. (2015)</w:t>
      </w:r>
      <w:r>
        <w:t xml:space="preserve"> </w:t>
      </w:r>
      <w:hyperlink r:id="rId99">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0"/>
    <w:bookmarkStart w:id="102"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2"/>
    <w:bookmarkStart w:id="104" w:name="ref-petchey2011"/>
    <w:p>
      <w:pPr>
        <w:pStyle w:val="Bibliography"/>
      </w:pPr>
      <w:r>
        <w:t xml:space="preserve">Petchey, O.L., Beckerman, A.P., Riede, J.O. &amp; Warren, P.H. (2011)</w:t>
      </w:r>
      <w:r>
        <w:t xml:space="preserve"> </w:t>
      </w:r>
      <w:hyperlink r:id="rId103">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4"/>
    <w:bookmarkStart w:id="106" w:name="ref-petchey2008"/>
    <w:p>
      <w:pPr>
        <w:pStyle w:val="Bibliography"/>
      </w:pPr>
      <w:r>
        <w:t xml:space="preserve">Petchey, O.L., Beckerman, A.P., Riede, J.O. &amp; Warren, P.H. (2008)</w:t>
      </w:r>
      <w:r>
        <w:t xml:space="preserve"> </w:t>
      </w:r>
      <w:hyperlink r:id="rId105">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06"/>
    <w:bookmarkStart w:id="108" w:name="ref-poisot2021"/>
    <w:p>
      <w:pPr>
        <w:pStyle w:val="Bibliography"/>
      </w:pPr>
      <w:r>
        <w:t xml:space="preserve">Poisot, T., Bergeron, G., Cazelles, K., Dallas, T., Gravel, D., MacDonald, A., Mercier, B., Violet, C. &amp; Vissault, S. (2021)</w:t>
      </w:r>
      <w:r>
        <w:t xml:space="preserve"> </w:t>
      </w:r>
      <w:hyperlink r:id="rId107">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08"/>
    <w:bookmarkStart w:id="110" w:name="ref-poisot2012a"/>
    <w:p>
      <w:pPr>
        <w:pStyle w:val="Bibliography"/>
      </w:pPr>
      <w:r>
        <w:t xml:space="preserve">Poisot, T., Canard, E., Mouillot, D., Mouquet, N. &amp; Gravel, D. (2012)</w:t>
      </w:r>
      <w:r>
        <w:t xml:space="preserve"> </w:t>
      </w:r>
      <w:hyperlink r:id="rId109">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0"/>
    <w:bookmarkStart w:id="112" w:name="ref-poisot2016"/>
    <w:p>
      <w:pPr>
        <w:pStyle w:val="Bibliography"/>
      </w:pPr>
      <w:r>
        <w:t xml:space="preserve">Poisot, T., Cirtwill, A., Cazelles, K., Gravel, D., Fortin, M.-J. &amp; Stouffer, D. (2016)</w:t>
      </w:r>
      <w:r>
        <w:t xml:space="preserve"> </w:t>
      </w:r>
      <w:hyperlink r:id="rId111">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2"/>
    <w:bookmarkStart w:id="114" w:name="ref-poisot2014"/>
    <w:p>
      <w:pPr>
        <w:pStyle w:val="Bibliography"/>
      </w:pPr>
      <w:r>
        <w:t xml:space="preserve">Poisot, T. &amp; Gravel, D. (2014)</w:t>
      </w:r>
      <w:r>
        <w:t xml:space="preserve"> </w:t>
      </w:r>
      <w:hyperlink r:id="rId113">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4"/>
    <w:bookmarkStart w:id="116" w:name="ref-poisot2015"/>
    <w:p>
      <w:pPr>
        <w:pStyle w:val="Bibliography"/>
      </w:pPr>
      <w:r>
        <w:t xml:space="preserve">Poisot, T., Stouffer, D.B. &amp; Gravel, D. (2015)</w:t>
      </w:r>
      <w:r>
        <w:t xml:space="preserve"> </w:t>
      </w:r>
      <w:hyperlink r:id="rId115">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16"/>
    <w:bookmarkStart w:id="118" w:name="ref-RCoreTeam2024"/>
    <w:p>
      <w:pPr>
        <w:pStyle w:val="Bibliography"/>
      </w:pPr>
      <w:r>
        <w:t xml:space="preserve">R Core Team (2024)</w:t>
      </w:r>
      <w:r>
        <w:t xml:space="preserve"> </w:t>
      </w:r>
      <w:hyperlink r:id="rId117">
        <w:r>
          <w:rPr>
            <w:rStyle w:val="Hyperlink"/>
            <w:i/>
            <w:iCs/>
          </w:rPr>
          <w:t xml:space="preserve">R: A language and environment for statistical computing</w:t>
        </w:r>
      </w:hyperlink>
      <w:r>
        <w:t xml:space="preserve">, R Foundation for Statistical Computing, Vienna, Austria.</w:t>
      </w:r>
    </w:p>
    <w:bookmarkEnd w:id="118"/>
    <w:bookmarkStart w:id="120" w:name="ref-rohr2010"/>
    <w:p>
      <w:pPr>
        <w:pStyle w:val="Bibliography"/>
      </w:pPr>
      <w:r>
        <w:t xml:space="preserve">Rohr, R., Scherer, H., Kehrli, P., Mazza, C. &amp; Bersier, L.-F. (2010)</w:t>
      </w:r>
      <w:r>
        <w:t xml:space="preserve"> </w:t>
      </w:r>
      <w:hyperlink r:id="rId119">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0"/>
    <w:bookmarkStart w:id="122" w:name="ref-roopnarine2006"/>
    <w:p>
      <w:pPr>
        <w:pStyle w:val="Bibliography"/>
      </w:pPr>
      <w:r>
        <w:t xml:space="preserve">Roopnarine, P.D. (2006)</w:t>
      </w:r>
      <w:r>
        <w:t xml:space="preserve"> </w:t>
      </w:r>
      <w:hyperlink r:id="rId121">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2"/>
    <w:bookmarkStart w:id="124" w:name="ref-sandra2025"/>
    <w:p>
      <w:pPr>
        <w:pStyle w:val="Bibliography"/>
      </w:pPr>
      <w:r>
        <w:t xml:space="preserve">Sandra, H.-P., Traveset, A., Nogales, M., Heleno, R., Llewelyn, J. &amp; Strona, G. (2025)</w:t>
      </w:r>
      <w:r>
        <w:t xml:space="preserve"> </w:t>
      </w:r>
      <w:hyperlink r:id="rId123">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4"/>
    <w:bookmarkStart w:id="126" w:name="ref-shaw2024"/>
    <w:p>
      <w:pPr>
        <w:pStyle w:val="Bibliography"/>
      </w:pPr>
      <w:r>
        <w:t xml:space="preserve">Shaw, J.O., Dunhill, A.M., Beckerman, A.P., Dunne, J.A. &amp; Hull, P.M. (2024)</w:t>
      </w:r>
      <w:r>
        <w:t xml:space="preserve"> </w:t>
      </w:r>
      <w:hyperlink r:id="rId125">
        <w:r>
          <w:rPr>
            <w:rStyle w:val="Hyperlink"/>
          </w:rPr>
          <w:t xml:space="preserve">A framework for reconstructing ancient food webs using functional trait data</w:t>
        </w:r>
      </w:hyperlink>
      <w:r>
        <w:t xml:space="preserve">. 2024.01.30.578036.</w:t>
      </w:r>
    </w:p>
    <w:bookmarkEnd w:id="126"/>
    <w:bookmarkStart w:id="128" w:name="ref-smith2025"/>
    <w:p>
      <w:pPr>
        <w:pStyle w:val="Bibliography"/>
      </w:pPr>
      <w:r>
        <w:t xml:space="preserve">Smith, Q.A., Tomé, C.P., Gearty, W., Smith, F.A., Shizuka, D. &amp; Lyons, S.K. (2025)</w:t>
      </w:r>
      <w:r>
        <w:t xml:space="preserve"> </w:t>
      </w:r>
      <w:hyperlink r:id="rId127">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28"/>
    <w:bookmarkStart w:id="130" w:name="ref-stouffer2019"/>
    <w:p>
      <w:pPr>
        <w:pStyle w:val="Bibliography"/>
      </w:pPr>
      <w:r>
        <w:t xml:space="preserve">Stouffer, D.B. (2019)</w:t>
      </w:r>
      <w:r>
        <w:t xml:space="preserve"> </w:t>
      </w:r>
      <w:hyperlink r:id="rId129">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0"/>
    <w:bookmarkStart w:id="132" w:name="ref-stouffer2007"/>
    <w:p>
      <w:pPr>
        <w:pStyle w:val="Bibliography"/>
      </w:pPr>
      <w:r>
        <w:t xml:space="preserve">Stouffer, D.B., Camacho, J., Jiang, W. &amp; Nunes Amaral, L.A. (2007)</w:t>
      </w:r>
      <w:r>
        <w:t xml:space="preserve"> </w:t>
      </w:r>
      <w:hyperlink r:id="rId13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2"/>
    <w:bookmarkStart w:id="134"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3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34"/>
    <w:bookmarkStart w:id="136" w:name="ref-strydom2026"/>
    <w:p>
      <w:pPr>
        <w:pStyle w:val="Bibliography"/>
      </w:pPr>
      <w:r>
        <w:t xml:space="preserve">Strydom, T., Dunhill, A.M., Dunne, J.A., Poisot, T. &amp; Beckerman, A.P. (2026)</w:t>
      </w:r>
      <w:r>
        <w:t xml:space="preserve"> </w:t>
      </w:r>
      <w:hyperlink r:id="rId135">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36"/>
    <w:bookmarkStart w:id="138" w:name="ref-thuiller2024"/>
    <w:p>
      <w:pPr>
        <w:pStyle w:val="Bibliography"/>
      </w:pPr>
      <w:r>
        <w:t xml:space="preserve">Thuiller, W., Calderón-Sanou, I., Chalmandrier, L., Gaüzère, P., O’Connor, L.M.J., Ohlmann, M., Poggiato, G. &amp; Münkemüller, T. (2024)</w:t>
      </w:r>
      <w:r>
        <w:t xml:space="preserve"> </w:t>
      </w:r>
      <w:hyperlink r:id="rId13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38"/>
    <w:bookmarkStart w:id="140" w:name="ref-trøjelsgaard2016"/>
    <w:p>
      <w:pPr>
        <w:pStyle w:val="Bibliography"/>
      </w:pPr>
      <w:r>
        <w:t xml:space="preserve">Trøjelsgaard, K. &amp; Olesen, J.M. (2016)</w:t>
      </w:r>
      <w:r>
        <w:t xml:space="preserve"> </w:t>
      </w:r>
      <w:hyperlink r:id="rId139">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0"/>
    <w:bookmarkStart w:id="142" w:name="ref-tylianakis2008"/>
    <w:p>
      <w:pPr>
        <w:pStyle w:val="Bibliography"/>
      </w:pPr>
      <w:r>
        <w:t xml:space="preserve">Tylianakis, J.M., Didham, R.K., Bascompte, J. &amp; Wardle, D.A. (2008)</w:t>
      </w:r>
      <w:r>
        <w:t xml:space="preserve"> </w:t>
      </w:r>
      <w:hyperlink r:id="rId141">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2"/>
    <w:bookmarkStart w:id="144" w:name="ref-tylianakis2017"/>
    <w:p>
      <w:pPr>
        <w:pStyle w:val="Bibliography"/>
      </w:pPr>
      <w:r>
        <w:t xml:space="preserve">Tylianakis, J.M. &amp; Morris, R.J. (2017)</w:t>
      </w:r>
      <w:r>
        <w:t xml:space="preserve"> </w:t>
      </w:r>
      <w:hyperlink r:id="rId143">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44"/>
    <w:bookmarkStart w:id="146" w:name="ref-williams2000"/>
    <w:p>
      <w:pPr>
        <w:pStyle w:val="Bibliography"/>
      </w:pPr>
      <w:r>
        <w:t xml:space="preserve">Williams, R.J. &amp; Martinez, N.D. (2000)</w:t>
      </w:r>
      <w:r>
        <w:t xml:space="preserve"> </w:t>
      </w:r>
      <w:hyperlink r:id="rId145">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46"/>
    <w:bookmarkStart w:id="148" w:name="ref-williams2004"/>
    <w:p>
      <w:pPr>
        <w:pStyle w:val="Bibliography"/>
      </w:pPr>
      <w:r>
        <w:t xml:space="preserve">Williams, R.J. &amp; Martinez, N.D. (2004)</w:t>
      </w:r>
      <w:r>
        <w:t xml:space="preserve"> </w:t>
      </w:r>
      <w:hyperlink r:id="rId147">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48"/>
    <w:bookmarkStart w:id="150" w:name="ref-williams2008"/>
    <w:p>
      <w:pPr>
        <w:pStyle w:val="Bibliography"/>
      </w:pPr>
      <w:r>
        <w:t xml:space="preserve">Williams, R.J. &amp; Martinez, N.D. (2008)</w:t>
      </w:r>
      <w:r>
        <w:t xml:space="preserve"> </w:t>
      </w:r>
      <w:hyperlink r:id="rId149">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0"/>
    <w:bookmarkStart w:id="152" w:name="ref-yeakel2014"/>
    <w:p>
      <w:pPr>
        <w:pStyle w:val="Bibliography"/>
      </w:pPr>
      <w:r>
        <w:t xml:space="preserve">Yeakel, J.D., Pires, M.M., Rudolf, L., Dominy, N.J., Koch, P.L., Guimarães, P.R. &amp; Gross, T. (2014)</w:t>
      </w:r>
      <w:r>
        <w:t xml:space="preserve"> </w:t>
      </w:r>
      <w:hyperlink r:id="rId151">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2026-04-01T15:59:30Z</dcterms:created>
  <dcterms:modified xsi:type="dcterms:W3CDTF">2026-04-01T15:59:30Z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https://www.zotero.org/styles/global-ecology-and-biogeography</vt:lpwstr>
  </property>
  <property fmtid="{D5CDD505-2E9C-101B-9397-08002B2CF9AE}" pid="12" name="date">
    <vt:lpwstr>2026-04-01</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