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why model choice matters for 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2026-02-02</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interaction strengths, and distributions</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 Dunhill et al. (2024). Four paleo-communities were defined: pre-extinction, post-extinction, early recovery, and late recovery. Each assemblage was treated as a community of potentially interacting taxa. Modes of life were assigned following Dunhill et al. (2024) 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w:t>
      </w:r>
      <w:r>
        <w:t xml:space="preserve"> </w:t>
      </w:r>
      <w:hyperlink w:anchor="tbl-models">
        <w:r>
          <w:rPr>
            <w:rStyle w:val="Hyperlink"/>
          </w:rPr>
          <w:t xml:space="preserve">Table 1</w:t>
        </w:r>
      </w:hyperlink>
      <w:r>
        <w:t xml:space="preserve"> </w:t>
      </w:r>
      <w:r>
        <w:t xml:space="preserve">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pP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pP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pPr>
                </w:p>
              </w:tc>
            </w:tr>
            <w:tr>
              <w:tc>
                <w:tcPr/>
                <w:p>
                  <w:pPr>
                    <w:pStyle w:val="Compact"/>
                    <w:jc w:val="center"/>
                  </w:pPr>
                  <w:r>
                    <w:t xml:space="preserve">l-matrix</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p>
              </w:tc>
              <w:tc>
                <w:tcPr/>
                <w:p>
                  <w:pPr>
                    <w:pStyle w:val="Compact"/>
                  </w:pP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Secondary extinctions</w:t>
                  </w:r>
                  <w:r>
                    <w:t xml:space="preserve"> </w:t>
                  </w:r>
                  <w:r>
                    <w:t xml:space="preserve">(Dunhill et al., 2024)</w:t>
                  </w:r>
                </w:p>
              </w:tc>
            </w:tr>
            <w:tr>
              <w:tc>
                <w:tcPr/>
                <w:p>
                  <w:pPr>
                    <w:pStyle w:val="Compact"/>
                    <w:jc w:val="center"/>
                  </w:pPr>
                  <w:r>
                    <w:t xml:space="preserve">body 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Network collapse</w:t>
                  </w:r>
                  <w:r>
                    <w:t xml:space="preserve"> </w:t>
                  </w:r>
                  <w:r>
                    <w:t xml:space="preserve">(Yeakel et al., 2014)</w:t>
                  </w:r>
                </w:p>
              </w:tc>
            </w:tr>
          </w:tbl>
          <w:bookmarkEnd w:id="11"/>
          <w:p/>
        </w:tc>
      </w:tr>
    </w:tbl>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l-matrix, and body-size ratio models (realised network); and a paleo food-web inference model (PFIM; feasibility web). For each community, we constructed 100 replicate networks using each of the six models (2 400 networks total). Networks were simplified by removing disconnected species. For size-based models, body masses were drawn from uniform distributions bounded by size-class limits,allowing for variance between replicates but preserving relative sizes within replicates. Structural models were parameterised using connectance values drawn from an empirically realistic ranges (0.07–0.34) while holding richness constant. The same parameter draws were used across comparable models within each replicate.</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models were assessed using MANOVA, followed by univariate ANOVAs, post-hoc comparisons, and linear discriminant analysis. Pairwise interaction turnover was quantified using link-based beta diversity for models that infer species-specific interactions.</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Using pre-extinction networks, we simulated species loss under multiple extinction scenarios, including trait-based, network-position-based, and random removals, allowing for secondary extinctions. Simulated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4" w:name="results"/>
    <w:p>
      <w:pPr>
        <w:pStyle w:val="Heading1"/>
      </w:pPr>
      <w:r>
        <w:t xml:space="preserve">3. Results</w:t>
      </w:r>
    </w:p>
    <w:p>
      <w:pPr>
        <w:pStyle w:val="FirstParagraph"/>
      </w:pPr>
      <w:r>
        <w:t xml:space="preserve">Across six reconstruction approaches, both global network structure and species-level interactions differed substantially, with implications for interpreting past extinction dynamics. Deterministic models (e.g., PFIM) tended to produce more consistent network-level patterns and smoother extinction trajectories, whereas stochastic or theory-driven models (e.g., ADBM, niche, L-matrix) showed greater variability in inferred interactions and temporal dynamics. Models with similar macro-level metrics sometimes differed in pairwise interactions, highlighting that agreement in global structure does not guarantee concordance at the species level. Consequently, inferred extinction pathways and secondary extinctions were highly sensitive to model choice, emphasizing the importance of evaluating multiple network reconstructions when interpreting ecological dynamics in deep time.</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3.81, approximate</w:t>
      </w:r>
      <w:r>
        <w:t xml:space="preserve"> </w:t>
      </w:r>
      <m:oMath>
        <m:sSub>
          <m:e>
            <m:r>
              <m:t>F</m:t>
            </m:r>
          </m:e>
          <m:sub>
            <m:r>
              <m:t>40</m:t>
            </m:r>
            <m:r>
              <m:rPr>
                <m:sty m:val="p"/>
              </m:rPr>
              <m:t>,</m:t>
            </m:r>
            <m:r>
              <m:t>11955</m:t>
            </m:r>
          </m:sub>
        </m:sSub>
      </m:oMath>
      <w:r>
        <w:t xml:space="preserve"> </w:t>
      </w:r>
      <w:r>
        <w:t xml:space="preserve">= 962.12, p &lt; 0.001). Univariate analyses showed that model choice explained a large proportion of variance in most network metrics, with high partial η² values for connectance, generality, vulnerability, and motif frequencies (η² = 0.66–0.92). In contrast, maximum trophic level exhibited a much smaller effect of model choice (η² = 0.04). Estimated marginal means and Tukey-adjusted comparisons indicated consistent differences among reconstruction approaches, with PFIM differing significantly from all other models (p ≤ 0.026), while ADBM and L-matrix did not differ from one another (p = 1.00). Linear discriminant analysis (LDA) further distinguished reconstruction approaches in multivariate network space</w:t>
      </w:r>
      <w:r>
        <w:t xml:space="preserve"> </w:t>
      </w:r>
      <w:hyperlink w:anchor="fig-structure">
        <w:r>
          <w:rPr>
            <w:rStyle w:val="Hyperlink"/>
          </w:rPr>
          <w:t xml:space="preserve">Figure 1</w:t>
        </w:r>
      </w:hyperlink>
      <w:r>
        <w:t xml:space="preserve">, with the first two axes explaining 86.5% of between-model variance (LD1 = 53.9%, LD2 = 32.6%). LD1 was most strongly correlated with vulnerability, connectance, and S4 motifs, whereas LD2 was associated primarily with generality, S2, and S5 motifs. Higher-order axes each explained less than 9% of the remaining variance. This demonstrates that reconstruction approach leaves a strong multivariate signature independent of community composition.</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sharply in the specific interactions they inferred.</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L-matrix were highly concordant, reflecting similar underlying assumptions, whereas the body-size ratio model consistently exhibited high turnover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beta turnover in species interactions among four ecological network models (ADBM, lmatrix,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3"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network-level metrics. GAMs capture nonlinear temporal trajectories, allowing formal tests of whether the shape of these trajectories differs among models. For connectance, the model-specific smooth terms were all significant (e.g., PFIM: EDF = 2.99, F = 113.8, p &lt; 0.001; ADBM: EDF = 2.92, F = 22.6, p &lt; 0.001), indicating distinct temporal patterns across reconstruction approaches. Trophic level trajectories also differed among models (PFIM: EDF = 2.96, F = 36.7, p &lt; 0.001; Niche: EDF = 2.96, F = 94.9, p &lt; 0.001). Deterministic approaches, such as PFIM, produced more consistent and smooth trajectories, whereas stochastic, theory-driven models (niche, ADBM, L-matrix) displayed greater variability in timing and magnitude of structural change. These results demonstrate that inferred pathways of collapse, trophic bottlenecks, and secondary extinctions are highly sensitive to model choice.</w:t>
      </w:r>
    </w:p>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3</w:t>
        </w:r>
      </w:hyperlink>
      <w:r>
        <w:t xml:space="preserve">. Overall, models were more consistent in ranking extinction scenarios at the network level: Kendall’s</w:t>
      </w:r>
      <w:r>
        <w:t xml:space="preserve"> </w:t>
      </w:r>
      <m:oMath>
        <m:r>
          <m:t>τ</m:t>
        </m:r>
      </m:oMath>
      <w:r>
        <w:t xml:space="preserve"> </w:t>
      </w:r>
      <w:r>
        <w:t xml:space="preserve">values for MAD-based rankings were generally positive, with strong agreement between ADBM and L-matrix models (</w:t>
      </w:r>
      <m:oMath>
        <m:r>
          <m:t>τ</m:t>
        </m:r>
      </m:oMath>
      <w:r>
        <w:t xml:space="preserve"> </w:t>
      </w:r>
      <w:r>
        <w:t xml:space="preserve">≈ 0.82) and weaker or inconsistent correlations involving stochastic models such as log ratio or random (</w:t>
      </w:r>
      <m:oMath>
        <m:r>
          <m:t>τ</m:t>
        </m:r>
      </m:oMath>
      <w:r>
        <w:t xml:space="preserve"> </w:t>
      </w:r>
      <w:r>
        <w:t xml:space="preserve">ranging from −0.26 to 0.44). Node-level TSS scores similarly showed broad consistency across models, reflecting comparable species removal sequences (</w:t>
      </w:r>
      <m:oMath>
        <m:r>
          <m:t>τ</m:t>
        </m:r>
      </m:oMath>
      <w:r>
        <w:t xml:space="preserve"> </w:t>
      </w:r>
      <w:r>
        <w:t xml:space="preserve">≈ 0.38–0.46 between ADBM and niche or PFIM). In contrast, link-level outcomes were more variable: deterministic models like PFIM maintained moderate agreement with observed post-extinction links (</w:t>
      </w:r>
      <m:oMath>
        <m:r>
          <m:t>τ</m:t>
        </m:r>
      </m:oMath>
      <w:r>
        <w:t xml:space="preserve"> </w:t>
      </w:r>
      <w:r>
        <w:t xml:space="preserve">≈ 0.44), whereas stochastic, theory-driven models exhibited low or inconsistent correlations (</w:t>
      </w:r>
      <m:oMath>
        <m:r>
          <m:t>τ</m:t>
        </m:r>
      </m:oMath>
      <w:r>
        <w:t xml:space="preserve"> </w:t>
      </w:r>
      <w:r>
        <w:t xml:space="preserve">as low as −0.44). These results indicate that while different models often recover similar species-level extinction patterns, inferred interaction loss and cascade dynamics are highly sensitive to model choice.</w:t>
      </w:r>
    </w:p>
    <w:tbl>
      <w:tblPr>
        <w:tblStyle w:val="Table"/>
        <w:tblW w:type="pct" w:w="5000"/>
        <w:tblLayout w:type="fixed"/>
        <w:tblLook w:firstRow="0" w:lastRow="0" w:firstColumn="0" w:lastColumn="0" w:noHBand="0" w:noVBand="0" w:val="0000"/>
      </w:tblPr>
      <w:tblGrid>
        <w:gridCol w:w="7920"/>
      </w:tblGrid>
      <w:tr>
        <w:tc>
          <w:tcPr/>
          <w:bookmarkStart w:id="32" w:name="fig-mad"/>
          <w:p>
            <w:pPr>
              <w:pStyle w:val="Compact"/>
              <w:jc w:val="center"/>
            </w:pPr>
            <w:r>
              <w:drawing>
                <wp:inline>
                  <wp:extent cx="5334000" cy="8001000"/>
                  <wp:effectExtent b="0" l="0" r="0" t="0"/>
                  <wp:docPr descr="" title="" id="30" name="Picture"/>
                  <a:graphic>
                    <a:graphicData uri="http://schemas.openxmlformats.org/drawingml/2006/picture">
                      <pic:pic>
                        <pic:nvPicPr>
                          <pic:cNvPr descr="figures/kendal_tau.png" id="31" name="Picture"/>
                          <pic:cNvPicPr>
                            <a:picLocks noChangeArrowheads="1" noChangeAspect="1"/>
                          </pic:cNvPicPr>
                        </pic:nvPicPr>
                        <pic:blipFill>
                          <a:blip r:embed="rId29"/>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2"/>
        </w:tc>
      </w:tr>
    </w:tbl>
    <w:bookmarkEnd w:id="33"/>
    <w:bookmarkEnd w:id="34"/>
    <w:bookmarkStart w:id="35" w:name="discussion"/>
    <w:p>
      <w:pPr>
        <w:pStyle w:val="Heading1"/>
      </w:pPr>
      <w:r>
        <w:t xml:space="preserve">4. Discussion</w:t>
      </w:r>
    </w:p>
    <w:bookmarkEnd w:id="35"/>
    <w:bookmarkStart w:id="39" w:name="X97f48f798b4217c0affa90fbfb1db2e476bb466"/>
    <w:p>
      <w:pPr>
        <w:pStyle w:val="Heading1"/>
      </w:pPr>
      <w:r>
        <w:t xml:space="preserve">5. Model choice as a component of ecological inference</w:t>
      </w:r>
    </w:p>
    <w:p>
      <w:pPr>
        <w:pStyle w:val="FirstParagraph"/>
      </w:pPr>
      <w:r>
        <w:t xml:space="preserve">Reconstructing food webs from fossil data is inherently an exercise in inference under uncertainty, where ecological conclusions depend as much on modelling assumptions as on preserved evidence</w:t>
      </w:r>
      <w:r>
        <w:t xml:space="preserve"> </w:t>
      </w:r>
      <w:r>
        <w:t xml:space="preserve">(Dunne et al., 2008; Morales-Castilla et al., 2015)</w:t>
      </w:r>
      <w:r>
        <w:t xml:space="preserve">. Our results demonstrate that the choice of network reconstruction model is itself a major ecological decision, shaping not only the structural properties of inferred networks but also downstream interpretations of extinction dynamics</w:t>
      </w:r>
      <w:r>
        <w:t xml:space="preserve"> </w:t>
      </w:r>
      <w:r>
        <w:t xml:space="preserve">(Allesina &amp; Tang, 2012; Solé &amp; Montoya, 2001)</w:t>
      </w:r>
      <w:r>
        <w:t xml:space="preserve">. Even with identical taxon pools, different models yield networks that diverge in global metrics, species-level interactions, and temporal patterns of collapse. These divergences do not stem from differences in fossil evidence or taxon composition, but from the assumptions embedded within each reconstruction approach</w:t>
      </w:r>
      <w:r>
        <w:t xml:space="preserve"> </w:t>
      </w:r>
      <w:r>
        <w:t xml:space="preserve">(Pichler &amp; Hartig, 2023; Strydom et al., 2021)</w:t>
      </w:r>
      <w:r>
        <w:t xml:space="preserve">. Consequently, network reconstruction is not a neutral methodological step; model choice shapes the ecological narratives we extract from ancient ecosystems.</w:t>
      </w:r>
    </w:p>
    <w:p>
      <w:pPr>
        <w:pStyle w:val="BodyText"/>
      </w:pPr>
      <w:r>
        <w:t xml:space="preserve">While previous studies have emphasized the role of model assumptions in metaweb reconstruction</w:t>
      </w:r>
      <w:r>
        <w:t xml:space="preserve"> </w:t>
      </w:r>
      <w:r>
        <w:t xml:space="preserve">(Dunhill et al., 2024; Roopnarine, 2006)</w:t>
      </w:r>
      <w:r>
        <w:t xml:space="preserve">, our results demonstrate that these assumptions create distinct, predictable clusters of network properties. These clusters map directly onto the conceptual divide between feasible, realised, and structural network types</w:t>
      </w:r>
      <w:r>
        <w:t xml:space="preserve"> </w:t>
      </w:r>
      <w:r>
        <w:t xml:space="preserve">(Strydom et al., 2026)</w:t>
      </w:r>
      <w:r>
        <w:t xml:space="preserve">. Specifically, mechanistic models (PFIM) identify a broad landscape of trait-compatible interactions, theoretical models (ADBM, L-matrix) impose energetic filters to approximate realised energy flow, and structural models (niche, random) prioritise topological patterns over species identity. Our pairwise turnover analysis confirms that these differences are not merely quantitative; models fundamentally disagree on link identity, reinforcing concerns that traditional metawebs may significantly overestimate realised interaction diversity</w:t>
      </w:r>
      <w:r>
        <w:t xml:space="preserve"> </w:t>
      </w:r>
      <w:r>
        <w:t xml:space="preserve">(Fricke et al., 2022; Shaw et al., 2024)</w:t>
      </w:r>
      <w:r>
        <w:t xml:space="preserve">. This distinction is central to paleoecological inference, where feasible interactions are often mistaken for realised trophic relationships.</w:t>
      </w:r>
    </w:p>
    <w:p>
      <w:pPr>
        <w:pStyle w:val="BodyText"/>
      </w:pPr>
      <w:r>
        <w:t xml:space="preserve">The downstream consequences of model choice are most pronounced when evaluating extinction dynamics</w:t>
      </w:r>
      <w:r>
        <w:t xml:space="preserve"> </w:t>
      </w:r>
      <w:r>
        <w:t xml:space="preserve">(Dunne et al., 2002; Sahasrabudhe &amp; Motter, 2011)</w:t>
      </w:r>
      <w:r>
        <w:t xml:space="preserve">. While broad, trait-driven patterns of species loss are relatively robust across models, the identity of lost interactions, secondary extinctions, and cascade dynamics are sensitive to the type of network reconstructed. Node-level patterns tend to be more consistent across models because they primarily reflect intrinsic species traits, whereas link-level outcomes are emergent properties of model assumptions. This distinction mirrors findings in modern food-web studies, where deterministic and stochastic model assumptions influence the magnitude and timing of secondary extinctions</w:t>
      </w:r>
      <w:r>
        <w:t xml:space="preserve"> </w:t>
      </w:r>
      <w:r>
        <w:t xml:space="preserve">(Allesina &amp; Tang, 2012; Curtsdotter et al., 2011; Dunne et al., 2002; Yeakel et al., 2014)</w:t>
      </w:r>
      <w:r>
        <w:t xml:space="preserve">. Our results suggest that interpretations of trophic collapse, bottlenecks, and recovery trajectories are shaped not only by the fossil record but also by the choice of network model. Consequently, paleoecologists must carefully consider which ecological signals they aim to recover (potential interactions, realized diets, or macro-scale structural properties) before selecting a reconstruction approach. Importantly, disagreement among models does not imply that any single approach is</w:t>
      </w:r>
      <w:r>
        <w:t xml:space="preserve"> </w:t>
      </w:r>
      <w:r>
        <w:t xml:space="preserve">‘wrong’</w:t>
      </w:r>
      <w:r>
        <w:t xml:space="preserve">, but rather reflects the fact that different models capture different ecological signals</w:t>
      </w:r>
      <w:r>
        <w:t xml:space="preserve"> </w:t>
      </w:r>
      <w:r>
        <w:t xml:space="preserve">(Stouffer, 2019)</w:t>
      </w:r>
      <w:r>
        <w:t xml:space="preserve">. The challenge therefore lies not in identifying a universally correct model, but rather in aligning model choice with the ecological question being asked.</w:t>
      </w:r>
    </w:p>
    <w:bookmarkStart w:id="36" w:name="Xf2c28f4692b6e1ff18e003862b32749880553b8"/>
    <w:p>
      <w:pPr>
        <w:pStyle w:val="Heading2"/>
      </w:pPr>
      <w:r>
        <w:t xml:space="preserve">5.1 Aligning ecological questions with model choice</w:t>
      </w:r>
    </w:p>
    <w:p>
      <w:pPr>
        <w:pStyle w:val="FirstParagraph"/>
      </w:pPr>
      <w:r>
        <w:t xml:space="preserve">A central insight from our study is that different ecological questions require different network representations. Feasibility networks are most appropriate for evaluating potential trophic links or dietary breadth; realised networks capture energetically constrained, ecologically plausible interactions; and structural networks are suited for exploring generic topological patterns such as connectance or trophic depth. Link-level dynamics and cascade sensitivity are particularly sensitive to network choice, whereas higher-level patterns of species loss are less so.</w:t>
      </w:r>
    </w:p>
    <w:p>
      <w:pPr>
        <w:pStyle w:val="BodyText"/>
      </w:pPr>
      <w:r>
        <w:t xml:space="preserve">This alignment between question and model type reflects a broader trend in network ecology emphasizing the role of assumptions in determining which inferences are valid</w:t>
      </w:r>
      <w:r>
        <w:t xml:space="preserve"> </w:t>
      </w:r>
      <w:r>
        <w:t xml:space="preserve">(Delmas et al., 2019; Petchey et al., 2008; Schneider et al., 2016)</w:t>
      </w:r>
      <w:r>
        <w:t xml:space="preserve">. By explicitly matching network representation to research question, paleoecologists can avoid overinterpreting model-dependent artifacts as biological signals.</w:t>
      </w:r>
    </w:p>
    <w:p>
      <w:pPr>
        <w:pStyle w:val="BodyText"/>
      </w:pPr>
      <w:r>
        <w:t xml:space="preserve">Below is a conceptual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Ecological question</w:t>
            </w:r>
          </w:p>
        </w:tc>
        <w:tc>
          <w:tcPr/>
          <w:p>
            <w:pPr>
              <w:pStyle w:val="Compact"/>
            </w:pPr>
            <w:r>
              <w:rPr>
                <w:b/>
                <w:bCs/>
              </w:rPr>
              <w:t xml:space="preserve">Recommended network type</w:t>
            </w:r>
          </w:p>
        </w:tc>
        <w:tc>
          <w:tcPr/>
          <w:p>
            <w:pPr>
              <w:pStyle w:val="Compact"/>
            </w:pPr>
            <w:r>
              <w:rPr>
                <w:b/>
                <w:bCs/>
              </w:rPr>
              <w:t xml:space="preserve">Rationale</w:t>
            </w:r>
          </w:p>
        </w:tc>
      </w:tr>
      <w:tr>
        <w:tc>
          <w:tcPr/>
          <w:p>
            <w:pPr>
              <w:pStyle w:val="Compact"/>
            </w:pPr>
            <w:r>
              <w:t xml:space="preserve">What</w:t>
            </w:r>
            <w:r>
              <w:t xml:space="preserve"> </w:t>
            </w:r>
            <w:r>
              <w:rPr>
                <w:i/>
                <w:iCs/>
              </w:rPr>
              <w:t xml:space="preserve">could</w:t>
            </w:r>
            <w:r>
              <w:t xml:space="preserve"> </w:t>
            </w:r>
            <w:r>
              <w:t xml:space="preserve">have eaten what? (feasible interactions; trophic potential)</w:t>
            </w:r>
          </w:p>
        </w:tc>
        <w:tc>
          <w:tcPr/>
          <w:p>
            <w:pPr>
              <w:pStyle w:val="Compact"/>
            </w:pPr>
            <w:r>
              <w:t xml:space="preserve">Feasibility web (PFIM, trait-based, evolutionary-signal models)</w:t>
            </w:r>
          </w:p>
        </w:tc>
        <w:tc>
          <w:tcPr/>
          <w:p>
            <w:pPr>
              <w:pStyle w:val="Compact"/>
            </w:pPr>
            <w:r>
              <w:t xml:space="preserve">Captures all trait-feasible links; appropriate for reconstructing dietary breadth or assessing potential niches.</w:t>
            </w:r>
          </w:p>
        </w:tc>
      </w:tr>
      <w:tr>
        <w:tc>
          <w:tcPr/>
          <w:p>
            <w:pPr>
              <w:pStyle w:val="Compact"/>
            </w:pPr>
            <w:r>
              <w:t xml:space="preserve">What interactions were</w:t>
            </w:r>
            <w:r>
              <w:t xml:space="preserve"> </w:t>
            </w:r>
            <w:r>
              <w:rPr>
                <w:i/>
                <w:iCs/>
              </w:rPr>
              <w:t xml:space="preserve">likely realised</w:t>
            </w:r>
            <w:r>
              <w:t xml:space="preserve">?</w:t>
            </w:r>
          </w:p>
        </w:tc>
        <w:tc>
          <w:tcPr/>
          <w:p>
            <w:pPr>
              <w:pStyle w:val="Compact"/>
            </w:pPr>
            <w:r>
              <w:t xml:space="preserve">Realised network (ADBM, l-matrix)</w:t>
            </w:r>
          </w:p>
        </w:tc>
        <w:tc>
          <w:tcPr/>
          <w:p>
            <w:pPr>
              <w:pStyle w:val="Compact"/>
            </w:pPr>
            <w:r>
              <w:t xml:space="preserve">Encodes foraging ecology and energetic constraints; provides ecologically plausible</w:t>
            </w:r>
            <w:r>
              <w:t xml:space="preserve"> </w:t>
            </w:r>
            <w:r>
              <w:t xml:space="preserve">‘realised’</w:t>
            </w:r>
            <w:r>
              <w:t xml:space="preserve"> </w:t>
            </w:r>
            <w:r>
              <w:t xml:space="preserve">networks.</w:t>
            </w:r>
          </w:p>
        </w:tc>
      </w:tr>
      <w:tr>
        <w:tc>
          <w:tcPr/>
          <w:p>
            <w:pPr>
              <w:pStyle w:val="Compact"/>
            </w:pPr>
            <w:r>
              <w:t xml:space="preserve">How do global macro structural properties vary?</w:t>
            </w:r>
          </w:p>
        </w:tc>
        <w:tc>
          <w:tcPr/>
          <w:p>
            <w:pPr>
              <w:pStyle w:val="Compact"/>
            </w:pPr>
            <w:r>
              <w:t xml:space="preserve">Structural network (niche, random as baseline)</w:t>
            </w:r>
          </w:p>
        </w:tc>
        <w:tc>
          <w:tcPr/>
          <w:p>
            <w:pPr>
              <w:pStyle w:val="Compact"/>
            </w:pPr>
            <w:r>
              <w:t xml:space="preserve">Useful for understanding generic patterns (connectance, trophic depth) without trait reliance.</w:t>
            </w:r>
          </w:p>
        </w:tc>
      </w:tr>
      <w:tr>
        <w:tc>
          <w:tcPr/>
          <w:p>
            <w:pPr>
              <w:pStyle w:val="Compact"/>
            </w:pPr>
            <w:r>
              <w:t xml:space="preserve">How do traits influence dynamics (e.g., cascade sensitivity)?</w:t>
            </w:r>
          </w:p>
        </w:tc>
        <w:tc>
          <w:tcPr/>
          <w:p>
            <w:pPr>
              <w:pStyle w:val="Compact"/>
            </w:pPr>
            <w:r>
              <w:t xml:space="preserve">Realised network</w:t>
            </w:r>
          </w:p>
        </w:tc>
        <w:tc>
          <w:tcPr/>
          <w:p>
            <w:pPr>
              <w:pStyle w:val="Compact"/>
            </w:pPr>
            <w:r>
              <w:t xml:space="preserve">Capture body-size scaling, energetic constraints, and trophic dependencies.</w:t>
            </w:r>
          </w:p>
        </w:tc>
      </w:tr>
      <w:tr>
        <w:tc>
          <w:tcPr/>
          <w:p>
            <w:pPr>
              <w:pStyle w:val="Compact"/>
            </w:pPr>
            <w:r>
              <w:t xml:space="preserve">How robust are inferences to uncertainty?</w:t>
            </w:r>
          </w:p>
        </w:tc>
        <w:tc>
          <w:tcPr/>
          <w:p>
            <w:pPr>
              <w:pStyle w:val="Compact"/>
            </w:pPr>
            <w:r>
              <w:t xml:space="preserve">Ensembles across multiple network types</w:t>
            </w:r>
          </w:p>
        </w:tc>
        <w:tc>
          <w:tcPr/>
          <w:p>
            <w:pPr>
              <w:pStyle w:val="Compact"/>
            </w:pPr>
            <w:r>
              <w:t xml:space="preserve">Allows quantifying how conclusions depend on assumptions.</w:t>
            </w:r>
          </w:p>
        </w:tc>
      </w:tr>
    </w:tbl>
    <w:bookmarkEnd w:id="36"/>
    <w:bookmarkStart w:id="37" w:name="X5d3e630e33a6362364742359a526d5f750af576"/>
    <w:p>
      <w:pPr>
        <w:pStyle w:val="Heading2"/>
      </w:pPr>
      <w:r>
        <w:t xml:space="preserve">5.2 Implications for paleoecological network studies</w:t>
      </w:r>
    </w:p>
    <w:p>
      <w:pPr>
        <w:pStyle w:val="FirstParagraph"/>
      </w:pPr>
      <w:r>
        <w:t xml:space="preserve">Our analysis underscores three important implications for the broader field:</w:t>
      </w:r>
    </w:p>
    <w:p>
      <w:pPr>
        <w:numPr>
          <w:ilvl w:val="0"/>
          <w:numId w:val="1001"/>
        </w:numPr>
      </w:pPr>
      <w:r>
        <w:rPr>
          <w:b/>
          <w:bCs/>
        </w:rPr>
        <w:t xml:space="preserve">Interpretations of ancient food webs must explicitly acknowledge model assumptions:</w:t>
      </w:r>
      <w:r>
        <w:t xml:space="preserve"> </w:t>
      </w:r>
      <w:r>
        <w:t xml:space="preserve">Without this, differences in reconstructed networks may be mistakenly attributed to biological change rather than methodological artifacts.</w:t>
      </w:r>
    </w:p>
    <w:p>
      <w:pPr>
        <w:numPr>
          <w:ilvl w:val="0"/>
          <w:numId w:val="1001"/>
        </w:numPr>
      </w:pPr>
      <w:r>
        <w:rPr>
          <w:b/>
          <w:bCs/>
        </w:rPr>
        <w:t xml:space="preserve">Comparisons across studies must be standardised by model family:</w:t>
      </w:r>
      <w:r>
        <w:t xml:space="preserve"> </w:t>
      </w:r>
      <w:r>
        <w:t xml:space="preserve">Comparing a metaweb from one study to a realised network from another risks generating misleading conclusions about ecological differences across space or time.</w:t>
      </w:r>
    </w:p>
    <w:p>
      <w:pPr>
        <w:numPr>
          <w:ilvl w:val="0"/>
          <w:numId w:val="1001"/>
        </w:numPr>
      </w:pPr>
      <w:r>
        <w:rPr>
          <w:b/>
          <w:bCs/>
        </w:rPr>
        <w:t xml:space="preserve">Integrating theory-driven models expands inference:</w:t>
      </w:r>
      <w:r>
        <w:t xml:space="preserve"> </w:t>
      </w:r>
      <w:r>
        <w:t xml:space="preserve">Mechanistic paleo-specific models alone capture only a subset of feasible networks. Incorporating modern theory-based approaches allows researchers to explore alternative network archetypes, extending the range of questions that can be addressed</w:t>
      </w:r>
      <w:r>
        <w:t xml:space="preserve"> </w:t>
      </w:r>
      <w:r>
        <w:t xml:space="preserve">(Dunne et al., 2014; Solé &amp; Montoya, 2001)</w:t>
      </w:r>
      <w:r>
        <w:t xml:space="preserve">.</w:t>
      </w:r>
    </w:p>
    <w:bookmarkEnd w:id="37"/>
    <w:bookmarkStart w:id="38" w:name="X7fc110e1fd7bf8d1080ec868c0cc6e98ec6e095"/>
    <w:p>
      <w:pPr>
        <w:pStyle w:val="Heading2"/>
      </w:pPr>
      <w:r>
        <w:t xml:space="preserve">5.3 Recommendations for network reconstruction in paleoecology</w:t>
      </w:r>
    </w:p>
    <w:p>
      <w:pPr>
        <w:pStyle w:val="FirstParagraph"/>
      </w:pPr>
      <w:r>
        <w:t xml:space="preserve">To support consistent, transparent use of network reconstruction methods in paleoecology, we propose the following guidelines :</w:t>
      </w:r>
    </w:p>
    <w:p>
      <w:pPr>
        <w:numPr>
          <w:ilvl w:val="0"/>
          <w:numId w:val="1002"/>
        </w:numPr>
      </w:pPr>
      <w:r>
        <w:rPr>
          <w:b/>
          <w:bCs/>
        </w:rPr>
        <w:t xml:space="preserve">Establish the Inferential Goal First:</w:t>
      </w:r>
      <w:r>
        <w:t xml:space="preserve"> Explicitly define whether the study aims to capture potential interactions (feasibility), energetic flows (realised), or global patterns (structural). This choice dictates the appropriate model family and prevents the common error of treating metawebs as local diet realisations.</w:t>
      </w:r>
    </w:p>
    <w:p>
      <w:pPr>
        <w:numPr>
          <w:ilvl w:val="0"/>
          <w:numId w:val="1002"/>
        </w:numPr>
      </w:pPr>
      <w:r>
        <w:rPr>
          <w:b/>
          <w:bCs/>
        </w:rPr>
        <w:t xml:space="preserve">Implement an Ensemble Modelling Framework:</w:t>
      </w:r>
      <w:r>
        <w:t xml:space="preserve"> </w:t>
      </w:r>
      <w:r>
        <w:t xml:space="preserve">Rather than just using multiple models, advocate for an ensemble approach. Evaluating a suite of models allows researchers to quantify model uncertainty identifying which ecological conclusions are robust biological signals and which are methodological artifacts.</w:t>
      </w:r>
    </w:p>
    <w:p>
      <w:pPr>
        <w:numPr>
          <w:ilvl w:val="0"/>
          <w:numId w:val="1002"/>
        </w:numPr>
      </w:pPr>
      <w:r>
        <w:rPr>
          <w:b/>
          <w:bCs/>
        </w:rPr>
        <w:t xml:space="preserve">Standardise Comparative Analyses:</w:t>
      </w:r>
      <w:r>
        <w:t xml:space="preserve"> </w:t>
      </w:r>
      <w:r>
        <w:t xml:space="preserve">To avoid misleading comparisons across studies, researchers should only compare networks constructed within the same model family. If comparing a new metaweb to a published realised web, the differences must be explicitly attributed to the representation gap rather than environmental change.</w:t>
      </w:r>
    </w:p>
    <w:p>
      <w:pPr>
        <w:numPr>
          <w:ilvl w:val="0"/>
          <w:numId w:val="1002"/>
        </w:numPr>
      </w:pPr>
      <w:r>
        <w:rPr>
          <w:b/>
          <w:bCs/>
        </w:rPr>
        <w:t xml:space="preserve">Prioritize Scale-Specific Interpretation:</w:t>
      </w:r>
      <w:r>
        <w:t xml:space="preserve"> </w:t>
      </w:r>
      <w:r>
        <w:t xml:space="preserve">Distinguish clearly between node- and link-level results. Since node-level patterns (who goes extinct) are generally more robust to model choice, they can be interpreted with higher confidence than specific link-level pathways (the exact cascade route), which are highly sensitive to model assumptions.</w:t>
      </w:r>
    </w:p>
    <w:bookmarkEnd w:id="38"/>
    <w:bookmarkEnd w:id="39"/>
    <w:bookmarkStart w:id="40" w:name="conclusions"/>
    <w:p>
      <w:pPr>
        <w:pStyle w:val="Heading1"/>
      </w:pPr>
      <w:r>
        <w:t xml:space="preserve">6. Conclusions</w:t>
      </w:r>
    </w:p>
    <w:p>
      <w:pPr>
        <w:pStyle w:val="FirstParagraph"/>
      </w:pPr>
      <w:r>
        <w:t xml:space="preserve">Ecological network reconstruction in deep time is not merely a technical step but a fundamental component of ecological inference. By explicitly comparing six contrasting reconstruction approaches within a single extinction event and location we show that model choice strongly shapes inferred food-web structure, species interactions, and extinction dynamics, even when underlying fossil data are identical. While broad, trait-based patterns of species loss appear relatively robust, conclusions about pairwise interactions, secondary extinctions, and cascading dynamics depend critically on the assumptions embedded in the chosen network reconstruction approach. These results underscore the need for paleoecological studies to align reconstruction methods with specific ecological questions and to evaluate the sensitivity of key conclusions to alternative network representations. More broadly, our findings highlight that understanding past ecosystem collapse requires not only better fossil data, but also transparent, question-driven modelling frameworks that make explicit the assumptions underlying ecological inference.</w:t>
      </w:r>
    </w:p>
    <w:bookmarkEnd w:id="40"/>
    <w:bookmarkStart w:id="118" w:name="references"/>
    <w:p>
      <w:pPr>
        <w:pStyle w:val="Heading1"/>
      </w:pPr>
      <w:r>
        <w:t xml:space="preserve">References</w:t>
      </w:r>
    </w:p>
    <w:bookmarkStart w:id="117" w:name="refs"/>
    <w:bookmarkStart w:id="42"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1">
        <w:r>
          <w:rPr>
            <w:rStyle w:val="Hyperlink"/>
          </w:rPr>
          <w:t xml:space="preserve">https://doi.org/10.1126/science.1156269</w:t>
        </w:r>
      </w:hyperlink>
    </w:p>
    <w:bookmarkEnd w:id="42"/>
    <w:bookmarkStart w:id="44"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3">
        <w:r>
          <w:rPr>
            <w:rStyle w:val="Hyperlink"/>
          </w:rPr>
          <w:t xml:space="preserve">https://doi.org/10.1038/nature10832</w:t>
        </w:r>
      </w:hyperlink>
    </w:p>
    <w:bookmarkEnd w:id="44"/>
    <w:bookmarkStart w:id="46"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45">
        <w:r>
          <w:rPr>
            <w:rStyle w:val="Hyperlink"/>
          </w:rPr>
          <w:t xml:space="preserve">https://doi.org/10.1038/nature11018</w:t>
        </w:r>
      </w:hyperlink>
    </w:p>
    <w:bookmarkEnd w:id="46"/>
    <w:bookmarkStart w:id="48"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47">
        <w:r>
          <w:rPr>
            <w:rStyle w:val="Hyperlink"/>
          </w:rPr>
          <w:t xml:space="preserve">https://doi.org/10.1890/0012-9658(2006)87[2411:CBRINF]2.0.CO;2</w:t>
        </w:r>
      </w:hyperlink>
    </w:p>
    <w:bookmarkEnd w:id="48"/>
    <w:bookmarkStart w:id="50"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9">
        <w:r>
          <w:rPr>
            <w:rStyle w:val="Hyperlink"/>
          </w:rPr>
          <w:t xml:space="preserve">https://doi.org/10.1016/j.baae.2011.09.008</w:t>
        </w:r>
      </w:hyperlink>
    </w:p>
    <w:bookmarkEnd w:id="50"/>
    <w:bookmarkStart w:id="52"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51">
        <w:r>
          <w:rPr>
            <w:rStyle w:val="Hyperlink"/>
          </w:rPr>
          <w:t xml:space="preserve">https://doi.org/10.1111/brv.12433</w:t>
        </w:r>
      </w:hyperlink>
    </w:p>
    <w:bookmarkEnd w:id="52"/>
    <w:bookmarkStart w:id="54"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53">
        <w:r>
          <w:rPr>
            <w:rStyle w:val="Hyperlink"/>
          </w:rPr>
          <w:t xml:space="preserve">https://doi.org/10.3389/fevo.2022.1031483</w:t>
        </w:r>
      </w:hyperlink>
    </w:p>
    <w:bookmarkEnd w:id="54"/>
    <w:bookmarkStart w:id="56"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55">
        <w:r>
          <w:rPr>
            <w:rStyle w:val="Hyperlink"/>
          </w:rPr>
          <w:t xml:space="preserve">https://doi.org/10.1038/s41467-024-53000-2</w:t>
        </w:r>
      </w:hyperlink>
    </w:p>
    <w:bookmarkEnd w:id="56"/>
    <w:bookmarkStart w:id="58"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57">
        <w:r>
          <w:rPr>
            <w:rStyle w:val="Hyperlink"/>
          </w:rPr>
          <w:t xml:space="preserve">https://doi.org/10.1098/rspb.2013.3280</w:t>
        </w:r>
      </w:hyperlink>
    </w:p>
    <w:bookmarkEnd w:id="58"/>
    <w:bookmarkStart w:id="60"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59">
        <w:r>
          <w:rPr>
            <w:rStyle w:val="Hyperlink"/>
          </w:rPr>
          <w:t xml:space="preserve">https://doi.org/10.1371/journal.pbio.0060102</w:t>
        </w:r>
      </w:hyperlink>
    </w:p>
    <w:bookmarkEnd w:id="60"/>
    <w:bookmarkStart w:id="61"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1"/>
    <w:bookmarkStart w:id="63"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62">
        <w:r>
          <w:rPr>
            <w:rStyle w:val="Hyperlink"/>
          </w:rPr>
          <w:t xml:space="preserve">https://doi.org/10.5486/pmd.1959.6.3-4.12</w:t>
        </w:r>
      </w:hyperlink>
    </w:p>
    <w:bookmarkEnd w:id="63"/>
    <w:bookmarkStart w:id="65"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64">
        <w:r>
          <w:rPr>
            <w:rStyle w:val="Hyperlink"/>
          </w:rPr>
          <w:t xml:space="preserve">https://doi.org/10.1126/science.abn4012</w:t>
        </w:r>
      </w:hyperlink>
    </w:p>
    <w:bookmarkEnd w:id="65"/>
    <w:bookmarkStart w:id="67"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66">
        <w:r>
          <w:rPr>
            <w:rStyle w:val="Hyperlink"/>
          </w:rPr>
          <w:t xml:space="preserve">https://doi.org/10.1111/ecog.04006</w:t>
        </w:r>
      </w:hyperlink>
    </w:p>
    <w:bookmarkEnd w:id="67"/>
    <w:bookmarkStart w:id="69"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68">
        <w:r>
          <w:rPr>
            <w:rStyle w:val="Hyperlink"/>
          </w:rPr>
          <w:t xml:space="preserve">https://doi.org/10.1038/s41598-019-44260-w</w:t>
        </w:r>
      </w:hyperlink>
    </w:p>
    <w:bookmarkEnd w:id="69"/>
    <w:bookmarkStart w:id="71"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70">
        <w:r>
          <w:rPr>
            <w:rStyle w:val="Hyperlink"/>
          </w:rPr>
          <w:t xml:space="preserve">https://doi.org/10.1098/rstb.2019.0222</w:t>
        </w:r>
      </w:hyperlink>
    </w:p>
    <w:bookmarkEnd w:id="71"/>
    <w:bookmarkStart w:id="73"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72">
        <w:r>
          <w:rPr>
            <w:rStyle w:val="Hyperlink"/>
          </w:rPr>
          <w:t xml:space="preserve">https://doi.org/10.1126/science.298.5594.824</w:t>
        </w:r>
      </w:hyperlink>
    </w:p>
    <w:bookmarkEnd w:id="73"/>
    <w:bookmarkStart w:id="75"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74">
        <w:r>
          <w:rPr>
            <w:rStyle w:val="Hyperlink"/>
          </w:rPr>
          <w:t xml:space="preserve">https://doi.org/10.1016/j.tree.2015.03.014</w:t>
        </w:r>
      </w:hyperlink>
    </w:p>
    <w:bookmarkEnd w:id="75"/>
    <w:bookmarkStart w:id="77"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6">
        <w:r>
          <w:rPr>
            <w:rStyle w:val="Hyperlink"/>
          </w:rPr>
          <w:t xml:space="preserve">https://doi.org/10.1073/pnas.0710672105</w:t>
        </w:r>
      </w:hyperlink>
    </w:p>
    <w:bookmarkEnd w:id="77"/>
    <w:bookmarkStart w:id="79"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78">
        <w:r>
          <w:rPr>
            <w:rStyle w:val="Hyperlink"/>
          </w:rPr>
          <w:t xml:space="preserve">https://doi.org/10.1111/2041-210X.14061</w:t>
        </w:r>
      </w:hyperlink>
    </w:p>
    <w:bookmarkEnd w:id="79"/>
    <w:bookmarkStart w:id="81"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80">
        <w:r>
          <w:rPr>
            <w:rStyle w:val="Hyperlink"/>
          </w:rPr>
          <w:t xml:space="preserve">https://doi.org/10.1111/oik.01719</w:t>
        </w:r>
      </w:hyperlink>
    </w:p>
    <w:bookmarkEnd w:id="81"/>
    <w:bookmarkStart w:id="83"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2">
        <w:r>
          <w:rPr>
            <w:rStyle w:val="Hyperlink"/>
          </w:rPr>
          <w:t xml:space="preserve">https://doi.org/10.1086/653667</w:t>
        </w:r>
      </w:hyperlink>
    </w:p>
    <w:bookmarkEnd w:id="83"/>
    <w:bookmarkStart w:id="84"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84"/>
    <w:bookmarkStart w:id="86"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85">
        <w:r>
          <w:rPr>
            <w:rStyle w:val="Hyperlink"/>
          </w:rPr>
          <w:t xml:space="preserve">https://www.jstor.org/stable/4096814</w:t>
        </w:r>
      </w:hyperlink>
    </w:p>
    <w:bookmarkEnd w:id="86"/>
    <w:bookmarkStart w:id="88"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87">
        <w:r>
          <w:rPr>
            <w:rStyle w:val="Hyperlink"/>
          </w:rPr>
          <w:t xml:space="preserve">https://doi.org/10.1007/978-3-319-73795-9_6</w:t>
        </w:r>
      </w:hyperlink>
    </w:p>
    <w:bookmarkEnd w:id="88"/>
    <w:bookmarkStart w:id="90" w:name="ref-sahasrabudhe2011"/>
    <w:p>
      <w:pPr>
        <w:pStyle w:val="Bibliography"/>
      </w:pPr>
      <w:r>
        <w:t xml:space="preserve">Sahasrabudhe, S., &amp; Motter, A. E. (2011). Rescuing ecosystems from extinction cascades through compensatory perturbations.</w:t>
      </w:r>
      <w:r>
        <w:t xml:space="preserve"> </w:t>
      </w:r>
      <w:r>
        <w:rPr>
          <w:i/>
          <w:iCs/>
        </w:rPr>
        <w:t xml:space="preserve">Nature Communications</w:t>
      </w:r>
      <w:r>
        <w:t xml:space="preserve">,</w:t>
      </w:r>
      <w:r>
        <w:t xml:space="preserve"> </w:t>
      </w:r>
      <w:r>
        <w:rPr>
          <w:i/>
          <w:iCs/>
        </w:rPr>
        <w:t xml:space="preserve">2</w:t>
      </w:r>
      <w:r>
        <w:t xml:space="preserve">(1), 170.</w:t>
      </w:r>
      <w:r>
        <w:t xml:space="preserve"> </w:t>
      </w:r>
      <w:hyperlink r:id="rId89">
        <w:r>
          <w:rPr>
            <w:rStyle w:val="Hyperlink"/>
          </w:rPr>
          <w:t xml:space="preserve">https://doi.org/10.1038/ncomms1163</w:t>
        </w:r>
      </w:hyperlink>
    </w:p>
    <w:bookmarkEnd w:id="90"/>
    <w:bookmarkStart w:id="92"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91">
        <w:r>
          <w:rPr>
            <w:rStyle w:val="Hyperlink"/>
          </w:rPr>
          <w:t xml:space="preserve">https://doi.org/10.1038/ncomms12718</w:t>
        </w:r>
      </w:hyperlink>
    </w:p>
    <w:bookmarkEnd w:id="92"/>
    <w:bookmarkStart w:id="94"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93">
        <w:r>
          <w:rPr>
            <w:rStyle w:val="Hyperlink"/>
          </w:rPr>
          <w:t xml:space="preserve">https://doi.org/10.1101/2024.01.30.578036</w:t>
        </w:r>
      </w:hyperlink>
    </w:p>
    <w:bookmarkEnd w:id="94"/>
    <w:bookmarkStart w:id="96"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95">
        <w:r>
          <w:rPr>
            <w:rStyle w:val="Hyperlink"/>
          </w:rPr>
          <w:t xml:space="preserve">https://doi.org/10.1098/rspb.2001.1767</w:t>
        </w:r>
      </w:hyperlink>
    </w:p>
    <w:bookmarkEnd w:id="96"/>
    <w:bookmarkStart w:id="98"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97">
        <w:r>
          <w:rPr>
            <w:rStyle w:val="Hyperlink"/>
          </w:rPr>
          <w:t xml:space="preserve">https://doi.org/10.1890/04-0957</w:t>
        </w:r>
      </w:hyperlink>
    </w:p>
    <w:bookmarkEnd w:id="98"/>
    <w:bookmarkStart w:id="100"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99">
        <w:r>
          <w:rPr>
            <w:rStyle w:val="Hyperlink"/>
          </w:rPr>
          <w:t xml:space="preserve">https://doi.org/10.1111/1365-2656.12949</w:t>
        </w:r>
      </w:hyperlink>
    </w:p>
    <w:bookmarkEnd w:id="100"/>
    <w:bookmarkStart w:id="102"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01">
        <w:r>
          <w:rPr>
            <w:rStyle w:val="Hyperlink"/>
          </w:rPr>
          <w:t xml:space="preserve">https://doi.org/10.1098/rspb.2007.0571</w:t>
        </w:r>
      </w:hyperlink>
    </w:p>
    <w:bookmarkEnd w:id="102"/>
    <w:bookmarkStart w:id="104"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03">
        <w:r>
          <w:rPr>
            <w:rStyle w:val="Hyperlink"/>
          </w:rPr>
          <w:t xml:space="preserve">https://doi.org/10.1098/rstb.2021.0063</w:t>
        </w:r>
      </w:hyperlink>
    </w:p>
    <w:bookmarkEnd w:id="104"/>
    <w:bookmarkStart w:id="106"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05">
        <w:r>
          <w:rPr>
            <w:rStyle w:val="Hyperlink"/>
          </w:rPr>
          <w:t xml:space="preserve">https://doi.org/10.32942/X2JW8K</w:t>
        </w:r>
      </w:hyperlink>
    </w:p>
    <w:bookmarkEnd w:id="106"/>
    <w:bookmarkStart w:id="108"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07">
        <w:r>
          <w:rPr>
            <w:rStyle w:val="Hyperlink"/>
          </w:rPr>
          <w:t xml:space="preserve">https://doi.org/10.1007/s00114-011-0789-9</w:t>
        </w:r>
      </w:hyperlink>
    </w:p>
    <w:bookmarkEnd w:id="108"/>
    <w:bookmarkStart w:id="11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09">
        <w:r>
          <w:rPr>
            <w:rStyle w:val="Hyperlink"/>
          </w:rPr>
          <w:t xml:space="preserve">https://doi.org/10.1140/epjb/e2004-00122-1</w:t>
        </w:r>
      </w:hyperlink>
    </w:p>
    <w:bookmarkEnd w:id="110"/>
    <w:bookmarkStart w:id="11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11">
        <w:r>
          <w:rPr>
            <w:rStyle w:val="Hyperlink"/>
          </w:rPr>
          <w:t xml:space="preserve">https://doi.org/10.1038/35004572</w:t>
        </w:r>
      </w:hyperlink>
    </w:p>
    <w:bookmarkEnd w:id="112"/>
    <w:bookmarkStart w:id="11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13">
        <w:r>
          <w:rPr>
            <w:rStyle w:val="Hyperlink"/>
          </w:rPr>
          <w:t xml:space="preserve">https://doi.org/10.1111/j.1365-2656.2008.01362.x</w:t>
        </w:r>
      </w:hyperlink>
    </w:p>
    <w:bookmarkEnd w:id="114"/>
    <w:bookmarkStart w:id="11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15">
        <w:r>
          <w:rPr>
            <w:rStyle w:val="Hyperlink"/>
          </w:rPr>
          <w:t xml:space="preserve">https://doi.org/10.1073/pnas.1408471111</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87" Target="https://doi.org/10.1007/978-3-319-73795-9_6" TargetMode="External" /><Relationship Type="http://schemas.openxmlformats.org/officeDocument/2006/relationships/hyperlink" Id="rId107" Target="https://doi.org/10.1007/s00114-011-0789-9" TargetMode="External" /><Relationship Type="http://schemas.openxmlformats.org/officeDocument/2006/relationships/hyperlink" Id="rId49" Target="https://doi.org/10.1016/j.baae.2011.09.008" TargetMode="External" /><Relationship Type="http://schemas.openxmlformats.org/officeDocument/2006/relationships/hyperlink" Id="rId74" Target="https://doi.org/10.1016/j.tree.2015.03.014" TargetMode="External" /><Relationship Type="http://schemas.openxmlformats.org/officeDocument/2006/relationships/hyperlink" Id="rId111" Target="https://doi.org/10.1038/35004572" TargetMode="External" /><Relationship Type="http://schemas.openxmlformats.org/officeDocument/2006/relationships/hyperlink" Id="rId43" Target="https://doi.org/10.1038/nature10832" TargetMode="External" /><Relationship Type="http://schemas.openxmlformats.org/officeDocument/2006/relationships/hyperlink" Id="rId45" Target="https://doi.org/10.1038/nature11018" TargetMode="External" /><Relationship Type="http://schemas.openxmlformats.org/officeDocument/2006/relationships/hyperlink" Id="rId89" Target="https://doi.org/10.1038/ncomms1163" TargetMode="External" /><Relationship Type="http://schemas.openxmlformats.org/officeDocument/2006/relationships/hyperlink" Id="rId91" Target="https://doi.org/10.1038/ncomms12718" TargetMode="External" /><Relationship Type="http://schemas.openxmlformats.org/officeDocument/2006/relationships/hyperlink" Id="rId55" Target="https://doi.org/10.1038/s41467-024-53000-2" TargetMode="External" /><Relationship Type="http://schemas.openxmlformats.org/officeDocument/2006/relationships/hyperlink" Id="rId68" Target="https://doi.org/10.1038/s41598-019-44260-w" TargetMode="External" /><Relationship Type="http://schemas.openxmlformats.org/officeDocument/2006/relationships/hyperlink" Id="rId76" Target="https://doi.org/10.1073/pnas.0710672105" TargetMode="External" /><Relationship Type="http://schemas.openxmlformats.org/officeDocument/2006/relationships/hyperlink" Id="rId115" Target="https://doi.org/10.1073/pnas.1408471111" TargetMode="External" /><Relationship Type="http://schemas.openxmlformats.org/officeDocument/2006/relationships/hyperlink" Id="rId82" Target="https://doi.org/10.1086/653667" TargetMode="External" /><Relationship Type="http://schemas.openxmlformats.org/officeDocument/2006/relationships/hyperlink" Id="rId95" Target="https://doi.org/10.1098/rspb.2001.1767" TargetMode="External" /><Relationship Type="http://schemas.openxmlformats.org/officeDocument/2006/relationships/hyperlink" Id="rId101" Target="https://doi.org/10.1098/rspb.2007.0571" TargetMode="External" /><Relationship Type="http://schemas.openxmlformats.org/officeDocument/2006/relationships/hyperlink" Id="rId57" Target="https://doi.org/10.1098/rspb.2013.3280" TargetMode="External" /><Relationship Type="http://schemas.openxmlformats.org/officeDocument/2006/relationships/hyperlink" Id="rId70" Target="https://doi.org/10.1098/rstb.2019.0222" TargetMode="External" /><Relationship Type="http://schemas.openxmlformats.org/officeDocument/2006/relationships/hyperlink" Id="rId103" Target="https://doi.org/10.1098/rstb.2021.0063" TargetMode="External" /><Relationship Type="http://schemas.openxmlformats.org/officeDocument/2006/relationships/hyperlink" Id="rId93" Target="https://doi.org/10.1101/2024.01.30.578036" TargetMode="External" /><Relationship Type="http://schemas.openxmlformats.org/officeDocument/2006/relationships/hyperlink" Id="rId99" Target="https://doi.org/10.1111/1365-2656.12949" TargetMode="External" /><Relationship Type="http://schemas.openxmlformats.org/officeDocument/2006/relationships/hyperlink" Id="rId78" Target="https://doi.org/10.1111/2041-210X.14061" TargetMode="External" /><Relationship Type="http://schemas.openxmlformats.org/officeDocument/2006/relationships/hyperlink" Id="rId51" Target="https://doi.org/10.1111/brv.12433" TargetMode="External" /><Relationship Type="http://schemas.openxmlformats.org/officeDocument/2006/relationships/hyperlink" Id="rId66" Target="https://doi.org/10.1111/ecog.04006" TargetMode="External" /><Relationship Type="http://schemas.openxmlformats.org/officeDocument/2006/relationships/hyperlink" Id="rId113" Target="https://doi.org/10.1111/j.1365-2656.2008.01362.x" TargetMode="External" /><Relationship Type="http://schemas.openxmlformats.org/officeDocument/2006/relationships/hyperlink" Id="rId80" Target="https://doi.org/10.1111/oik.01719" TargetMode="External" /><Relationship Type="http://schemas.openxmlformats.org/officeDocument/2006/relationships/hyperlink" Id="rId41" Target="https://doi.org/10.1126/science.1156269" TargetMode="External" /><Relationship Type="http://schemas.openxmlformats.org/officeDocument/2006/relationships/hyperlink" Id="rId72" Target="https://doi.org/10.1126/science.298.5594.824" TargetMode="External" /><Relationship Type="http://schemas.openxmlformats.org/officeDocument/2006/relationships/hyperlink" Id="rId64" Target="https://doi.org/10.1126/science.abn4012" TargetMode="External" /><Relationship Type="http://schemas.openxmlformats.org/officeDocument/2006/relationships/hyperlink" Id="rId109" Target="https://doi.org/10.1140/epjb/e2004-00122-1" TargetMode="External" /><Relationship Type="http://schemas.openxmlformats.org/officeDocument/2006/relationships/hyperlink" Id="rId59" Target="https://doi.org/10.1371/journal.pbio.0060102" TargetMode="External" /><Relationship Type="http://schemas.openxmlformats.org/officeDocument/2006/relationships/hyperlink" Id="rId47" Target="https://doi.org/10.1890/0012-9658(2006)87[2411:CBRINF]2.0.CO;2" TargetMode="External" /><Relationship Type="http://schemas.openxmlformats.org/officeDocument/2006/relationships/hyperlink" Id="rId97" Target="https://doi.org/10.1890/04-0957" TargetMode="External" /><Relationship Type="http://schemas.openxmlformats.org/officeDocument/2006/relationships/hyperlink" Id="rId105" Target="https://doi.org/10.32942/X2JW8K" TargetMode="External" /><Relationship Type="http://schemas.openxmlformats.org/officeDocument/2006/relationships/hyperlink" Id="rId53" Target="https://doi.org/10.3389/fevo.2022.1031483" TargetMode="External" /><Relationship Type="http://schemas.openxmlformats.org/officeDocument/2006/relationships/hyperlink" Id="rId62" Target="https://doi.org/10.5486/pmd.1959.6.3-4.12" TargetMode="External" /><Relationship Type="http://schemas.openxmlformats.org/officeDocument/2006/relationships/hyperlink" Id="rId85"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978-3-319-73795-9_6" TargetMode="External" /><Relationship Type="http://schemas.openxmlformats.org/officeDocument/2006/relationships/hyperlink" Id="rId107" Target="https://doi.org/10.1007/s00114-011-0789-9" TargetMode="External" /><Relationship Type="http://schemas.openxmlformats.org/officeDocument/2006/relationships/hyperlink" Id="rId49" Target="https://doi.org/10.1016/j.baae.2011.09.008" TargetMode="External" /><Relationship Type="http://schemas.openxmlformats.org/officeDocument/2006/relationships/hyperlink" Id="rId74" Target="https://doi.org/10.1016/j.tree.2015.03.014" TargetMode="External" /><Relationship Type="http://schemas.openxmlformats.org/officeDocument/2006/relationships/hyperlink" Id="rId111" Target="https://doi.org/10.1038/35004572" TargetMode="External" /><Relationship Type="http://schemas.openxmlformats.org/officeDocument/2006/relationships/hyperlink" Id="rId43" Target="https://doi.org/10.1038/nature10832" TargetMode="External" /><Relationship Type="http://schemas.openxmlformats.org/officeDocument/2006/relationships/hyperlink" Id="rId45" Target="https://doi.org/10.1038/nature11018" TargetMode="External" /><Relationship Type="http://schemas.openxmlformats.org/officeDocument/2006/relationships/hyperlink" Id="rId89" Target="https://doi.org/10.1038/ncomms1163" TargetMode="External" /><Relationship Type="http://schemas.openxmlformats.org/officeDocument/2006/relationships/hyperlink" Id="rId91" Target="https://doi.org/10.1038/ncomms12718" TargetMode="External" /><Relationship Type="http://schemas.openxmlformats.org/officeDocument/2006/relationships/hyperlink" Id="rId55" Target="https://doi.org/10.1038/s41467-024-53000-2" TargetMode="External" /><Relationship Type="http://schemas.openxmlformats.org/officeDocument/2006/relationships/hyperlink" Id="rId68" Target="https://doi.org/10.1038/s41598-019-44260-w" TargetMode="External" /><Relationship Type="http://schemas.openxmlformats.org/officeDocument/2006/relationships/hyperlink" Id="rId76" Target="https://doi.org/10.1073/pnas.0710672105" TargetMode="External" /><Relationship Type="http://schemas.openxmlformats.org/officeDocument/2006/relationships/hyperlink" Id="rId115" Target="https://doi.org/10.1073/pnas.1408471111" TargetMode="External" /><Relationship Type="http://schemas.openxmlformats.org/officeDocument/2006/relationships/hyperlink" Id="rId82" Target="https://doi.org/10.1086/653667" TargetMode="External" /><Relationship Type="http://schemas.openxmlformats.org/officeDocument/2006/relationships/hyperlink" Id="rId95" Target="https://doi.org/10.1098/rspb.2001.1767" TargetMode="External" /><Relationship Type="http://schemas.openxmlformats.org/officeDocument/2006/relationships/hyperlink" Id="rId101" Target="https://doi.org/10.1098/rspb.2007.0571" TargetMode="External" /><Relationship Type="http://schemas.openxmlformats.org/officeDocument/2006/relationships/hyperlink" Id="rId57" Target="https://doi.org/10.1098/rspb.2013.3280" TargetMode="External" /><Relationship Type="http://schemas.openxmlformats.org/officeDocument/2006/relationships/hyperlink" Id="rId70" Target="https://doi.org/10.1098/rstb.2019.0222" TargetMode="External" /><Relationship Type="http://schemas.openxmlformats.org/officeDocument/2006/relationships/hyperlink" Id="rId103" Target="https://doi.org/10.1098/rstb.2021.0063" TargetMode="External" /><Relationship Type="http://schemas.openxmlformats.org/officeDocument/2006/relationships/hyperlink" Id="rId93" Target="https://doi.org/10.1101/2024.01.30.578036" TargetMode="External" /><Relationship Type="http://schemas.openxmlformats.org/officeDocument/2006/relationships/hyperlink" Id="rId99" Target="https://doi.org/10.1111/1365-2656.12949" TargetMode="External" /><Relationship Type="http://schemas.openxmlformats.org/officeDocument/2006/relationships/hyperlink" Id="rId78" Target="https://doi.org/10.1111/2041-210X.14061" TargetMode="External" /><Relationship Type="http://schemas.openxmlformats.org/officeDocument/2006/relationships/hyperlink" Id="rId51" Target="https://doi.org/10.1111/brv.12433" TargetMode="External" /><Relationship Type="http://schemas.openxmlformats.org/officeDocument/2006/relationships/hyperlink" Id="rId66" Target="https://doi.org/10.1111/ecog.04006" TargetMode="External" /><Relationship Type="http://schemas.openxmlformats.org/officeDocument/2006/relationships/hyperlink" Id="rId113" Target="https://doi.org/10.1111/j.1365-2656.2008.01362.x" TargetMode="External" /><Relationship Type="http://schemas.openxmlformats.org/officeDocument/2006/relationships/hyperlink" Id="rId80" Target="https://doi.org/10.1111/oik.01719" TargetMode="External" /><Relationship Type="http://schemas.openxmlformats.org/officeDocument/2006/relationships/hyperlink" Id="rId41" Target="https://doi.org/10.1126/science.1156269" TargetMode="External" /><Relationship Type="http://schemas.openxmlformats.org/officeDocument/2006/relationships/hyperlink" Id="rId72" Target="https://doi.org/10.1126/science.298.5594.824" TargetMode="External" /><Relationship Type="http://schemas.openxmlformats.org/officeDocument/2006/relationships/hyperlink" Id="rId64" Target="https://doi.org/10.1126/science.abn4012" TargetMode="External" /><Relationship Type="http://schemas.openxmlformats.org/officeDocument/2006/relationships/hyperlink" Id="rId109" Target="https://doi.org/10.1140/epjb/e2004-00122-1" TargetMode="External" /><Relationship Type="http://schemas.openxmlformats.org/officeDocument/2006/relationships/hyperlink" Id="rId59" Target="https://doi.org/10.1371/journal.pbio.0060102" TargetMode="External" /><Relationship Type="http://schemas.openxmlformats.org/officeDocument/2006/relationships/hyperlink" Id="rId47" Target="https://doi.org/10.1890/0012-9658(2006)87[2411:CBRINF]2.0.CO;2" TargetMode="External" /><Relationship Type="http://schemas.openxmlformats.org/officeDocument/2006/relationships/hyperlink" Id="rId97" Target="https://doi.org/10.1890/04-0957" TargetMode="External" /><Relationship Type="http://schemas.openxmlformats.org/officeDocument/2006/relationships/hyperlink" Id="rId105" Target="https://doi.org/10.32942/X2JW8K" TargetMode="External" /><Relationship Type="http://schemas.openxmlformats.org/officeDocument/2006/relationships/hyperlink" Id="rId53" Target="https://doi.org/10.3389/fevo.2022.1031483" TargetMode="External" /><Relationship Type="http://schemas.openxmlformats.org/officeDocument/2006/relationships/hyperlink" Id="rId62" Target="https://doi.org/10.5486/pmd.1959.6.3-4.12" TargetMode="External" /><Relationship Type="http://schemas.openxmlformats.org/officeDocument/2006/relationships/hyperlink" Id="rId85"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why model choice matters for 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2026-02-02T08:55:24Z</dcterms:created>
  <dcterms:modified xsi:type="dcterms:W3CDTF">2026-02-02T08:55:24Z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2026-02-02</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