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why model choice matters for 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2026-02-04</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jc w:val="center"/>
                  </w:pPr>
                  <w:r>
                    <w:t xml:space="preserve">Evaluating the influence of trophic hierarchy or intervality on network topology; generating baseline predictions for motifs and connectance </w:t>
                  </w: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jc w:val="center"/>
                  </w:pPr>
                  <w:r>
                    <w:t xml:space="preserve">Predicting realised predator diets under energy-maximization rules; exploring secondary extinctions and trophic bottlenecks</w:t>
                  </w: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effects of species loss on network structure; examining consequences of mechanical constraints on predator–prey interactions</w:t>
                  </w: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Mapping feasible trophic interactions based on trait compatibility; assessing vulnerability and secondary extinctions in paleo-communities</w:t>
                  </w:r>
                  <w:r>
                    <w:t xml:space="preserve"> </w:t>
                  </w:r>
                  <w:r>
                    <w:t xml:space="preserve">(Dunhill et al., 2024)</w:t>
                  </w:r>
                  <w:r>
                    <w:t xml:space="preserve">.</w:t>
                  </w:r>
                </w:p>
              </w:tc>
            </w:tr>
            <w:tr>
              <w:tc>
                <w:tcPr/>
                <w:p>
                  <w:pPr>
                    <w:pStyle w:val="Compact"/>
                    <w:jc w:val="center"/>
                  </w:pPr>
                  <w:r>
                    <w:t xml:space="preserve">body 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Estimating likely interaction networks from body-size constraints; evaluating cascading effects and network collapse under extinction scenarios [</w:t>
                  </w:r>
                  <w:r>
                    <w:t xml:space="preserve">Yeakel et al. (2014)</w:t>
                  </w:r>
                  <w:r>
                    <w:t xml:space="preserve">].</w:t>
                  </w:r>
                </w:p>
              </w:tc>
            </w:tr>
          </w:tbl>
          <w:bookmarkEnd w:id="11"/>
          <w:p/>
        </w:tc>
      </w:tr>
    </w:tbl>
    <w:p>
      <w:pPr>
        <w:pStyle w:val="BodyText"/>
      </w:pPr>
      <w:r>
        <w:t xml:space="preserve">The three body mass-based models (ADBM, ATN, body 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 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Expanded descriptions of model assumptions, parameterisation, and link-generation rules are provided in Supplementary Material S1. For each of the four communities, we constructed 100 replicate networks using each of the six models (2400 networks total). Networks were simplified by removing disconnected species. For size-based models, body masses were drawn from uniform distributions bounded by size-class limits,allowing for variance between replicates but preserving relative sizes within replicates. Structural models were parameterised using connectance values drawn from an empirically realistic range (0.07 – 0.34) while holding richness constant. The same parameter draws were used across comparable models within each replicate.</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models were assessed using MANOVA, followed by univariate ANOVAs, post-hoc comparisons, and linear discriminant analysis.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8" w:name="results"/>
    <w:p>
      <w:pPr>
        <w:pStyle w:val="Heading1"/>
      </w:pPr>
      <w:r>
        <w:t xml:space="preserve">3. Results</w:t>
      </w:r>
    </w:p>
    <w:p>
      <w:pPr>
        <w:pStyle w:val="FirstParagraph"/>
      </w:pPr>
      <w:r>
        <w:t xml:space="preserve">Across six network reconstruction approaches, inferred food-web structure, species interactions, and extinction dynamics differed strongly and consistently. Multivariate analyses revealed pronounced separation among models in network metric space, with reconstruction approach explaining the majority of variance in structural properties and leaving a distinct signature independent of community composition. While some models converged on similar global metrics, they often disagreed on inferred pairwise interactions, demonstrating that structural similarity does not imply concordance in species-level diets or trophic roles. Model choice also substantially influenced inferred extinction dynamics: temporal trajectories of network collapse, interaction loss, and motif reorganization differed among approaches, and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3.84, approximate</w:t>
      </w:r>
      <w:r>
        <w:t xml:space="preserve"> </w:t>
      </w:r>
      <m:oMath>
        <m:sSub>
          <m:e>
            <m:r>
              <m:t>F</m:t>
            </m:r>
          </m:e>
          <m:sub>
            <m:r>
              <m:t>40</m:t>
            </m:r>
            <m:r>
              <m:rPr>
                <m:sty m:val="p"/>
              </m:rPr>
              <m:t>,</m:t>
            </m:r>
            <m:r>
              <m:t>11955</m:t>
            </m:r>
          </m:sub>
        </m:sSub>
      </m:oMath>
      <w:r>
        <w:t xml:space="preserve"> </w:t>
      </w:r>
      <w:r>
        <w:t xml:space="preserve">= 987.35, p &lt; 0.001). Univariate analyses showed that model choice explained a large proportion of variance in most network metrics, with high partial η² values for all network structural metrics (η² = 0.65–0.92). Estimated marginal means and Tukey-adjusted comparisons indicated consistent differences among reconstruction approaches, with PFIM differing significantly from all other models (</w:t>
      </w:r>
      <m:oMath>
        <m:r>
          <m:t>p</m:t>
        </m:r>
      </m:oMath>
      <w:r>
        <w:t xml:space="preserve"> </w:t>
      </w:r>
      <w:r>
        <w:t xml:space="preserve">≤ 0.0001). Within the allometric frameworks we observed a notable divergence between the ADBM and ATN models (</w:t>
      </w:r>
      <m:oMath>
        <m:r>
          <m:t>p</m:t>
        </m:r>
      </m:oMath>
      <w:r>
        <w:t xml:space="preserve"> </w:t>
      </w:r>
      <w:r>
        <w:t xml:space="preserve">≤ 0.0001), demonstrating that bioenergetic ranking and mechanical-efficiency rules do not converge on a single structural solution. Interestingly, the only pair to exhibit statistical consensus in multivariate space was the ADBM and the log-ratio model (</w:t>
      </w:r>
      <m:oMath>
        <m:r>
          <m:t>p</m:t>
        </m:r>
      </m:oMath>
      <w:r>
        <w:t xml:space="preserve"> </w:t>
      </w:r>
      <w:r>
        <w:t xml:space="preserve">= 0.99). Linear discriminant analysis (LDA) further helped visualise distinctions among reconstruction approaches in multivariate network space</w:t>
      </w:r>
      <w:r>
        <w:t xml:space="preserve"> </w:t>
      </w:r>
      <w:hyperlink w:anchor="fig-structure">
        <w:r>
          <w:rPr>
            <w:rStyle w:val="Hyperlink"/>
          </w:rPr>
          <w:t xml:space="preserve">Figure 1</w:t>
        </w:r>
      </w:hyperlink>
      <w:r>
        <w:t xml:space="preserve">, with the first two axes explaining 86% of between-model variance (LD1 = 53%, LD2 = 33%). LD1 was most strongly correlated with vulnerability (</w:t>
      </w:r>
      <m:oMath>
        <m:r>
          <m:t>r</m:t>
        </m:r>
      </m:oMath>
      <w:r>
        <w:t xml:space="preserve"> </w:t>
      </w:r>
      <w:r>
        <w:t xml:space="preserve">= 0.86), direct competition motifs (</w:t>
      </w:r>
      <m:oMath>
        <m:r>
          <m:t>r</m:t>
        </m:r>
      </m:oMath>
      <w:r>
        <w:t xml:space="preserve"> </w:t>
      </w:r>
      <w:r>
        <w:t xml:space="preserve">= 0.81), and connectance (</w:t>
      </w:r>
      <m:oMath>
        <m:r>
          <m:t>r</m:t>
        </m:r>
      </m:oMath>
      <w:r>
        <w:t xml:space="preserve"> </w:t>
      </w:r>
      <w:r>
        <w:t xml:space="preserve">= 0.75), whereas LD2 was associated primarily with maximum trophic level (</w:t>
      </w:r>
      <m:oMath>
        <m:r>
          <m:t>r</m:t>
        </m:r>
      </m:oMath>
      <w:r>
        <w:t xml:space="preserve"> </w:t>
      </w:r>
      <w:r>
        <w:t xml:space="preserve">= −0.76) and a positive correlation with apparent competition motifs (</w:t>
      </w:r>
      <m:oMath>
        <m:r>
          <m:t>r</m:t>
        </m:r>
      </m:oMath>
      <w:r>
        <w:t xml:space="preserve"> </w:t>
      </w:r>
      <w:r>
        <w:t xml:space="preserve">= 0.73). Higher-order axes each explained less than 9% of the remaining variance. This demonstrates that the reconstruction approach leaves a strong multivariate signature independent of community composition.</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in the specific interactions they inferred.</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highly concordant, reflecting similar underlying assumptions despite different generative rules, whereas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beta turnover in species interactions among four ecological network models (ADBM, lmatrix,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 S3.</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Overall, models were consistent in ranking extinction scenarios at the network level: Kendall’s</w:t>
      </w:r>
      <w:r>
        <w:t xml:space="preserve"> </w:t>
      </w:r>
      <m:oMath>
        <m:r>
          <m:t>τ</m:t>
        </m:r>
      </m:oMath>
      <w:r>
        <w:t xml:space="preserve"> </w:t>
      </w:r>
      <w:r>
        <w:t xml:space="preserve">values for MAD-based rankings were generally positive, with strong agreement between ADBM and ATN models (</w:t>
      </w:r>
      <m:oMath>
        <m:r>
          <m:t>τ</m:t>
        </m:r>
      </m:oMath>
      <w:r>
        <w:t xml:space="preserve"> </w:t>
      </w:r>
      <w:r>
        <w:t xml:space="preserve">≈ 0.63). Node-level TSS scores similarly showed broad consistency across models (</w:t>
      </w:r>
      <m:oMath>
        <m:r>
          <m:t>τ</m:t>
        </m:r>
      </m:oMath>
      <w:r>
        <w:t xml:space="preserve">: 0.25 – 0.90), reflecting comparable species removal sequences. In contrast, link-level outcomes were more variable (</w:t>
      </w:r>
      <m:oMath>
        <m:r>
          <m:t>τ</m:t>
        </m:r>
      </m:oMath>
      <w:r>
        <w:t xml:space="preserve">: -0.48 - 0.29), reflecting variance in the recovery of specific pairwise links between real and simualted networks. These results indicate that while different models often recover similar species-level extinction patterns, inferred interaction loss and cascade dynamics are highly sensitive to model choice.</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80010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44" w:name="discussion"/>
    <w:p>
      <w:pPr>
        <w:pStyle w:val="Heading1"/>
      </w:pPr>
      <w:r>
        <w:t xml:space="preserve">4. Discussion</w:t>
      </w:r>
    </w:p>
    <w:bookmarkStart w:id="39" w:name="X97f48f798b4217c0affa90fbfb1db2e476bb466"/>
    <w:p>
      <w:pPr>
        <w:pStyle w:val="Heading2"/>
      </w:pPr>
      <w:r>
        <w:t xml:space="preserve">4.1 Model choice as a component of ecological inference</w:t>
      </w:r>
    </w:p>
    <w:p>
      <w:pPr>
        <w:pStyle w:val="FirstParagraph"/>
      </w:pPr>
      <w:r>
        <w:t xml:space="preserve">Reconstructing food webs from fossil data is inherently an exercise in inference under uncertainty. It requires not only assembling paleontological data but also making explicit assumptions about how species interact and how those interactions are represented mathematically</w:t>
      </w:r>
      <w:r>
        <w:t xml:space="preserve"> </w:t>
      </w:r>
      <w:r>
        <w:t xml:space="preserve">(Dunne et al., 2008; Morales-Castilla et al., 2015; Strydom et al., 2026)</w:t>
      </w:r>
      <w:r>
        <w:t xml:space="preserve">. This process parallels modern ecological network studies, where the tension between data limitations and meaningful ecological inference is well recognised</w:t>
      </w:r>
      <w:r>
        <w:t xml:space="preserve"> </w:t>
      </w:r>
      <w:r>
        <w:t xml:space="preserve">(Delmas et al., 2019; Poisot et al., 2021)</w:t>
      </w:r>
      <w:r>
        <w:t xml:space="preserve">. Here we demonstrate that the choice of network reconstruction model is itself a major ecological decision, shaping both the structural properties of inferred networks and downstream interpretations of extinction dynamics</w:t>
      </w:r>
      <w:r>
        <w:t xml:space="preserve"> </w:t>
      </w:r>
      <w:r>
        <w:t xml:space="preserve">(Allesina &amp; Tang, 2012; Solé &amp; Montoya, 2001)</w:t>
      </w:r>
      <w:r>
        <w:t xml:space="preserve">.</w:t>
      </w:r>
    </w:p>
    <w:p>
      <w:pPr>
        <w:pStyle w:val="BodyText"/>
      </w:pPr>
      <w:r>
        <w:t xml:space="preserve">Differences among models arise not from the fossil evidence</w:t>
      </w:r>
      <w:r>
        <w:t xml:space="preserve"> </w:t>
      </w:r>
      <w:r>
        <w:rPr>
          <w:i/>
          <w:iCs/>
        </w:rPr>
        <w:t xml:space="preserve">per se</w:t>
      </w:r>
      <w:r>
        <w:t xml:space="preserve">, but from the assumptions embedded in each model family</w:t>
      </w:r>
      <w:r>
        <w:t xml:space="preserve">(Pichler &amp; Hartig, 2023; Strydom et al., 2021)</w:t>
      </w:r>
      <w:r>
        <w:t xml:space="preserve">. These include how trophic links are defined (trait compatibility versus energetic constraints), how interaction probabilities are parameterised, and whether network topology is informed by macroecological theory (</w:t>
      </w:r>
      <w:r>
        <w:rPr>
          <w:i/>
          <w:iCs/>
        </w:rPr>
        <w:t xml:space="preserve">e.g.,</w:t>
      </w:r>
      <w:r>
        <w:t xml:space="preserve"> </w:t>
      </w:r>
      <w:r>
        <w:t xml:space="preserve">niche structure) or by mechanistic rules (</w:t>
      </w:r>
      <w:r>
        <w:rPr>
          <w:i/>
          <w:iCs/>
        </w:rPr>
        <w:t xml:space="preserve">e.g.,</w:t>
      </w:r>
      <w:r>
        <w:t xml:space="preserve"> </w:t>
      </w:r>
      <w:r>
        <w:t xml:space="preserve">body-size ratios). Consequently, network reconstruction is not a neutral methodological step, model choice encodes ecological assumptions and shapes the narratives we extract from ancient ecosystems. This sensitivity mirrors challenges in modern network ecology, where model and metric selection influences the interpretation of patterns such as connectance, modularity, or motif distributions</w:t>
      </w:r>
      <w:r>
        <w:t xml:space="preserve">(Michalska-Smith &amp; Allesina, 2019; Poisot &amp; Gravel, 2014)</w:t>
      </w:r>
      <w:r>
        <w:t xml:space="preserve">.</w:t>
      </w:r>
    </w:p>
    <w:p>
      <w:pPr>
        <w:pStyle w:val="BodyText"/>
      </w:pPr>
      <w:r>
        <w:t xml:space="preserve">Multivariate analyses of network metrics reveal that reconstruction approach explains a large portion of variance in structural properties. These patterns demonstrate a strong, model-specific signature independent of community composition. While some models occasionally converged on some global metrics (</w:t>
      </w:r>
      <w:r>
        <w:rPr>
          <w:i/>
          <w:iCs/>
        </w:rPr>
        <w:t xml:space="preserve">e.g.,</w:t>
      </w:r>
      <w:r>
        <w:t xml:space="preserve"> </w:t>
      </w:r>
      <w:r>
        <w:t xml:space="preserve">ADBM and log-ratio models), pairwise β-turnover revealed disagreements in inferred species-level interactions. Thus, structural similarity does not guarantee concordance in trophic roles, highlighting that uncertainty in reconstructed networks is structured and predictable rather than random. Comparing multiple reconstruction approaches provides a means to identify robust ecological signals while delineating areas where inference remains model-dependent.</w:t>
      </w:r>
    </w:p>
    <w:p>
      <w:pPr>
        <w:pStyle w:val="BodyText"/>
      </w:pPr>
      <w:r>
        <w:t xml:space="preserve">Mechanistic models (PFIM) typically identify a broad landscape of trait-compatible interactions, theoretical size-based models (ADBM, ATN, body size ratio) impose energetic filters to approximate realised diets, and structural models (niche, random) prioritise topological patterns over species identity. These differences are most evdent when looking at inferred extinction dynamics. Temporal trajectories of network collapse, interaction loss, and motif reorganization varied markedly among approaches. While species-level extinction rankings were often broadly consistent across models, link-level outcomes and secondary extinctions were highly sensitive to reconstruction assumptions, reflecting the emergent dependence of extinction pathways on network structure</w:t>
      </w:r>
      <w:r>
        <w:t xml:space="preserve"> </w:t>
      </w:r>
      <w:r>
        <w:t xml:space="preserve">(Allesina &amp; Tang, 2012; Curtsdotter et al., 2011; Dunne et al., 2002; Yeakel et al., 2014)</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paleoecologists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Recognizing and explicitly accounting for these differences is essential for advancing paleoecology beyond descriptive reconstruction toward rigorous comparative inference.</w:t>
      </w:r>
    </w:p>
    <w:bookmarkEnd w:id="39"/>
    <w:bookmarkStart w:id="40" w:name="Xf2c28f4692b6e1ff18e003862b32749880553b8"/>
    <w:p>
      <w:pPr>
        <w:pStyle w:val="Heading2"/>
      </w:pPr>
      <w:r>
        <w:t xml:space="preserve">4.2 Aligning ecological questions with model choice</w:t>
      </w:r>
    </w:p>
    <w:p>
      <w:pPr>
        <w:pStyle w:val="FirstParagraph"/>
      </w:pPr>
      <w:r>
        <w:t xml:space="preserve">A central insight from this study is that different ecological questions require different network representations, echoing broader efforts in network ecology to clarify what models and metrics can validly infer about ecological systems</w:t>
      </w:r>
      <w:r>
        <w:t xml:space="preserve"> </w:t>
      </w:r>
      <w:r>
        <w:t xml:space="preserve">(Gauzens et al., 2025; Strydom et al., 2026)</w:t>
      </w:r>
      <w:r>
        <w:t xml:space="preserve">. Here we identify a conceptual divide among feasible, realised, and structural networks, providing a practical framework to match research goals with appropriate reconstruction approaches.</w:t>
      </w:r>
    </w:p>
    <w:p>
      <w:pPr>
        <w:pStyle w:val="BodyText"/>
      </w:pPr>
      <w:r>
        <w:rPr>
          <w:b/>
          <w:bCs/>
        </w:rPr>
        <w:t xml:space="preserve">Feasibility networks:</w:t>
      </w:r>
      <w:r>
        <w:t xml:space="preserve"> </w:t>
      </w:r>
      <w:r>
        <w:t xml:space="preserve">(</w:t>
      </w:r>
      <w:r>
        <w:rPr>
          <w:i/>
          <w:iCs/>
        </w:rPr>
        <w:t xml:space="preserve">e.g.,</w:t>
      </w:r>
      <w:r>
        <w:t xml:space="preserve"> </w:t>
      </w:r>
      <w:r>
        <w:t xml:space="preserve">trait- and phylogeny-based metaweb approaches) are most suitable for exploring potential trophic links and dietary breadth. These models capture the set of interactions that are biologically plausible given species traits, even if not all are realised in a particular community, aligning with metaweb concepts in modern ecology</w:t>
      </w:r>
      <w:r>
        <w:t xml:space="preserve"> </w:t>
      </w:r>
      <w:r>
        <w:t xml:space="preserve">(Tylianakis &amp; Morris, 2017)</w:t>
      </w:r>
      <w:r>
        <w:t xml:space="preserve">.</w:t>
      </w:r>
    </w:p>
    <w:p>
      <w:pPr>
        <w:pStyle w:val="BodyText"/>
      </w:pPr>
      <w:r>
        <w:rPr>
          <w:b/>
          <w:bCs/>
        </w:rPr>
        <w:t xml:space="preserve">Realised networks:</w:t>
      </w:r>
      <w:r>
        <w:t xml:space="preserve"> </w:t>
      </w:r>
      <w:r>
        <w:t xml:space="preserve">(</w:t>
      </w:r>
      <w:r>
        <w:rPr>
          <w:i/>
          <w:iCs/>
        </w:rPr>
        <w:t xml:space="preserve">e.g.,</w:t>
      </w:r>
      <w:r>
        <w:t xml:space="preserve"> </w:t>
      </w:r>
      <w:r>
        <w:t xml:space="preserve">allometric or energetic models such as ADBM, ATN, and body-size ratio approaches) are appropriate when the goal is to infer the most likely interactions. By embedding energetic or foraging rules, these models approximate realised diets and energy transfer, improving ecological plausibility compared to purely combinatorial approaches</w:t>
      </w:r>
      <w:r>
        <w:t xml:space="preserve"> </w:t>
      </w:r>
      <w:r>
        <w:t xml:space="preserve">(Brose et al., 2006; Petchey et al., 2008)</w:t>
      </w:r>
      <w:r>
        <w:t xml:space="preserve">.</w:t>
      </w:r>
    </w:p>
    <w:p>
      <w:pPr>
        <w:pStyle w:val="BodyText"/>
      </w:pPr>
      <w:r>
        <w:rPr>
          <w:b/>
          <w:bCs/>
        </w:rPr>
        <w:t xml:space="preserve">Structural networks:</w:t>
      </w:r>
      <w:r>
        <w:t xml:space="preserve"> </w:t>
      </w:r>
      <w:r>
        <w:t xml:space="preserve">(</w:t>
      </w:r>
      <w:r>
        <w:rPr>
          <w:i/>
          <w:iCs/>
        </w:rPr>
        <w:t xml:space="preserve">e.g.,</w:t>
      </w:r>
      <w:r>
        <w:t xml:space="preserve"> </w:t>
      </w:r>
      <w:r>
        <w:t xml:space="preserve">niche, cascade) focus on topological patterns rather than species identity, making them useful when broad questions about connectance, trophic depth, or motif frequency are the focus. Such models have a long history as null frameworks in network ecology</w:t>
      </w:r>
      <w:r>
        <w:t xml:space="preserve"> </w:t>
      </w:r>
      <w:r>
        <w:t xml:space="preserve">(Allesina et al., 2008; Williams &amp; Martinez, 2008)</w:t>
      </w:r>
      <w:r>
        <w:t xml:space="preserve">.</w:t>
      </w:r>
    </w:p>
    <w:p>
      <w:pPr>
        <w:pStyle w:val="BodyText"/>
      </w:pPr>
      <w:r>
        <w:t xml:space="preserve">Recognising this alignment helps avoid misinterpretation; for instance, treating predicted metaweb links as realised interactions conflates potential and actual diets, potentially exaggerating inferred interaction diversity.</w:t>
      </w:r>
    </w:p>
    <w:bookmarkEnd w:id="40"/>
    <w:bookmarkStart w:id="41" w:name="X5d3e630e33a6362364742359a526d5f750af576"/>
    <w:p>
      <w:pPr>
        <w:pStyle w:val="Heading2"/>
      </w:pPr>
      <w:r>
        <w:t xml:space="preserve">4.3 Implications for paleoecological network studies</w:t>
      </w:r>
    </w:p>
    <w:p>
      <w:pPr>
        <w:pStyle w:val="FirstParagraph"/>
      </w:pPr>
      <w:r>
        <w:t xml:space="preserve">Findings carry three key implications for paleoecology:</w:t>
      </w:r>
    </w:p>
    <w:p>
      <w:pPr>
        <w:numPr>
          <w:ilvl w:val="0"/>
          <w:numId w:val="1001"/>
        </w:numPr>
      </w:pPr>
      <w:r>
        <w:rPr>
          <w:b/>
          <w:bCs/>
        </w:rPr>
        <w:t xml:space="preserve">Explicitly acknowledge model assumptions:</w:t>
      </w:r>
      <w:r>
        <w:t xml:space="preserve"> </w:t>
      </w:r>
      <w:r>
        <w:t xml:space="preserve">Interpretations of ancient food webs must clearly articulate the assumptions underlying reconstruction models. Without this, differences between networks from different datasets or research groups could be misattributed to ecological variation rather than methodological choice.</w:t>
      </w:r>
    </w:p>
    <w:p>
      <w:pPr>
        <w:numPr>
          <w:ilvl w:val="0"/>
          <w:numId w:val="1001"/>
        </w:numPr>
      </w:pPr>
      <w:r>
        <w:rPr>
          <w:b/>
          <w:bCs/>
        </w:rPr>
        <w:t xml:space="preserve">Standardise comparative frameworks:</w:t>
      </w:r>
      <w:r>
        <w:t xml:space="preserve"> </w:t>
      </w:r>
      <w:r>
        <w:t xml:space="preserve">When comparing food webs across studies, networks should be constructed and analysed using comparable model families. Failing to do so risks conflating methodological differences with ecological or temporal variation.</w:t>
      </w:r>
    </w:p>
    <w:p>
      <w:pPr>
        <w:numPr>
          <w:ilvl w:val="0"/>
          <w:numId w:val="1001"/>
        </w:numPr>
      </w:pPr>
      <w:r>
        <w:rPr>
          <w:b/>
          <w:bCs/>
        </w:rPr>
        <w:t xml:space="preserve">Leverage modern theory to expand inference:</w:t>
      </w:r>
      <w:r>
        <w:t xml:space="preserve"> </w:t>
      </w:r>
      <w:r>
        <w:t xml:space="preserve">Integrating modern network ecology frameworks and methods enriches the paleoecological toolkit</w:t>
      </w:r>
      <w:r>
        <w:t xml:space="preserve">(Dunne et al., 2014; Solé &amp; Montoya, 2001)</w:t>
      </w:r>
      <w:r>
        <w:t xml:space="preserve">. Models developed for modern systems can be adapted to the constraints of fossil data</w:t>
      </w:r>
      <w:r>
        <w:t xml:space="preserve"> </w:t>
      </w:r>
      <w:r>
        <w:t xml:space="preserve">(</w:t>
      </w:r>
      <w:r>
        <w:rPr>
          <w:i/>
          <w:iCs/>
        </w:rPr>
        <w:t xml:space="preserve">e.g.,</w:t>
      </w:r>
      <w:r>
        <w:t xml:space="preserve"> </w:t>
      </w:r>
      <w:r>
        <w:t xml:space="preserve">Perez-Lamarque et al., 2026)</w:t>
      </w:r>
      <w:r>
        <w:t xml:space="preserve">, enabling more nuanced insights into deep-time dynamics.</w:t>
      </w:r>
    </w:p>
    <w:bookmarkEnd w:id="41"/>
    <w:bookmarkStart w:id="42" w:name="X7fc110e1fd7bf8d1080ec868c0cc6e98ec6e095"/>
    <w:p>
      <w:pPr>
        <w:pStyle w:val="Heading2"/>
      </w:pPr>
      <w:r>
        <w:t xml:space="preserve">4.4 Recommendations for network reconstruction in paleoecology</w:t>
      </w:r>
    </w:p>
    <w:p>
      <w:pPr>
        <w:pStyle w:val="FirstParagraph"/>
      </w:pPr>
      <w:r>
        <w:t xml:space="preserve">Given the sensitivity of ecological inference to reconstruction model choice, we propose the following guidelines to improve consistency, transparency, and ecological relevance:</w:t>
      </w:r>
    </w:p>
    <w:p>
      <w:pPr>
        <w:numPr>
          <w:ilvl w:val="0"/>
          <w:numId w:val="1002"/>
        </w:numPr>
      </w:pPr>
      <w:r>
        <w:rPr>
          <w:b/>
          <w:bCs/>
        </w:rPr>
        <w:t xml:space="preserve">Define the Inferential Goal First:</w:t>
      </w:r>
      <w:r>
        <w:t xml:space="preserve"> Before reconstructing networks, researchers should articulate whether they aim to infer potential interactions, likely realised diets, or general structural properties. This will inform the selection of an appropriate model family consistent with the ecological question at hand (</w:t>
      </w:r>
      <w:r>
        <w:rPr>
          <w:i/>
          <w:iCs/>
        </w:rPr>
        <w:t xml:space="preserve">e.g.,</w:t>
      </w:r>
      <w:r>
        <w:t xml:space="preserve"> </w:t>
      </w:r>
      <w:r>
        <w:t xml:space="preserve">metaweb for complete diets, energetic models for trophic energy flows, or structural models for generic topologies)</w:t>
      </w:r>
    </w:p>
    <w:p>
      <w:pPr>
        <w:numPr>
          <w:ilvl w:val="0"/>
          <w:numId w:val="1002"/>
        </w:numPr>
      </w:pPr>
      <w:r>
        <w:rPr>
          <w:b/>
          <w:bCs/>
        </w:rPr>
        <w:t xml:space="preserve">Use ensemble and sensitivity frameworks:</w:t>
      </w:r>
      <w:r>
        <w:t xml:space="preserve"> </w:t>
      </w:r>
      <w:r>
        <w:t xml:space="preserve">Rather than relying on a single model output, researchers should adopt ensemble approaches that generate and compare multiple network reconstructions. This not only quantifies model uncertainty but also reveals which ecological conclusions are robust biological signals and which are methodological artifacts.</w:t>
      </w:r>
    </w:p>
    <w:p>
      <w:pPr>
        <w:numPr>
          <w:ilvl w:val="0"/>
          <w:numId w:val="1002"/>
        </w:numPr>
      </w:pPr>
      <w:r>
        <w:rPr>
          <w:b/>
          <w:bCs/>
        </w:rPr>
        <w:t xml:space="preserve">Standardise cross-study comparisons:</w:t>
      </w:r>
      <w:r>
        <w:t xml:space="preserve"> </w:t>
      </w:r>
      <w:r>
        <w:t xml:space="preserve">Comparisons of networks from different palaeoecological studies should be standardised by model family. When models differ, interpretations about ecological or environmental change should explicitly address how model choice may contribute to observed differences.</w:t>
      </w:r>
    </w:p>
    <w:p>
      <w:pPr>
        <w:numPr>
          <w:ilvl w:val="0"/>
          <w:numId w:val="1002"/>
        </w:numPr>
      </w:pPr>
      <w:r>
        <w:rPr>
          <w:b/>
          <w:bCs/>
        </w:rPr>
        <w:t xml:space="preserve">Interpret scale-specific results with caution:</w:t>
      </w:r>
      <w:r>
        <w:t xml:space="preserve"> </w:t>
      </w:r>
      <w:r>
        <w:t xml:space="preserve">Because node-level patterns tend to be more robust to model choice than link-level patterns, researchers should prioritise interpretations at the appropriate scale. Structural conclusions about cascade pathways or secondary extinctions should be framed as model-dependent hypotheses rather than definitive historical reconstructions.</w:t>
      </w:r>
    </w:p>
    <w:bookmarkEnd w:id="42"/>
    <w:bookmarkStart w:id="43" w:name="future-directions"/>
    <w:p>
      <w:pPr>
        <w:pStyle w:val="Heading2"/>
      </w:pPr>
      <w:r>
        <w:t xml:space="preserve">4.5 Future directions</w:t>
      </w:r>
    </w:p>
    <w:p>
      <w:pPr>
        <w:pStyle w:val="FirstParagraph"/>
      </w:pPr>
      <w:r>
        <w:t xml:space="preserve">Advances in modern network ecology offer several promising directions for paleoecology. These include probabilistic and Bayesian approaches to quantify uncertainty in link prediction</w:t>
      </w:r>
      <w:r>
        <w:t xml:space="preserve"> </w:t>
      </w:r>
      <w:r>
        <w:t xml:space="preserve">(Baskerville et al., 2011; Elmasri et al., 2020)</w:t>
      </w:r>
      <w:r>
        <w:t xml:space="preserve">, maximum entropy methods to infer network structure under limited data</w:t>
      </w:r>
      <w:r>
        <w:t xml:space="preserve"> </w:t>
      </w:r>
      <w:r>
        <w:t xml:space="preserve">(Banville et al., 2023)</w:t>
      </w:r>
      <w:r>
        <w:t xml:space="preserve">, and multi-layer network representations that integrate trophic and non-trophic interactions</w:t>
      </w:r>
      <w:r>
        <w:t xml:space="preserve"> </w:t>
      </w:r>
      <w:r>
        <w:t xml:space="preserve">(Pilosof et al., 2017)</w:t>
      </w:r>
      <w:r>
        <w:t xml:space="preserve">. Combined with increasingly available trait and phylogenetic information, such developments can bridge fossil constraints and ecological inference, enabling more nuanced, probabilistically grounded reconstructions of deep-time ecosystems</w:t>
      </w:r>
      <w:r>
        <w:t xml:space="preserve"> </w:t>
      </w:r>
      <w:r>
        <w:t xml:space="preserve">(Banville et al., 2025;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in deep time is not merely a technical step but a fundamental component of ecological inference. By explicitly comparing six contrasting reconstruction approaches for a single extinction event and location, we show that model choice strongly shapes inferred food-web structure, species interactions, and extinction dynamics (even when the underlying fossil data are identical). While broad, trait-based patterns of species loss are relatively robust, conclusions about pairwise interactions, secondary extinctions, and cascading dynamics depend critically on the assumptions embedded in the chosen network reconstruction approach. Network reconstruction is inherently hypothesis-driven: each model encodes distinct ecological assumptions that influence both network structure and inferred dynamics. No single approach captures all aspects of past ecosystems, but careful alignment of model choice with research goals, combined with ensemble or comparative frameworks, allows robust inference while quantifying uncertainty. These results underscore the need for paleoecological studies to evaluate the sensitivity of key conclusions to alternative network representations and highlight that understanding past ecosystem collapse requires not only better fossil data, but also transparent, question-driven modelling frameworks that explicitly encode the assumptions underlying ecological inference.</w:t>
      </w:r>
    </w:p>
    <w:bookmarkEnd w:id="45"/>
    <w:bookmarkStart w:id="147" w:name="references"/>
    <w:p>
      <w:pPr>
        <w:pStyle w:val="Heading1"/>
      </w:pPr>
      <w:r>
        <w:t xml:space="preserve">References</w:t>
      </w:r>
    </w:p>
    <w:bookmarkStart w:id="146" w:name="refs"/>
    <w:bookmarkStart w:id="47"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54">
        <w:r>
          <w:rPr>
            <w:rStyle w:val="Hyperlink"/>
          </w:rPr>
          <w:t xml:space="preserve">https://doi.org/10.1038/nature11018</w:t>
        </w:r>
      </w:hyperlink>
    </w:p>
    <w:bookmarkEnd w:id="55"/>
    <w:bookmarkStart w:id="57"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6">
        <w:r>
          <w:rPr>
            <w:rStyle w:val="Hyperlink"/>
          </w:rPr>
          <w:t xml:space="preserve">https://doi.org/10.1371/journal.pcbi.1002321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2">
        <w:r>
          <w:rPr>
            <w:rStyle w:val="Hyperlink"/>
          </w:rPr>
          <w:t xml:space="preserve">https://doi.org/10.1111/brv.12433</w:t>
        </w:r>
      </w:hyperlink>
    </w:p>
    <w:bookmarkEnd w:id="63"/>
    <w:bookmarkStart w:id="65"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64">
        <w:r>
          <w:rPr>
            <w:rStyle w:val="Hyperlink"/>
          </w:rPr>
          <w:t xml:space="preserve">https://doi.org/10.3389/fevo.2022.1031483</w:t>
        </w:r>
      </w:hyperlink>
    </w:p>
    <w:bookmarkEnd w:id="65"/>
    <w:bookmarkStart w:id="67"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6">
        <w:r>
          <w:rPr>
            <w:rStyle w:val="Hyperlink"/>
          </w:rPr>
          <w:t xml:space="preserve">https://doi.org/10.1038/s41467-024-53000-2</w:t>
        </w:r>
      </w:hyperlink>
    </w:p>
    <w:bookmarkEnd w:id="67"/>
    <w:bookmarkStart w:id="69"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8">
        <w:r>
          <w:rPr>
            <w:rStyle w:val="Hyperlink"/>
          </w:rPr>
          <w:t xml:space="preserve">https://doi.org/10.1098/rspb.2013.3280</w:t>
        </w:r>
      </w:hyperlink>
    </w:p>
    <w:bookmarkEnd w:id="69"/>
    <w:bookmarkStart w:id="71"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0">
        <w:r>
          <w:rPr>
            <w:rStyle w:val="Hyperlink"/>
          </w:rPr>
          <w:t xml:space="preserve">https://doi.org/10.1371/journal.pbio.0060102</w:t>
        </w:r>
      </w:hyperlink>
    </w:p>
    <w:bookmarkEnd w:id="71"/>
    <w:bookmarkStart w:id="72"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2"/>
    <w:bookmarkStart w:id="74"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3">
        <w:r>
          <w:rPr>
            <w:rStyle w:val="Hyperlink"/>
          </w:rPr>
          <w:t xml:space="preserve">https://doi.org/10.1214/19-AOAS1296</w:t>
        </w:r>
      </w:hyperlink>
    </w:p>
    <w:bookmarkEnd w:id="74"/>
    <w:bookmarkStart w:id="76"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5">
        <w:r>
          <w:rPr>
            <w:rStyle w:val="Hyperlink"/>
          </w:rPr>
          <w:t xml:space="preserve">https://doi.org/10.5486/pmd.1959.6.3-4.12</w:t>
        </w:r>
      </w:hyperlink>
    </w:p>
    <w:bookmarkEnd w:id="76"/>
    <w:bookmarkStart w:id="78"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7">
        <w:r>
          <w:rPr>
            <w:rStyle w:val="Hyperlink"/>
          </w:rPr>
          <w:t xml:space="preserve">https://doi.org/10.1126/science.abn4012</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85">
        <w:r>
          <w:rPr>
            <w:rStyle w:val="Hyperlink"/>
          </w:rPr>
          <w:t xml:space="preserve">https://doi.org/10.1038/s41598-019-44260-w</w:t>
        </w:r>
      </w:hyperlink>
    </w:p>
    <w:bookmarkEnd w:id="86"/>
    <w:bookmarkStart w:id="88"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87">
        <w:r>
          <w:rPr>
            <w:rStyle w:val="Hyperlink"/>
          </w:rPr>
          <w:t xml:space="preserve">https://doi.org/10.1098/rstb.2019.0222</w:t>
        </w:r>
      </w:hyperlink>
    </w:p>
    <w:bookmarkEnd w:id="88"/>
    <w:bookmarkStart w:id="90"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89">
        <w:r>
          <w:rPr>
            <w:rStyle w:val="Hyperlink"/>
          </w:rPr>
          <w:t xml:space="preserve">https://doi.org/10.1371/journal.pcbi.1007076</w:t>
        </w:r>
      </w:hyperlink>
    </w:p>
    <w:bookmarkEnd w:id="90"/>
    <w:bookmarkStart w:id="92"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1">
        <w:r>
          <w:rPr>
            <w:rStyle w:val="Hyperlink"/>
          </w:rPr>
          <w:t xml:space="preserve">https://doi.org/10.1126/science.298.5594.824</w:t>
        </w:r>
      </w:hyperlink>
    </w:p>
    <w:bookmarkEnd w:id="92"/>
    <w:bookmarkStart w:id="94"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3">
        <w:r>
          <w:rPr>
            <w:rStyle w:val="Hyperlink"/>
          </w:rPr>
          <w:t xml:space="preserve">https://doi.org/10.1016/j.tree.2015.03.014</w:t>
        </w:r>
      </w:hyperlink>
    </w:p>
    <w:bookmarkEnd w:id="94"/>
    <w:bookmarkStart w:id="96"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5">
        <w:r>
          <w:rPr>
            <w:rStyle w:val="Hyperlink"/>
          </w:rPr>
          <w:t xml:space="preserve">https://doi.org/10.1101/2025.10.08.681159</w:t>
        </w:r>
      </w:hyperlink>
    </w:p>
    <w:bookmarkEnd w:id="96"/>
    <w:bookmarkStart w:id="9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7">
        <w:r>
          <w:rPr>
            <w:rStyle w:val="Hyperlink"/>
          </w:rPr>
          <w:t xml:space="preserve">https://doi.org/10.1073/pnas.0710672105</w:t>
        </w:r>
      </w:hyperlink>
    </w:p>
    <w:bookmarkEnd w:id="98"/>
    <w:bookmarkStart w:id="100"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99">
        <w:r>
          <w:rPr>
            <w:rStyle w:val="Hyperlink"/>
          </w:rPr>
          <w:t xml:space="preserve">https://doi.org/10.1111/2041-210X.14061</w:t>
        </w:r>
      </w:hyperlink>
    </w:p>
    <w:bookmarkEnd w:id="100"/>
    <w:bookmarkStart w:id="102" w:name="ref-pilosof201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01">
        <w:r>
          <w:rPr>
            <w:rStyle w:val="Hyperlink"/>
          </w:rPr>
          <w:t xml:space="preserve">https://doi.org/10.1038/s41559-017-0101</w:t>
        </w:r>
      </w:hyperlink>
    </w:p>
    <w:bookmarkEnd w:id="102"/>
    <w:bookmarkStart w:id="104"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3">
        <w:r>
          <w:rPr>
            <w:rStyle w:val="Hyperlink"/>
          </w:rPr>
          <w:t xml:space="preserve">https://doi.org/10.1111/jbi.14127</w:t>
        </w:r>
      </w:hyperlink>
    </w:p>
    <w:bookmarkEnd w:id="104"/>
    <w:bookmarkStart w:id="106"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5">
        <w:r>
          <w:rPr>
            <w:rStyle w:val="Hyperlink"/>
          </w:rPr>
          <w:t xml:space="preserve">https://doi.org/10.1111/ele.12002</w:t>
        </w:r>
      </w:hyperlink>
    </w:p>
    <w:bookmarkEnd w:id="106"/>
    <w:bookmarkStart w:id="108"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7">
        <w:r>
          <w:rPr>
            <w:rStyle w:val="Hyperlink"/>
          </w:rPr>
          <w:t xml:space="preserve">https://doi.org/10</w:t>
        </w:r>
      </w:hyperlink>
    </w:p>
    <w:bookmarkEnd w:id="108"/>
    <w:bookmarkStart w:id="110"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09">
        <w:r>
          <w:rPr>
            <w:rStyle w:val="Hyperlink"/>
          </w:rPr>
          <w:t xml:space="preserve">https://doi.org/10.7717/peerj.251</w:t>
        </w:r>
      </w:hyperlink>
    </w:p>
    <w:bookmarkEnd w:id="110"/>
    <w:bookmarkStart w:id="112"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1">
        <w:r>
          <w:rPr>
            <w:rStyle w:val="Hyperlink"/>
          </w:rPr>
          <w:t xml:space="preserve">https://doi.org/10.1111/oik.01719</w:t>
        </w:r>
      </w:hyperlink>
    </w:p>
    <w:bookmarkEnd w:id="112"/>
    <w:bookmarkStart w:id="114"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3">
        <w:r>
          <w:rPr>
            <w:rStyle w:val="Hyperlink"/>
          </w:rPr>
          <w:t xml:space="preserve">https://doi.org/10.1086/653667</w:t>
        </w:r>
      </w:hyperlink>
    </w:p>
    <w:bookmarkEnd w:id="114"/>
    <w:bookmarkStart w:id="115"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115"/>
    <w:bookmarkStart w:id="117"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6">
        <w:r>
          <w:rPr>
            <w:rStyle w:val="Hyperlink"/>
          </w:rPr>
          <w:t xml:space="preserve">https://www.jstor.org/stable/4096814</w:t>
        </w:r>
      </w:hyperlink>
    </w:p>
    <w:bookmarkEnd w:id="117"/>
    <w:bookmarkStart w:id="119"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118">
        <w:r>
          <w:rPr>
            <w:rStyle w:val="Hyperlink"/>
          </w:rPr>
          <w:t xml:space="preserve">https://doi.org/10.1007/978-3-319-73795-9_6</w:t>
        </w:r>
      </w:hyperlink>
    </w:p>
    <w:bookmarkEnd w:id="119"/>
    <w:bookmarkStart w:id="121"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0">
        <w:r>
          <w:rPr>
            <w:rStyle w:val="Hyperlink"/>
          </w:rPr>
          <w:t xml:space="preserve">https://doi.org/10.1101/2024.01.30.578036</w:t>
        </w:r>
      </w:hyperlink>
    </w:p>
    <w:bookmarkEnd w:id="121"/>
    <w:bookmarkStart w:id="123"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2">
        <w:r>
          <w:rPr>
            <w:rStyle w:val="Hyperlink"/>
          </w:rPr>
          <w:t xml:space="preserve">https://doi.org/10.1098/rspb.2001.1767</w:t>
        </w:r>
      </w:hyperlink>
    </w:p>
    <w:bookmarkEnd w:id="123"/>
    <w:bookmarkStart w:id="125"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4">
        <w:r>
          <w:rPr>
            <w:rStyle w:val="Hyperlink"/>
          </w:rPr>
          <w:t xml:space="preserve">https://doi.org/10.1890/04-0957</w:t>
        </w:r>
      </w:hyperlink>
    </w:p>
    <w:bookmarkEnd w:id="125"/>
    <w:bookmarkStart w:id="127"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6">
        <w:r>
          <w:rPr>
            <w:rStyle w:val="Hyperlink"/>
          </w:rPr>
          <w:t xml:space="preserve">https://doi.org/10.1111/1365-2656.12949</w:t>
        </w:r>
      </w:hyperlink>
    </w:p>
    <w:bookmarkEnd w:id="127"/>
    <w:bookmarkStart w:id="129"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8">
        <w:r>
          <w:rPr>
            <w:rStyle w:val="Hyperlink"/>
          </w:rPr>
          <w:t xml:space="preserve">https://doi.org/10.1098/rspb.2007.0571</w:t>
        </w:r>
      </w:hyperlink>
    </w:p>
    <w:bookmarkEnd w:id="129"/>
    <w:bookmarkStart w:id="131"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0">
        <w:r>
          <w:rPr>
            <w:rStyle w:val="Hyperlink"/>
          </w:rPr>
          <w:t xml:space="preserve">https://doi.org/10.1098/rstb.2021.0063</w:t>
        </w:r>
      </w:hyperlink>
    </w:p>
    <w:bookmarkEnd w:id="131"/>
    <w:bookmarkStart w:id="133"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2">
        <w:r>
          <w:rPr>
            <w:rStyle w:val="Hyperlink"/>
          </w:rPr>
          <w:t xml:space="preserve">https://doi.org/10.32942/X2JW8K</w:t>
        </w:r>
      </w:hyperlink>
    </w:p>
    <w:bookmarkEnd w:id="133"/>
    <w:bookmarkStart w:id="13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4">
        <w:r>
          <w:rPr>
            <w:rStyle w:val="Hyperlink"/>
          </w:rPr>
          <w:t xml:space="preserve">https://doi.org/10.1146/annurev-ecolsys-110316-022821</w:t>
        </w:r>
      </w:hyperlink>
    </w:p>
    <w:bookmarkEnd w:id="135"/>
    <w:bookmarkStart w:id="137"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36">
        <w:r>
          <w:rPr>
            <w:rStyle w:val="Hyperlink"/>
          </w:rPr>
          <w:t xml:space="preserve">https://doi.org/10.1007/s00114-011-0789-9</w:t>
        </w:r>
      </w:hyperlink>
    </w:p>
    <w:bookmarkEnd w:id="137"/>
    <w:bookmarkStart w:id="139"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8">
        <w:r>
          <w:rPr>
            <w:rStyle w:val="Hyperlink"/>
          </w:rPr>
          <w:t xml:space="preserve">https://doi.org/10.1140/epjb/e2004-00122-1</w:t>
        </w:r>
      </w:hyperlink>
    </w:p>
    <w:bookmarkEnd w:id="139"/>
    <w:bookmarkStart w:id="14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0">
        <w:r>
          <w:rPr>
            <w:rStyle w:val="Hyperlink"/>
          </w:rPr>
          <w:t xml:space="preserve">https://doi.org/10.1038/35004572</w:t>
        </w:r>
      </w:hyperlink>
    </w:p>
    <w:bookmarkEnd w:id="141"/>
    <w:bookmarkStart w:id="143"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2">
        <w:r>
          <w:rPr>
            <w:rStyle w:val="Hyperlink"/>
          </w:rPr>
          <w:t xml:space="preserve">https://doi.org/10.1111/j.1365-2656.2008.01362.x</w:t>
        </w:r>
      </w:hyperlink>
    </w:p>
    <w:bookmarkEnd w:id="143"/>
    <w:bookmarkStart w:id="145"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4">
        <w:r>
          <w:rPr>
            <w:rStyle w:val="Hyperlink"/>
          </w:rPr>
          <w:t xml:space="preserve">https://doi.org/10.1073/pnas.1408471111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why model choice matters for 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2026-02-04T14:31:09Z</dcterms:created>
  <dcterms:modified xsi:type="dcterms:W3CDTF">2026-02-04T14:31:09Z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2026-02-04</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