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Andy Ridgwell</w:t>
      </w:r>
    </w:p>
    <w:p>
      <w:pPr>
        <w:pStyle w:val="Author"/>
      </w:pPr>
      <w:r>
        <w:t xml:space="preserve">Pincelli Hull</w:t>
      </w:r>
    </w:p>
    <w:p>
      <w:pPr>
        <w:pStyle w:val="Author"/>
      </w:pPr>
      <w:r>
        <w:t xml:space="preserve">Crispin T.S. Little</w:t>
      </w:r>
    </w:p>
    <w:p>
      <w:pPr>
        <w:pStyle w:val="Author"/>
      </w:pPr>
      <w:r>
        <w:t xml:space="preserve">Catalina Pimiento</w:t>
      </w:r>
    </w:p>
    <w:p>
      <w:pPr>
        <w:pStyle w:val="Author"/>
      </w:pPr>
      <w:r>
        <w:t xml:space="preserve">Paul B. Wignall</w:t>
      </w:r>
    </w:p>
    <w:p>
      <w:pPr>
        <w:pStyle w:val="Author"/>
      </w:pPr>
      <w:r>
        <w:t xml:space="preserve">Andrew P. Beckerman</w:t>
      </w:r>
    </w:p>
    <w:p>
      <w:pPr>
        <w:pStyle w:val="Author"/>
      </w:pPr>
      <w:r>
        <w:t xml:space="preserve">Alexander Dunhill</w:t>
      </w:r>
    </w:p>
    <w:p>
      <w:pPr>
        <w:pStyle w:val="Date"/>
      </w:pPr>
      <w:r>
        <w:t xml:space="preserve">2026-03-20</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 β-diversity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Normalised standard deviation of generality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Normalised standard deviation of vulnerability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2672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w:t>
      </w:r>
      <w:r>
        <w:t xml:space="preserve"> </w:t>
      </w:r>
      <m:oMath>
        <m:sSub>
          <m:e>
            <m:r>
              <m:t>β</m:t>
            </m:r>
          </m:e>
          <m:sub>
            <m:r>
              <m:t>O</m:t>
            </m:r>
            <m:r>
              <m:t>S</m:t>
            </m:r>
          </m:sub>
        </m:sSub>
      </m:oMath>
      <w:r>
        <w:t xml:space="preserve"> </w:t>
      </w:r>
      <w:r>
        <w:t xml:space="preserve">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 Note that we do not include the Random or Niche model as these models are species agnostic and thus we cannot truly evaluate differences in pairwise interactions</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(Kendall’s</w:t>
      </w:r>
      <w:r>
        <w:t xml:space="preserve"> </w:t>
      </w:r>
      <m:oMath>
        <m:r>
          <m:t>τ</m:t>
        </m:r>
      </m:oMath>
      <w:r>
        <w:t xml:space="preserve"> </w:t>
      </w:r>
      <w:r>
        <w:t xml:space="preserve">= 0.26–0.90), reflecting broadly comparable node-level removal sequences. In contrast, link-level outcomes were far more variable (Kendall’s</w:t>
      </w:r>
      <w:r>
        <w:t xml:space="preserv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models reflects intrinsic differences in how interactions are organised rather than temporal shifts in community composition. Even after centring metrics within extinction phases to remove between-bin mean differences, model identity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model identity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inter-model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model based assumptions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Jennifer A. Dunne; Andy Ridgwell; Pincelli Hull; Crispin T.S. Little; Catalina Pimiento; Paul B. Wignall; Andrew P. Beckerman; Alexander Dunhill</dc:creator>
  <cp:keywords>Ecological networks, Biotic interactions, Community assembly, Environmental gradients, Interaction turnover, Trophic organisation, Ecosystem resilience, Macroecology</cp:keywords>
  <dcterms:created xsi:type="dcterms:W3CDTF">2026-03-20T15:22:34Z</dcterms:created>
  <dcterms:modified xsi:type="dcterms:W3CDTF">2026-03-20T15:22:34Z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2026-03-20</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