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2026-06-09</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w:t>
      </w:r>
      <w:r>
        <w:rPr>
          <w:i/>
          <w:iCs/>
        </w:rPr>
        <w:t xml:space="preserve">e.g.,</w:t>
      </w:r>
      <w:r>
        <w:t xml:space="preserve"> </w:t>
      </w:r>
      <w:r>
        <w:t xml:space="preserve">based on traits or theoretical constraints);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to quantify</w:t>
      </w:r>
      <w:r>
        <w:t xml:space="preserve"> </w:t>
      </w:r>
      <m:oMath>
        <m:r>
          <m:t>β</m:t>
        </m:r>
      </m:oMath>
      <w:r>
        <w:t xml:space="preserve">-diversity in interaction structure, to evaluate stability–complexity relationships, and to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If reconstruction approaches encode distinct structural constraints over interaction topology, then differences among communities may reflect reconstruction assumptions rather than ecological processes.</w:t>
      </w:r>
    </w:p>
    <w:p>
      <w:pPr>
        <w:pStyle w:val="BodyText"/>
      </w:pPr>
      <w:r>
        <w:t xml:space="preserve">Deep-time ecosystems provide an especially useful test of this issue because trophic interactions are not observed directly and must be inferred from traits, co-occurrence, and theoretical constraints</w:t>
      </w:r>
      <w:r>
        <w:t xml:space="preserve"> </w:t>
      </w:r>
      <w:r>
        <w:t xml:space="preserve">(Roopnarine, 2006; Dunne</w:t>
      </w:r>
      <w:r>
        <w:t xml:space="preserve"> </w:t>
      </w:r>
      <w:r>
        <w:rPr>
          <w:i/>
          <w:iCs/>
        </w:rPr>
        <w:t xml:space="preserve">et al.</w:t>
      </w:r>
      <w:r>
        <w:t xml:space="preserve">, 2008; Dunne</w:t>
      </w:r>
      <w:r>
        <w:t xml:space="preserve"> </w:t>
      </w:r>
      <w:r>
        <w:rPr>
          <w:i/>
          <w:iCs/>
        </w:rPr>
        <w:t xml:space="preserve">et al.</w:t>
      </w:r>
      <w:r>
        <w:t xml:space="preserve">, 2014; Dunhill</w:t>
      </w:r>
      <w:r>
        <w:t xml:space="preserve"> </w:t>
      </w:r>
      <w:r>
        <w:rPr>
          <w:i/>
          <w:iCs/>
        </w:rPr>
        <w:t xml:space="preserve">et al.</w:t>
      </w:r>
      <w:r>
        <w:t xml:space="preserve">, 2024; Karapunar</w:t>
      </w:r>
      <w:r>
        <w:t xml:space="preserve"> </w:t>
      </w:r>
      <w:r>
        <w:rPr>
          <w:i/>
          <w:iCs/>
        </w:rPr>
        <w:t xml:space="preserve">et al.</w:t>
      </w:r>
      <w:r>
        <w:t xml:space="preserve">, 2026)</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By holding species composition constant while varying only the reconstruction approach, we isolate the influence of structural assumptions on inferred food web organisation, interaction turnover, and extinction dynamics. This design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w:t>
      </w:r>
      <w:r>
        <w:t xml:space="preserve"> </w:t>
      </w:r>
      <w:r>
        <w:t xml:space="preserve">‘expert knowledge’</w:t>
      </w:r>
      <w:r>
        <w:t xml:space="preserve"> </w:t>
      </w:r>
      <w:r>
        <w:t xml:space="preserve">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Notably some approaches share common inputs (</w:t>
      </w:r>
      <w:r>
        <w:rPr>
          <w:i/>
          <w:iCs/>
        </w:rPr>
        <w:t xml:space="preserve">e.g.,</w:t>
      </w:r>
      <w:r>
        <w:t xml:space="preserve"> </w:t>
      </w:r>
      <w:r>
        <w:t xml:space="preserve">body mass for ADBM, ATN, and Body-size ratio), they encode fundamentally different assumptions about how interactions arise. Additionally, although other feasibility-based approaches exist (</w:t>
      </w:r>
      <w:r>
        <w:rPr>
          <w:i/>
          <w:iCs/>
        </w:rPr>
        <w:t xml:space="preserve">e.g.,</w:t>
      </w:r>
      <w:r>
        <w:t xml:space="preserve"> </w:t>
      </w:r>
      <w:r>
        <w:t xml:space="preserve">Roopnarine (2006)</w:t>
      </w:r>
      <w:r>
        <w:t xml:space="preserve">), they are conceptually similar to PFWIM in that they infer interactions from biologically feasible consumer–resource combinations. We therefore selected PFWIM as a representative feasibility-based framework because it formalises these rules in a transferable model that can be parameterised across datasets, rather than relying on system-specific expert assignment of links.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(PFWIM; feasibility network).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per time bin in total, 600 per time bin) to capture uncertainty in link assignment.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controlled variation in interaction subsets by applying a downsampling procedure that stochastically samples feasible interactions.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2592"/>
              <w:gridCol w:w="2736"/>
              <w:gridCol w:w="259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 (</w:t>
      </w:r>
      <w:hyperlink w:anchor="fig-structure">
        <w:r>
          <w:rPr>
            <w:rStyle w:val="Hyperlink"/>
          </w:rPr>
          <w:t xml:space="preserve">Figure 1</w:t>
        </w:r>
      </w:hyperlink>
      <w:r>
        <w:t xml:space="preserve">), with reconstruction approach explaining most of the variance in structural properties (</w:t>
      </w:r>
      <w:hyperlink w:anchor="fig-anova">
        <w:r>
          <w:rPr>
            <w:rStyle w:val="Hyperlink"/>
          </w:rPr>
          <w:t xml:space="preserve">Figure 2</w:t>
        </w:r>
      </w:hyperlink>
      <w:r>
        <w:t xml:space="preserve">). Notably, approaches that were statistically similar in multivariate structural space often diverged in inferred interactions (</w:t>
      </w:r>
      <w:hyperlink w:anchor="fig-beta_div">
        <w:r>
          <w:rPr>
            <w:rStyle w:val="Hyperlink"/>
          </w:rPr>
          <w:t xml:space="preserve">Figure 3</w:t>
        </w:r>
      </w:hyperlink>
      <w:r>
        <w:t xml:space="preserve">) or extinction dynamics (</w:t>
      </w:r>
      <w:hyperlink w:anchor="fig-mad">
        <w:r>
          <w:rPr>
            <w:rStyle w:val="Hyperlink"/>
          </w:rPr>
          <w:t xml:space="preserve">Figure 4</w:t>
        </w:r>
      </w:hyperlink>
      <w:r>
        <w:t xml:space="preserve">), demonstrating that structural similarity does not guarantee concordance in species-level diets or inferred behaviour of the system..</w:t>
      </w:r>
    </w:p>
    <w:p>
      <w:pPr>
        <w:pStyle w:val="BodyText"/>
      </w:pPr>
      <w:r>
        <w:t xml:space="preserve">Reconstruction approach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The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(n = 100 per approach),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most of the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had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for certain network metrics reconstruction approaches predict different responses across time (</w:t>
      </w:r>
      <w:r>
        <w:rPr>
          <w:i/>
          <w:iCs/>
        </w:rPr>
        <w:t xml:space="preserve">e.g.,</w:t>
      </w:r>
      <w:r>
        <w:t xml:space="preserve"> </w:t>
      </w:r>
      <w:r>
        <w:t xml:space="preserve">connectance), as well as differing magnitudes of change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network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agreement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or retained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assembled, network properties are generally interpreted as reflections of underlying ecological organisation. This workflow assumes that reconstructed networks provide structurally comparable representations of ecological communities. As a result, differences in connectance, trophic structure, motif composition, or robustness are interpreted as primarily reflecting biological variation, rather than the effects of reconstruction approach.</w:t>
      </w:r>
    </w:p>
    <w:p>
      <w:pPr>
        <w:pStyle w:val="BodyText"/>
      </w:pPr>
      <w:r>
        <w:t xml:space="preserve">Assuming that reconstructed food webs are independent of model choice is particularly critical to evaluate within the context of deep-time palaeoecological data. Because interactions in fossil ecosystems are never observed directly, and direct inferences (such as gut contents) are limited, hence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far more variation in food-web topology than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shaping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thus the imprint of the reconstruction framework is visible not only in aggregate topology but in the very structural features often interpreted as ecological signals. Notably, the few properties that exhibited detectable temporal sensitivity were also those with the greatest inter-reconstruction approach disagreement (</w:t>
      </w:r>
      <w:r>
        <w:rPr>
          <w:i/>
          <w:iCs/>
        </w:rPr>
        <w:t xml:space="preserve">i.e.,</w:t>
      </w:r>
      <w:r>
        <w:t xml:space="preserve"> </w:t>
      </w:r>
      <w:r>
        <w:t xml:space="preserve">motif distributions), indicating that temporal trends are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may be robust across plausible interaction architectures, whereas conclusions about interaction loss, retention, or reorganisation depend strongly on how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cascade pathways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w:t>
      </w:r>
      <w:r>
        <w:t xml:space="preserve"> </w:t>
      </w:r>
      <w:r>
        <w:t xml:space="preserve">‘wrong’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and it is a case of matching the ‘correct’ reconstruction approach to the task at hand.</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or robustness as indicators of ecological differentiation among regions or time intervals</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Apparent differences in network structure across spatial or climatic gradients may therefore reflect reconstruction choices as much as ecological processes.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Smith</w:t>
      </w:r>
      <w:r>
        <w:t xml:space="preserve"> </w:t>
      </w:r>
      <w:r>
        <w:rPr>
          <w:i/>
          <w:iCs/>
        </w:rPr>
        <w:t xml:space="preserve">et al.</w:t>
      </w:r>
      <w:r>
        <w:t xml:space="preserve"> </w:t>
      </w:r>
      <w:r>
        <w:t xml:space="preserve">(2025)</w:t>
      </w:r>
      <w:r>
        <w:t xml:space="preserve">;</w:t>
      </w:r>
      <w:r>
        <w:t xml:space="preserve"> </w:t>
      </w:r>
      <w:r>
        <w:t xml:space="preserve">Karapunar</w:t>
      </w:r>
      <w:r>
        <w:t xml:space="preserve"> </w:t>
      </w:r>
      <w:r>
        <w:rPr>
          <w:i/>
          <w:iCs/>
        </w:rPr>
        <w:t xml:space="preserve">et al.</w:t>
      </w:r>
      <w:r>
        <w:t xml:space="preserve"> </w:t>
      </w:r>
      <w:r>
        <w:t xml:space="preserve">(2026)</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(Roopnarine, 2006; Dunne</w:t>
      </w:r>
      <w:r>
        <w:t xml:space="preserve"> </w:t>
      </w:r>
      <w:r>
        <w:rPr>
          <w:i/>
          <w:iCs/>
        </w:rPr>
        <w:t xml:space="preserve">et al.</w:t>
      </w:r>
      <w:r>
        <w:t xml:space="preserve">, 2008)</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reconstruction-dependent inferences rather than deterministic representations provides a more transparent framework for incorporating uncertainty into comparative macroecology.</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No single reconstruction framework is universally correct. Instead, each represents a distinct hypothesis about how ecological interactions are constrained.</w:t>
      </w:r>
      <w:r>
        <w:t xml:space="preserve"> </w:t>
      </w:r>
      <w:r>
        <w:t xml:space="preserve">(Petchey</w:t>
      </w:r>
      <w:r>
        <w:t xml:space="preserve"> </w:t>
      </w:r>
      <w:r>
        <w:rPr>
          <w:i/>
          <w:iCs/>
        </w:rPr>
        <w:t xml:space="preserve">et al.</w:t>
      </w:r>
      <w:r>
        <w:t xml:space="preserve">,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8" w:name="conclusions"/>
    <w:p>
      <w:pPr>
        <w:pStyle w:val="Heading1"/>
      </w:pPr>
      <w:r>
        <w:t xml:space="preserve">5. Conclusions</w:t>
      </w:r>
    </w:p>
    <w:p>
      <w:pPr>
        <w:pStyle w:val="FirstParagraph"/>
      </w:pPr>
      <w:r>
        <w:t xml:space="preserve">Ecological network reconstruction is a theoretical choice that fundamentally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play an increasingly prominent role in global change research, recognising reconstruction as a determinant of inference will be essential for moving food web ecology from descriptive reconstruction toward rigorous comparative synthesis.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7">
        <w:r>
          <w:rPr>
            <w:rStyle w:val="Hyperlink"/>
          </w:rPr>
          <w:t xml:space="preserve">DOI: 10.5281/zenodo.20444969</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8"/>
    <w:bookmarkStart w:id="163" w:name="references"/>
    <w:p>
      <w:pPr>
        <w:pStyle w:val="Heading1"/>
      </w:pPr>
      <w:r>
        <w:t xml:space="preserve">References</w:t>
      </w:r>
    </w:p>
    <w:bookmarkStart w:id="162"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arapunar2026"/>
    <w:p>
      <w:pPr>
        <w:pStyle w:val="Bibliography"/>
      </w:pPr>
      <w:r>
        <w:t xml:space="preserve">Karapunar, B., Strydom, T., Beckerman, A.P., Ridgwell, A., Wignall, P.B., Dunne, J.A., Little, C.T.S., Hull, P., Pimiento, C. &amp; Dunhill, A. (2026)</w:t>
      </w:r>
      <w:r>
        <w:t xml:space="preserve"> </w:t>
      </w:r>
      <w:hyperlink r:id="rId94">
        <w:r>
          <w:rPr>
            <w:rStyle w:val="Hyperlink"/>
          </w:rPr>
          <w:t xml:space="preserve">No global collapse of food webs across the permian-triassic mass extinction</w:t>
        </w:r>
      </w:hyperlink>
      <w:r>
        <w:t xml:space="preserve">.</w:t>
      </w:r>
      <w:r>
        <w:t xml:space="preserve"> </w:t>
      </w:r>
      <w:r>
        <w:rPr>
          <w:i/>
          <w:iCs/>
        </w:rPr>
        <w:t xml:space="preserve">BioRxiv</w:t>
      </w:r>
      <w:r>
        <w:t xml:space="preserve">.</w:t>
      </w:r>
    </w:p>
    <w:bookmarkEnd w:id="95"/>
    <w:bookmarkStart w:id="97" w:name="ref-kemp2024"/>
    <w:p>
      <w:pPr>
        <w:pStyle w:val="Bibliography"/>
      </w:pPr>
      <w:r>
        <w:t xml:space="preserve">Kemp, D.B., Han, Z., Hu, X., Chen, W., Jin, S., Izumi, K., Yan, Q., Baranyi, V., Jin, X., Corso, J.D. &amp; Ge, Y. (2024)</w:t>
      </w:r>
      <w:r>
        <w:t xml:space="preserve"> </w:t>
      </w:r>
      <w:hyperlink r:id="rId96">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7"/>
    <w:bookmarkStart w:id="99" w:name="ref-little1995"/>
    <w:p>
      <w:pPr>
        <w:pStyle w:val="Bibliography"/>
      </w:pPr>
      <w:r>
        <w:t xml:space="preserve">Little, C.T.S. &amp; Benton, M.J. (1995)</w:t>
      </w:r>
      <w:r>
        <w:t xml:space="preserve"> </w:t>
      </w:r>
      <w:hyperlink r:id="rId98">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9"/>
    <w:bookmarkStart w:id="101" w:name="ref-marjakangas2025"/>
    <w:p>
      <w:pPr>
        <w:pStyle w:val="Bibliography"/>
      </w:pPr>
      <w:r>
        <w:t xml:space="preserve">Marjakangas, E.-L., Dalsgaard, B. &amp; Ordonez, A. (2025)</w:t>
      </w:r>
      <w:r>
        <w:t xml:space="preserve"> </w:t>
      </w:r>
      <w:hyperlink r:id="rId100">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101"/>
    <w:bookmarkStart w:id="103" w:name="ref-michalska-smith2019"/>
    <w:p>
      <w:pPr>
        <w:pStyle w:val="Bibliography"/>
      </w:pPr>
      <w:r>
        <w:t xml:space="preserve">Michalska-Smith, M.J. &amp; Allesina, S. (2019)</w:t>
      </w:r>
      <w:r>
        <w:t xml:space="preserve"> </w:t>
      </w:r>
      <w:hyperlink r:id="rId102">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3"/>
    <w:bookmarkStart w:id="105" w:name="ref-milo2002"/>
    <w:p>
      <w:pPr>
        <w:pStyle w:val="Bibliography"/>
      </w:pPr>
      <w:r>
        <w:t xml:space="preserve">Milo, R., Shen-Orr, S., Itzkovitz, S., Kashtan, N., Chklovskii, D. &amp; Alon, U. (2002)</w:t>
      </w:r>
      <w:r>
        <w:t xml:space="preserve"> </w:t>
      </w:r>
      <w:hyperlink r:id="rId104">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5"/>
    <w:bookmarkStart w:id="107" w:name="ref-morales-castilla2015"/>
    <w:p>
      <w:pPr>
        <w:pStyle w:val="Bibliography"/>
      </w:pPr>
      <w:r>
        <w:t xml:space="preserve">Morales-Castilla, I., Matias, M.G., Gravel, D. &amp; Araújo, M.B. (2015)</w:t>
      </w:r>
      <w:r>
        <w:t xml:space="preserve"> </w:t>
      </w:r>
      <w:hyperlink r:id="rId106">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7"/>
    <w:bookmarkStart w:id="109"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8">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9"/>
    <w:bookmarkStart w:id="111" w:name="ref-petchey2011"/>
    <w:p>
      <w:pPr>
        <w:pStyle w:val="Bibliography"/>
      </w:pPr>
      <w:r>
        <w:t xml:space="preserve">Petchey, O.L., Beckerman, A.P., Riede, J.O. &amp; Warren, P.H. (2011)</w:t>
      </w:r>
      <w:r>
        <w:t xml:space="preserve"> </w:t>
      </w:r>
      <w:hyperlink r:id="rId110">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11"/>
    <w:bookmarkStart w:id="113" w:name="ref-petchey2008"/>
    <w:p>
      <w:pPr>
        <w:pStyle w:val="Bibliography"/>
      </w:pPr>
      <w:r>
        <w:t xml:space="preserve">Petchey, O.L., Beckerman, A.P., Riede, J.O. &amp; Warren, P.H. (2008)</w:t>
      </w:r>
      <w:r>
        <w:t xml:space="preserve"> </w:t>
      </w:r>
      <w:hyperlink r:id="rId112">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3"/>
    <w:bookmarkStart w:id="115" w:name="ref-poisot2021"/>
    <w:p>
      <w:pPr>
        <w:pStyle w:val="Bibliography"/>
      </w:pPr>
      <w:r>
        <w:t xml:space="preserve">Poisot, T., Bergeron, G., Cazelles, K., Dallas, T., Gravel, D., MacDonald, A., Mercier, B., Violet, C. &amp; Vissault, S. (2021)</w:t>
      </w:r>
      <w:r>
        <w:t xml:space="preserve"> </w:t>
      </w:r>
      <w:hyperlink r:id="rId114">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5"/>
    <w:bookmarkStart w:id="117" w:name="ref-poisot2012a"/>
    <w:p>
      <w:pPr>
        <w:pStyle w:val="Bibliography"/>
      </w:pPr>
      <w:r>
        <w:t xml:space="preserve">Poisot, T., Canard, E., Mouillot, D., Mouquet, N. &amp; Gravel, D. (2012)</w:t>
      </w:r>
      <w:r>
        <w:t xml:space="preserve"> </w:t>
      </w:r>
      <w:hyperlink r:id="rId116">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7"/>
    <w:bookmarkStart w:id="119" w:name="ref-poisot2016"/>
    <w:p>
      <w:pPr>
        <w:pStyle w:val="Bibliography"/>
      </w:pPr>
      <w:r>
        <w:t xml:space="preserve">Poisot, T., Cirtwill, A., Cazelles, K., Gravel, D., Fortin, M.-J. &amp; Stouffer, D. (2016)</w:t>
      </w:r>
      <w:r>
        <w:t xml:space="preserve"> </w:t>
      </w:r>
      <w:hyperlink r:id="rId118">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9"/>
    <w:bookmarkStart w:id="121" w:name="ref-poisot2014"/>
    <w:p>
      <w:pPr>
        <w:pStyle w:val="Bibliography"/>
      </w:pPr>
      <w:r>
        <w:t xml:space="preserve">Poisot, T. &amp; Gravel, D. (2014)</w:t>
      </w:r>
      <w:r>
        <w:t xml:space="preserve"> </w:t>
      </w:r>
      <w:hyperlink r:id="rId120">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21"/>
    <w:bookmarkStart w:id="123" w:name="ref-poisot2015"/>
    <w:p>
      <w:pPr>
        <w:pStyle w:val="Bibliography"/>
      </w:pPr>
      <w:r>
        <w:t xml:space="preserve">Poisot, T., Stouffer, D.B. &amp; Gravel, D. (2015)</w:t>
      </w:r>
      <w:r>
        <w:t xml:space="preserve"> </w:t>
      </w:r>
      <w:hyperlink r:id="rId122">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3"/>
    <w:bookmarkStart w:id="125" w:name="ref-RCoreTeam2024"/>
    <w:p>
      <w:pPr>
        <w:pStyle w:val="Bibliography"/>
      </w:pPr>
      <w:r>
        <w:t xml:space="preserve">R Core Team (2024)</w:t>
      </w:r>
      <w:r>
        <w:t xml:space="preserve"> </w:t>
      </w:r>
      <w:hyperlink r:id="rId124">
        <w:r>
          <w:rPr>
            <w:rStyle w:val="Hyperlink"/>
            <w:i/>
            <w:iCs/>
          </w:rPr>
          <w:t xml:space="preserve">R: A language and environment for statistical computing</w:t>
        </w:r>
      </w:hyperlink>
      <w:r>
        <w:t xml:space="preserve">, R Foundation for Statistical Computing, Vienna, Austria.</w:t>
      </w:r>
    </w:p>
    <w:bookmarkEnd w:id="125"/>
    <w:bookmarkStart w:id="127" w:name="ref-rohr2010"/>
    <w:p>
      <w:pPr>
        <w:pStyle w:val="Bibliography"/>
      </w:pPr>
      <w:r>
        <w:t xml:space="preserve">Rohr, R., Scherer, H., Kehrli, P., Mazza, C. &amp; Bersier, L.-F. (2010)</w:t>
      </w:r>
      <w:r>
        <w:t xml:space="preserve"> </w:t>
      </w:r>
      <w:hyperlink r:id="rId126">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7"/>
    <w:bookmarkStart w:id="129" w:name="ref-roopnarine2006"/>
    <w:p>
      <w:pPr>
        <w:pStyle w:val="Bibliography"/>
      </w:pPr>
      <w:r>
        <w:t xml:space="preserve">Roopnarine, P.D. (2006)</w:t>
      </w:r>
      <w:r>
        <w:t xml:space="preserve"> </w:t>
      </w:r>
      <w:hyperlink r:id="rId128">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9"/>
    <w:bookmarkStart w:id="131" w:name="ref-sandra2025"/>
    <w:p>
      <w:pPr>
        <w:pStyle w:val="Bibliography"/>
      </w:pPr>
      <w:r>
        <w:t xml:space="preserve">Sandra, H.-P., Traveset, A., Nogales, M., Heleno, R., Llewelyn, J. &amp; Strona, G. (2025)</w:t>
      </w:r>
      <w:r>
        <w:t xml:space="preserve"> </w:t>
      </w:r>
      <w:hyperlink r:id="rId130">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31"/>
    <w:bookmarkStart w:id="133" w:name="ref-schneider2016"/>
    <w:p>
      <w:pPr>
        <w:pStyle w:val="Bibliography"/>
      </w:pPr>
      <w:r>
        <w:t xml:space="preserve">Schneider, F.D., Brose, U., Rall, B.C. &amp; Guill, C. (2016)</w:t>
      </w:r>
      <w:r>
        <w:t xml:space="preserve"> </w:t>
      </w:r>
      <w:hyperlink r:id="rId132">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3"/>
    <w:bookmarkStart w:id="135" w:name="ref-shaw2024"/>
    <w:p>
      <w:pPr>
        <w:pStyle w:val="Bibliography"/>
      </w:pPr>
      <w:r>
        <w:t xml:space="preserve">Shaw, J.O., Dunhill, A.M., Beckerman, A.P., Dunne, J.A. &amp; Hull, P.M. (2024)</w:t>
      </w:r>
      <w:r>
        <w:t xml:space="preserve"> </w:t>
      </w:r>
      <w:hyperlink r:id="rId134">
        <w:r>
          <w:rPr>
            <w:rStyle w:val="Hyperlink"/>
          </w:rPr>
          <w:t xml:space="preserve">A framework for reconstructing ancient food webs using functional trait data</w:t>
        </w:r>
      </w:hyperlink>
      <w:r>
        <w:t xml:space="preserve">. 2024.01.30.578036.</w:t>
      </w:r>
    </w:p>
    <w:bookmarkEnd w:id="135"/>
    <w:bookmarkStart w:id="137" w:name="ref-smith2025"/>
    <w:p>
      <w:pPr>
        <w:pStyle w:val="Bibliography"/>
      </w:pPr>
      <w:r>
        <w:t xml:space="preserve">Smith, Q.A., Tomé, C.P., Gearty, W., Smith, F.A., Shizuka, D. &amp; Lyons, S.K. (2025)</w:t>
      </w:r>
      <w:r>
        <w:t xml:space="preserve"> </w:t>
      </w:r>
      <w:hyperlink r:id="rId136">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7"/>
    <w:bookmarkStart w:id="139" w:name="ref-stouffer2019"/>
    <w:p>
      <w:pPr>
        <w:pStyle w:val="Bibliography"/>
      </w:pPr>
      <w:r>
        <w:t xml:space="preserve">Stouffer, D.B. (2019)</w:t>
      </w:r>
      <w:r>
        <w:t xml:space="preserve"> </w:t>
      </w:r>
      <w:hyperlink r:id="rId138">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9"/>
    <w:bookmarkStart w:id="141" w:name="ref-stouffer2007"/>
    <w:p>
      <w:pPr>
        <w:pStyle w:val="Bibliography"/>
      </w:pPr>
      <w:r>
        <w:t xml:space="preserve">Stouffer, D.B., Camacho, J., Jiang, W. &amp; Nunes Amaral, L.A. (2007)</w:t>
      </w:r>
      <w:r>
        <w:t xml:space="preserve"> </w:t>
      </w:r>
      <w:hyperlink r:id="rId140">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41"/>
    <w:bookmarkStart w:id="143"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2">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3"/>
    <w:bookmarkStart w:id="145" w:name="ref-strydom2026"/>
    <w:p>
      <w:pPr>
        <w:pStyle w:val="Bibliography"/>
      </w:pPr>
      <w:r>
        <w:t xml:space="preserve">Strydom, T., Dunhill, A.M., Dunne, J.A., Poisot, T. &amp; Beckerman, A.P. (2026)</w:t>
      </w:r>
      <w:r>
        <w:t xml:space="preserve"> </w:t>
      </w:r>
      <w:hyperlink r:id="rId144">
        <w:r>
          <w:rPr>
            <w:rStyle w:val="Hyperlink"/>
          </w:rPr>
          <w:t xml:space="preserve">Scaling from metawebs to realised webs: A hierarchical approach to network ecology</w:t>
        </w:r>
      </w:hyperlink>
      <w:r>
        <w:t xml:space="preserve">.</w:t>
      </w:r>
      <w:r>
        <w:t xml:space="preserve"> </w:t>
      </w:r>
      <w:r>
        <w:rPr>
          <w:i/>
          <w:iCs/>
        </w:rPr>
        <w:t xml:space="preserve">EcoEvoRxiv</w:t>
      </w:r>
      <w:r>
        <w:t xml:space="preserve">.</w:t>
      </w:r>
    </w:p>
    <w:bookmarkEnd w:id="145"/>
    <w:bookmarkStart w:id="147" w:name="ref-thuiller2024"/>
    <w:p>
      <w:pPr>
        <w:pStyle w:val="Bibliography"/>
      </w:pPr>
      <w:r>
        <w:t xml:space="preserve">Thuiller, W., Calderón-Sanou, I., Chalmandrier, L., Gaüzère, P., O’Connor, L.M.J., Ohlmann, M., Poggiato, G. &amp; Münkemüller, T. (2024)</w:t>
      </w:r>
      <w:r>
        <w:t xml:space="preserve"> </w:t>
      </w:r>
      <w:hyperlink r:id="rId146">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7"/>
    <w:bookmarkStart w:id="149" w:name="ref-trøjelsgaard2016"/>
    <w:p>
      <w:pPr>
        <w:pStyle w:val="Bibliography"/>
      </w:pPr>
      <w:r>
        <w:t xml:space="preserve">Trøjelsgaard, K. &amp; Olesen, J.M. (2016)</w:t>
      </w:r>
      <w:r>
        <w:t xml:space="preserve"> </w:t>
      </w:r>
      <w:hyperlink r:id="rId148">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9"/>
    <w:bookmarkStart w:id="151" w:name="ref-tylianakis2008"/>
    <w:p>
      <w:pPr>
        <w:pStyle w:val="Bibliography"/>
      </w:pPr>
      <w:r>
        <w:t xml:space="preserve">Tylianakis, J.M., Didham, R.K., Bascompte, J. &amp; Wardle, D.A. (2008)</w:t>
      </w:r>
      <w:r>
        <w:t xml:space="preserve"> </w:t>
      </w:r>
      <w:hyperlink r:id="rId150">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51"/>
    <w:bookmarkStart w:id="153" w:name="ref-tylianakis2017"/>
    <w:p>
      <w:pPr>
        <w:pStyle w:val="Bibliography"/>
      </w:pPr>
      <w:r>
        <w:t xml:space="preserve">Tylianakis, J.M. &amp; Morris, R.J. (2017)</w:t>
      </w:r>
      <w:r>
        <w:t xml:space="preserve"> </w:t>
      </w:r>
      <w:hyperlink r:id="rId152">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3"/>
    <w:bookmarkStart w:id="155" w:name="ref-williams2000"/>
    <w:p>
      <w:pPr>
        <w:pStyle w:val="Bibliography"/>
      </w:pPr>
      <w:r>
        <w:t xml:space="preserve">Williams, R.J. &amp; Martinez, N.D. (2000)</w:t>
      </w:r>
      <w:r>
        <w:t xml:space="preserve"> </w:t>
      </w:r>
      <w:hyperlink r:id="rId154">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5"/>
    <w:bookmarkStart w:id="157" w:name="ref-williams2004"/>
    <w:p>
      <w:pPr>
        <w:pStyle w:val="Bibliography"/>
      </w:pPr>
      <w:r>
        <w:t xml:space="preserve">Williams, R.J. &amp; Martinez, N.D. (2004)</w:t>
      </w:r>
      <w:r>
        <w:t xml:space="preserve"> </w:t>
      </w:r>
      <w:hyperlink r:id="rId156">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7"/>
    <w:bookmarkStart w:id="159" w:name="ref-williams2008"/>
    <w:p>
      <w:pPr>
        <w:pStyle w:val="Bibliography"/>
      </w:pPr>
      <w:r>
        <w:t xml:space="preserve">Williams, R.J. &amp; Martinez, N.D. (2008)</w:t>
      </w:r>
      <w:r>
        <w:t xml:space="preserve"> </w:t>
      </w:r>
      <w:hyperlink r:id="rId158">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9"/>
    <w:bookmarkStart w:id="161" w:name="ref-yeakel2014"/>
    <w:p>
      <w:pPr>
        <w:pStyle w:val="Bibliography"/>
      </w:pPr>
      <w:r>
        <w:t xml:space="preserve">Yeakel, J.D., Pires, M.M., Rudolf, L., Dominy, N.J., Koch, P.L., Guimarães, P.R. &amp; Gross, T. (2014)</w:t>
      </w:r>
      <w:r>
        <w:t xml:space="preserve"> </w:t>
      </w:r>
      <w:hyperlink r:id="rId160">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6" Target="https://doi.org/10.1016/j.earscirev.2024.104946" TargetMode="External" /><Relationship Type="http://schemas.openxmlformats.org/officeDocument/2006/relationships/hyperlink" Id="rId130" Target="https://doi.org/10.1016/j.ecoinf.2025.103183" TargetMode="External" /><Relationship Type="http://schemas.openxmlformats.org/officeDocument/2006/relationships/hyperlink" Id="rId110"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6" Target="https://doi.org/10.1016/j.tree.2015.03.014" TargetMode="External" /><Relationship Type="http://schemas.openxmlformats.org/officeDocument/2006/relationships/hyperlink" Id="rId154"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2"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2" Target="https://doi.org/10.1073/pnas.0710672105" TargetMode="External" /><Relationship Type="http://schemas.openxmlformats.org/officeDocument/2006/relationships/hyperlink" Id="rId160" Target="https://doi.org/10.1073/pnas.1408471111" TargetMode="External" /><Relationship Type="http://schemas.openxmlformats.org/officeDocument/2006/relationships/hyperlink" Id="rId126" Target="https://doi.org/10.1086/653667" TargetMode="External" /><Relationship Type="http://schemas.openxmlformats.org/officeDocument/2006/relationships/hyperlink" Id="rId140"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2" Target="https://doi.org/10.1098/rstb.2021.0063" TargetMode="External" /><Relationship Type="http://schemas.openxmlformats.org/officeDocument/2006/relationships/hyperlink" Id="rId134" Target="https://doi.org/10.1101/2024.01.30.578036" TargetMode="External" /><Relationship Type="http://schemas.openxmlformats.org/officeDocument/2006/relationships/hyperlink" Id="rId148"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8"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8"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6" Target="https://doi.org/10.1111/ele.12002" TargetMode="External" /><Relationship Type="http://schemas.openxmlformats.org/officeDocument/2006/relationships/hyperlink" Id="rId100"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6" Target="https://doi.org/10.1111/geb.70113" TargetMode="External" /><Relationship Type="http://schemas.openxmlformats.org/officeDocument/2006/relationships/hyperlink" Id="rId158" Target="https://doi.org/10.1111/j.1365-2656.2008.01362.x" TargetMode="External" /><Relationship Type="http://schemas.openxmlformats.org/officeDocument/2006/relationships/hyperlink" Id="rId150"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4" Target="https://doi.org/10.1111/jbi.14127" TargetMode="External" /><Relationship Type="http://schemas.openxmlformats.org/officeDocument/2006/relationships/hyperlink" Id="rId146" Target="https://doi.org/10.1111/jbi.14734" TargetMode="External" /><Relationship Type="http://schemas.openxmlformats.org/officeDocument/2006/relationships/hyperlink" Id="rId122"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4"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8"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6"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2"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2"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4" Target="https://doi.org/10.32942/X2JW8K" TargetMode="External" /><Relationship Type="http://schemas.openxmlformats.org/officeDocument/2006/relationships/hyperlink" Id="rId47" Target="https://doi.org/10.5281/zenodo.20444969" TargetMode="External" /><Relationship Type="http://schemas.openxmlformats.org/officeDocument/2006/relationships/hyperlink" Id="rId74" Target="https://doi.org/10.5486/pmd.1959.6.3-4.12" TargetMode="External" /><Relationship Type="http://schemas.openxmlformats.org/officeDocument/2006/relationships/hyperlink" Id="rId94" Target="https://doi.org/10.64898/2026.02.24.707709" TargetMode="External" /><Relationship Type="http://schemas.openxmlformats.org/officeDocument/2006/relationships/hyperlink" Id="rId120" Target="https://doi.org/10.7717/peerj.251" TargetMode="External" /><Relationship Type="http://schemas.openxmlformats.org/officeDocument/2006/relationships/hyperlink" Id="rId124" Target="https://www.R-project.org/" TargetMode="External" /><Relationship Type="http://schemas.openxmlformats.org/officeDocument/2006/relationships/hyperlink" Id="rId128"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Pincelli M. Hull; Crispin T.S. Little; Catalina Pimiento; Andy Ridgwell; Andrew P. Beckerman; Alexander M. Dunhill</dc:creator>
  <cp:keywords>Ecological networks, Biotic interactions, Community assembly, Environmental gradients, Interaction turnover, Trophic organisation, Ecosystem resilience, Macroecology</cp:keywords>
  <dcterms:created xsi:type="dcterms:W3CDTF">2026-06-09T08:11:15Z</dcterms:created>
  <dcterms:modified xsi:type="dcterms:W3CDTF">2026-06-09T08:11:15Z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(e.g., based on traits or theoretical constraints);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2026-06-09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