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Mapping Ecosystems or Models? Framework Choices Dominate Food Web Topology and Extinction Inferences</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M. Dunhill</w:t>
      </w:r>
    </w:p>
    <w:p>
      <w:pPr>
        <w:pStyle w:val="Date"/>
      </w:pPr>
      <w:r>
        <w:t xml:space="preserve">2026-07-04</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extinctions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with each other is a central goal of ecology.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quantify</w:t>
      </w:r>
      <w:r>
        <w:t xml:space="preserve"> </w:t>
      </w:r>
      <m:oMath>
        <m:r>
          <m:t>β</m:t>
        </m:r>
      </m:oMath>
      <w:r>
        <w:t xml:space="preserve">-diversity in interaction structure, evaluate stability–complexity relationships, and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 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using various models are structurally comparable, and that differences among network properties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 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observational exercise. Different reconstruction frameworks encode distinct ecological assumptions about how interactions arise - whether as biologically feasible combinations of traits, energetically optimised realised diets, or topological structures.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w:t>
      </w:r>
      <w:r>
        <w:t xml:space="preserve">and begs the question if alternative reconstruction approaches systematically generate different trophic configurations. Risking conflating ecological differences among communities with artefacts introduced by reconstruction choice. The reliability of macroecological inference therefore depends not only on ecological data, but on the structural assumptions embedded in network reconstruction approaches.</w:t>
      </w:r>
    </w:p>
    <w:p>
      <w:pPr>
        <w:pStyle w:val="BodyText"/>
      </w:pPr>
      <w:r>
        <w:t xml:space="preserve">Despite rapid methodological development in interaction inference, few studies have directly evaluated how alternative approaches to constructing networks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w:t>
      </w:r>
      <w:r>
        <w:t xml:space="preserve">and begs the question if reconstruction approaches encode distinct structural constraints over interaction topology, then differences among communities may reflect reconstruction assumptions rather than ecological processes.</w:t>
      </w:r>
    </w:p>
    <w:p>
      <w:pPr>
        <w:pStyle w:val="BodyText"/>
      </w:pPr>
      <w:r>
        <w:t xml:space="preserve">Deep time ecosystems provide an especially useful test of this issue because trophic interactions are not observed directly and must be inferred from traits, co-occurrence, and theoretical constraints [</w:t>
      </w:r>
      <w:r>
        <w:t xml:space="preserve">Dunne</w:t>
      </w:r>
      <w:r>
        <w:t xml:space="preserve"> </w:t>
      </w:r>
      <w:r>
        <w:rPr>
          <w:i/>
          <w:iCs/>
        </w:rPr>
        <w:t xml:space="preserve">et al.</w:t>
      </w:r>
      <w:r>
        <w:t xml:space="preserve"> </w:t>
      </w:r>
      <w:r>
        <w:t xml:space="preserve">(2008)</w:t>
      </w:r>
      <w:r>
        <w:t xml:space="preserve">;</w:t>
      </w:r>
      <w:r>
        <w:t xml:space="preserve"> </w:t>
      </w:r>
      <w:r>
        <w:t xml:space="preserve">Dunne</w:t>
      </w:r>
      <w:r>
        <w:t xml:space="preserve"> </w:t>
      </w:r>
      <w:r>
        <w:rPr>
          <w:i/>
          <w:iCs/>
        </w:rPr>
        <w:t xml:space="preserve">et al.</w:t>
      </w:r>
      <w:r>
        <w:t xml:space="preserve"> </w:t>
      </w:r>
      <w:r>
        <w:t xml:space="preserve">(2014)</w:t>
      </w:r>
      <w:r>
        <w:t xml:space="preserve">;</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Roopnarine (2006)</w:t>
      </w:r>
      <w:r>
        <w:t xml:space="preserve">; ;</w:t>
      </w:r>
      <w:r>
        <w:t xml:space="preserve"> </w:t>
      </w:r>
      <w:r>
        <w:t xml:space="preserve">Smith</w:t>
      </w:r>
      <w:r>
        <w:t xml:space="preserve"> </w:t>
      </w:r>
      <w:r>
        <w:rPr>
          <w:i/>
          <w:iCs/>
        </w:rPr>
        <w:t xml:space="preserve">et al.</w:t>
      </w:r>
      <w:r>
        <w:t xml:space="preserve"> </w:t>
      </w:r>
      <w:r>
        <w:t xml:space="preserve">(2025)</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major Early Jurassic biotic crisis associated with rapid climatic warming, widespread marine oxygen depletion, and substantial ecological turnover</w:t>
      </w:r>
      <w:r>
        <w:t xml:space="preserve"> </w:t>
      </w:r>
      <w:r>
        <w:t xml:space="preserve">(Kemp</w:t>
      </w:r>
      <w:r>
        <w:t xml:space="preserve"> </w:t>
      </w:r>
      <w:r>
        <w:rPr>
          <w:i/>
          <w:iCs/>
        </w:rPr>
        <w:t xml:space="preserve">et al.</w:t>
      </w:r>
      <w:r>
        <w:t xml:space="preserve">, 2024)</w:t>
      </w:r>
      <w:r>
        <w:t xml:space="preserve">. Although considered a second-order extinction event globally, it nevertheless resulted in the loss of approximately 26% of marine genera worldwide</w:t>
      </w:r>
      <w:r>
        <w:t xml:space="preserve"> </w:t>
      </w:r>
      <w:r>
        <w:t xml:space="preserve">(Little &amp; Benton, 1995)</w:t>
      </w:r>
      <w:r>
        <w:t xml:space="preserve">. Ecological disruption was especially severe in shallow marine ecosystems, where environmental stress drove extensive restructuring of benthic communities and food webs. In the Cleveland Basin of Yorkshire, the ETEE caused the extinction of around 60% of marine species, including up to 87% of benthic taxa</w:t>
      </w:r>
      <w:r>
        <w:t xml:space="preserve"> </w:t>
      </w:r>
      <w:r>
        <w:t xml:space="preserve">(Caswell</w:t>
      </w:r>
      <w:r>
        <w:t xml:space="preserve"> </w:t>
      </w:r>
      <w:r>
        <w:rPr>
          <w:i/>
          <w:iCs/>
        </w:rPr>
        <w:t xml:space="preserve">et al.</w:t>
      </w:r>
      <w:r>
        <w:t xml:space="preserve">, 2009)</w:t>
      </w:r>
      <w:r>
        <w:t xml:space="preserve">. Fossil assemblages from this interval therefore record both the collapse of established communities and the subsequent recovery and reassembly of marine ecosystems under rapidly changing environmental conditions. Recent work has shown that the event selectively impacted specialist and infaunal organisms, leading to simplified ecosystems increasingly dominated by ecological generalists and opportunistic taxa</w:t>
      </w:r>
      <w:r>
        <w:t xml:space="preserve"> </w:t>
      </w:r>
      <w:r>
        <w:t xml:space="preserve">(Dunhill</w:t>
      </w:r>
      <w:r>
        <w:t xml:space="preserve"> </w:t>
      </w:r>
      <w:r>
        <w:rPr>
          <w:i/>
          <w:iCs/>
        </w:rPr>
        <w:t xml:space="preserve">et al.</w:t>
      </w:r>
      <w:r>
        <w:t xml:space="preserve">, 2024)</w:t>
      </w:r>
      <w:r>
        <w:t xml:space="preserve">. These changes were accompanied by major shifts in community structure, trophic interactions, and ecosystem connectivity, with evidence suggesting that ecological recovery following the extinction was both prolonged and uneven across marine habitats.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inferences of community response. Recent work by</w:t>
      </w:r>
      <w:r>
        <w:t xml:space="preserve"> </w:t>
      </w:r>
      <w:r>
        <w:t xml:space="preserve">Dunhill</w:t>
      </w:r>
      <w:r>
        <w:t xml:space="preserve"> </w:t>
      </w:r>
      <w:r>
        <w:rPr>
          <w:i/>
          <w:iCs/>
        </w:rPr>
        <w:t xml:space="preserve">et al.</w:t>
      </w:r>
      <w:r>
        <w:t xml:space="preserve"> </w:t>
      </w:r>
      <w:r>
        <w:t xml:space="preserve">(2024)</w:t>
      </w:r>
      <w:r>
        <w:t xml:space="preserve"> </w:t>
      </w:r>
      <w:r>
        <w:t xml:space="preserve">has used reconstructed food webs to draw ecological conclusions about community stability and collapse during this event. This creates a rare opportunity to ask a more general question -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Holding species composition constant while varying only the reconstruction approach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late Pliensbachian to the late Toarcian. This interval encompasses a major volcanic-driven hyperthermal and marine extinction event. To capture network dynamics across this transition, we defined four successive palaeo-assemblages: pre-extinction (Pliensbachian), post-extinction (early Toarcian), early recovery (early–middle Toarcian) and late recovery (late Toarcian). Each taxon was characterised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See</w:t>
      </w:r>
      <w:r>
        <w:t xml:space="preserve"> </w:t>
      </w:r>
      <w:r>
        <w:t xml:space="preserve">Dunhill</w:t>
      </w:r>
      <w:r>
        <w:t xml:space="preserve"> </w:t>
      </w:r>
      <w:r>
        <w:rPr>
          <w:i/>
          <w:iCs/>
        </w:rPr>
        <w:t xml:space="preserve">et al.</w:t>
      </w:r>
      <w:r>
        <w:t xml:space="preserve"> </w:t>
      </w:r>
      <w:r>
        <w:t xml:space="preserve">(2024)</w:t>
      </w:r>
      <w:r>
        <w:t xml:space="preserve"> </w:t>
      </w:r>
      <w:r>
        <w:t xml:space="preserve">for detailed descriptions of the dataset, including taxonomic composition, trait coding, and temporal resolution.</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r>
        <w:t xml:space="preserve"> </w:t>
      </w:r>
      <w:r>
        <w:t xml:space="preserve">(Strydom</w:t>
      </w:r>
      <w:r>
        <w:t xml:space="preserve"> </w:t>
      </w:r>
      <w:r>
        <w:rPr>
          <w:i/>
          <w:iCs/>
        </w:rPr>
        <w:t xml:space="preserve">et al.</w:t>
      </w:r>
      <w:r>
        <w:t xml:space="preserve">, 2026)</w:t>
      </w:r>
      <w:r>
        <w:t xml:space="preserv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each community. In palaeoecological contexts, where direct observation of interactions is not possible, such models provide a biologically grounded, formalised representation, of expert knowledge 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w:t>
      </w:r>
      <w:r>
        <w:t xml:space="preserve"> </w:t>
      </w:r>
      <w:r>
        <w:t xml:space="preserve">(Allesina</w:t>
      </w:r>
      <w:r>
        <w:t xml:space="preserve"> </w:t>
      </w:r>
      <w:r>
        <w:rPr>
          <w:i/>
          <w:iCs/>
        </w:rPr>
        <w:t xml:space="preserve">et al.</w:t>
      </w:r>
      <w:r>
        <w:t xml:space="preserve">, 2008)</w:t>
      </w:r>
      <w:r>
        <w:t xml:space="preserve">. These models are species-agnostic and therefore cannot be interpreted as reconstructions of specific ecological communities. Rather, they have the potential to serve as ‘null hypotheses’, providing reference expectations against which the structure and dynamics of data-informed reconstructions can be evaluated.</w:t>
      </w:r>
    </w:p>
    <w:p>
      <w:pPr>
        <w:pStyle w:val="BodyText"/>
      </w:pPr>
      <w:r>
        <w:t xml:space="preserve">In this study, we selected models to span these three conceptual classes (</w:t>
      </w:r>
      <w:hyperlink w:anchor="tbl-models">
        <w:r>
          <w:rPr>
            <w:rStyle w:val="Hyperlink"/>
          </w:rPr>
          <w:t xml:space="preserve">Table 1</w:t>
        </w:r>
      </w:hyperlink>
      <w:r>
        <w:t xml:space="preserve">) to sample distinct mechanistic interpretations of trophic interactions rather than exhaustively include all available implementations. Specifically, we include: a feasibility-based model (PFWIM),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Notably some approaches share common inputs (</w:t>
      </w:r>
      <w:r>
        <w:rPr>
          <w:i/>
          <w:iCs/>
        </w:rPr>
        <w:t xml:space="preserve">e.g.,</w:t>
      </w:r>
      <w:r>
        <w:t xml:space="preserve"> </w:t>
      </w:r>
      <w:r>
        <w:t xml:space="preserve">body mass for ADBM, ATN, and Body-size ratio), they encode fundamentally different assumptions about how interactions arise. Additionally, although other feasibility-based approaches exist (</w:t>
      </w:r>
      <w:r>
        <w:rPr>
          <w:i/>
          <w:iCs/>
        </w:rPr>
        <w:t xml:space="preserve">e.g.,</w:t>
      </w:r>
      <w:r>
        <w:t xml:space="preserve"> </w:t>
      </w:r>
      <w:r>
        <w:t xml:space="preserve">Roopnarine (2006)</w:t>
      </w:r>
      <w:r>
        <w:t xml:space="preserve">), they are conceptually similar to PFWIM in that they infer interactions from biologically feasible consumer–resource combinations. We therefore selected PFWIM as a representative feasibility-based framework because it formalises these rules in a transferable model that can be parameterised across datasets, rather than relying on system-specific expert assignment of links.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in total, 600 per time bin). Where reconstruction approaches required species body mass or trait values, these were uniformly sampled within the different size classes. We adopted a uniform sampling by default, as alternative distributions (lognormal, truncated lognormal) have negligible impact on topology (Supplementary Material S1; Figure S1). Random and Niche models were parameterised using connectance values drawn from an empirically realistic range (0.05–0.25;</w:t>
      </w:r>
      <w:r>
        <w:t xml:space="preserve"> </w:t>
      </w:r>
      <w:r>
        <w:t xml:space="preserve">Curtsdotter</w:t>
      </w:r>
      <w:r>
        <w:t xml:space="preserve"> </w:t>
      </w:r>
      <w:r>
        <w:rPr>
          <w:i/>
          <w:iCs/>
        </w:rPr>
        <w:t xml:space="preserve">et al.</w:t>
      </w:r>
      <w:r>
        <w:t xml:space="preserve"> </w:t>
      </w:r>
      <w:r>
        <w:t xml:space="preserve">(2011)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variation by applying a downsampling procedure that prunes links</w:t>
      </w:r>
      <w:r>
        <w:t xml:space="preserve"> </w:t>
      </w:r>
      <w:r>
        <w:t xml:space="preserve">(Roopnarine, 2006)</w:t>
      </w:r>
      <w:r>
        <w:t xml:space="preserve">. This step allowed us to introduce statistical variation while still preserving most of the metaweb structure.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network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PFWIM). Random and Niche models were excluded because they are species-agnostic reconstruction approaches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 as well as a brief description of how they are derived.</w:t>
            </w:r>
          </w:p>
          <w:tbl>
            <w:tblPr>
              <w:tblStyle w:val="Table"/>
              <w:tblW w:type="pct" w:w="5000"/>
              <w:tblLayout w:type="fixed"/>
              <w:tblLook w:firstRow="1" w:lastRow="0" w:firstColumn="0" w:lastColumn="0" w:noHBand="0" w:noVBand="0" w:val="0020"/>
            </w:tblPr>
            <w:tblGrid>
              <w:gridCol w:w="2592"/>
              <w:gridCol w:w="2736"/>
              <w:gridCol w:w="259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Williams &amp; Martinez (2004)</w:t>
                  </w: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Williams &amp; Martinez (2004)</w:t>
                  </w:r>
                </w:p>
              </w:tc>
            </w:tr>
            <w:tr>
              <w:tc>
                <w:tcPr/>
                <w:p>
                  <w:pPr>
                    <w:pStyle w:val="Compact"/>
                    <w:jc w:val="center"/>
                  </w:pPr>
                  <w:r>
                    <w:t xml:space="preserve">No. of linear chains (S1)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omnivory motifs (S2)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apparent competition motifs (S4)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direct competition motifs (S5)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 (</w:t>
      </w:r>
      <w:hyperlink w:anchor="tbl-properties">
        <w:r>
          <w:rPr>
            <w:rStyle w:val="Hyperlink"/>
          </w:rPr>
          <w:t xml:space="preserve">Table 2</w:t>
        </w:r>
      </w:hyperlink>
      <w:r>
        <w:t xml:space="preserve">) 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agreement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the model implementations provided in Supplementary Material S1. All statistical analyses, including MANOVA, PERMANOVA,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bookmarkEnd w:id="18"/>
    <w:bookmarkEnd w:id="19"/>
    <w:bookmarkStart w:id="41" w:name="results"/>
    <w:p>
      <w:pPr>
        <w:pStyle w:val="Heading1"/>
      </w:pPr>
      <w:r>
        <w:t xml:space="preserve">3. Results</w:t>
      </w:r>
    </w:p>
    <w:p>
      <w:pPr>
        <w:pStyle w:val="FirstParagraph"/>
      </w:pPr>
      <w:r>
        <w:t xml:space="preserve">We found that different reconstruction approaches, even those that appeared structurally similar, yielded fundamentally different ecological inferences. Across six reconstruction approaches, inferred food web structure, species interactions, and extinction dynamics differed consistently. Multivariate analyses showed pronounced separation among reconstruction approaches in network metric space (</w:t>
      </w:r>
      <w:hyperlink w:anchor="fig-structure">
        <w:r>
          <w:rPr>
            <w:rStyle w:val="Hyperlink"/>
          </w:rPr>
          <w:t xml:space="preserve">Figure 1</w:t>
        </w:r>
      </w:hyperlink>
      <w:r>
        <w:t xml:space="preserve">), with reconstruction approach explaining most of the variance in structural properties (</w:t>
      </w:r>
      <w:hyperlink w:anchor="fig-anova">
        <w:r>
          <w:rPr>
            <w:rStyle w:val="Hyperlink"/>
          </w:rPr>
          <w:t xml:space="preserve">Figure 2</w:t>
        </w:r>
      </w:hyperlink>
      <w:r>
        <w:t xml:space="preserve">). Notably, approaches that were statistically similar in multivariate structural space often diverged in inferred interactions (</w:t>
      </w:r>
      <w:hyperlink w:anchor="fig-beta_div">
        <w:r>
          <w:rPr>
            <w:rStyle w:val="Hyperlink"/>
          </w:rPr>
          <w:t xml:space="preserve">Figure 3</w:t>
        </w:r>
      </w:hyperlink>
      <w:r>
        <w:t xml:space="preserve">) or extinction dynamics (</w:t>
      </w:r>
      <w:hyperlink w:anchor="fig-mad">
        <w:r>
          <w:rPr>
            <w:rStyle w:val="Hyperlink"/>
          </w:rPr>
          <w:t xml:space="preserve">Figure 4</w:t>
        </w:r>
      </w:hyperlink>
      <w:r>
        <w:t xml:space="preserve">), demonstrating that structural similarity does not guarantee concordance in species-level diets or inferred behaviour of the system.</w:t>
      </w:r>
    </w:p>
    <w:p>
      <w:pPr>
        <w:pStyle w:val="BodyText"/>
      </w:pPr>
      <w:r>
        <w:t xml:space="preserve">Reconstruction approach substantially influenced inferred extinction dynamics. Temporal trajectories of network collapse, interaction loss, and motif reorganisation differed among approaches (</w:t>
      </w:r>
      <w:hyperlink w:anchor="fig-anova">
        <w:r>
          <w:rPr>
            <w:rStyle w:val="Hyperlink"/>
          </w:rPr>
          <w:t xml:space="preserve">Figure 2</w:t>
        </w:r>
      </w:hyperlink>
      <w:r>
        <w:t xml:space="preserve">). Although node-level extinction rankings were often broadly consistent, link-level outcomes and extinction inferences were highly sensitive to reconstruction assumptions (</w:t>
      </w:r>
      <w:hyperlink w:anchor="fig-mad">
        <w:r>
          <w:rPr>
            <w:rStyle w:val="Hyperlink"/>
          </w:rPr>
          <w:t xml:space="preserve">Figure 4</w:t>
        </w:r>
      </w:hyperlink>
      <w:r>
        <w:t xml:space="preserve">). Together, these results show that ecological inferences drawn from networks depend critically on the reconstruction framework used.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the reconstruction approach systematically alters inferred food web topology. Linear discriminant (LD) analysis identified two dominant axes of variation, explaining 86% of the differences between reconstruction approach. LD1 axis correlated with vulnerability, direct competition motifs, and connectance. LD2 axis correlated with maximum trophic level and apparent competition motifs, reflecting vertical trophic structure (</w:t>
      </w:r>
      <w:hyperlink w:anchor="fig-structure">
        <w:r>
          <w:rPr>
            <w:rStyle w:val="Hyperlink"/>
          </w:rPr>
          <w:t xml:space="preserve">Figure 1</w:t>
        </w:r>
      </w:hyperlink>
      <w:r>
        <w:t xml:space="preserve">; Table S1, Figure S1). The higher-order variates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(n = 400 per approach), and ellipses indicate 95% confidence regions for each reconstruction approach.</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reconstruction framework accounted for most of the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though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had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for certain network metrics reconstruction approaches predict different responses across time (</w:t>
      </w:r>
      <w:r>
        <w:rPr>
          <w:i/>
          <w:iCs/>
        </w:rPr>
        <w:t xml:space="preserve">e.g.,</w:t>
      </w:r>
      <w:r>
        <w:t xml:space="preserve"> </w:t>
      </w:r>
      <w:r>
        <w:t xml:space="preserve">connectance), as well as differing magnitudes of change (</w:t>
      </w:r>
      <w:r>
        <w:rPr>
          <w:i/>
          <w:iCs/>
        </w:rPr>
        <w:t xml:space="preserve">e.g.,</w:t>
      </w:r>
      <w:r>
        <w:t xml:space="preserve"> </w:t>
      </w:r>
      <w:r>
        <w:t xml:space="preserve">the number of apparent competition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triangle (below the dashed line),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Temporal changes in food-web structure and the relative influence of reconstruction approach and ecological turnover on network properties. (</w:t>
            </w:r>
            <w:r>
              <w:rPr>
                <w:b/>
                <w:bCs/>
              </w:rPr>
              <w:t xml:space="preserve">A</w:t>
            </w:r>
            <w:r>
              <w:t xml:space="preserve">) Changes in network metrics through time, expressed as deviations from pre-extinction conditions (</w:t>
            </w:r>
            <m:oMath>
              <m:r>
                <m:t>δ</m:t>
              </m:r>
            </m:oMath>
            <w:r>
              <w:t xml:space="preserve">). Metrics are faceted and scaled independently to highlight differences in temporal trajectories among network properties. (</w:t>
            </w:r>
            <w:r>
              <w:rPr>
                <w:b/>
                <w:bCs/>
              </w:rPr>
              <w:t xml:space="preserve">B</w:t>
            </w:r>
            <w:r>
              <w:t xml:space="preserve">) Relative influence of reconstruction approach (x-axis) and time (y-axis) on individual network metrics. The dashed 1:1 line indicates equal explanatory power. Metrics below the line are more strongly influenced by reconstruction approach than by temporal turnover. Bubble size represents the reconstruction approach × time interaction, and colour indicates disagreement among reconstruction approaches (mean CV%), with darker colours indicating greater divergence in metric estimates.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network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PFWIM showed intermediate overlap with body mass-based models. These results demonstrate that agreement in overall network structure does not guarantee agreement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interaction turnover (</w:t>
            </w:r>
            <m:oMath>
              <m:sSub>
                <m:e>
                  <m:r>
                    <m:t>β</m:t>
                  </m:r>
                </m:e>
                <m:sub>
                  <m:r>
                    <m:t>O</m:t>
                  </m:r>
                  <m:r>
                    <m:t>S</m:t>
                  </m:r>
                </m:sub>
              </m:sSub>
            </m:oMath>
            <w:r>
              <w:t xml:space="preserve">) among four food-web reconstruction approaches that infer species-specific trophic interactions (ADBM, ATN, Body-size Ratio, and PFWIM). Each cell represents the mean turnover value between a pair of reconstruction approaches, with darker colours indicating greater dissimilarity in inferred interactions. High turnover values indicate strong disagreement in predicted trophic links, whereas lower values indicate greater similarity.</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agreement on the relative importance of extinction drivers despite substantial differences in reconstructed network structure. However, agreement within the allometric models (ADMB, ATN)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or retained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methodologically neutral step preceding ecological analysis, with limited attention to how methodological choices might influence outcomes. Once assembled, network properties are generally interpreted as reflections of underlying ecological organisation. This workflow assumes that reconstructed networks provide structurally comparable representations of ecological communities. Consequently, differences in connectance, trophic structure, motif composition, or robustness are typically interpreted as biological variation rather than consequences of reconstruction approach.</w:t>
      </w:r>
    </w:p>
    <w:p>
      <w:pPr>
        <w:pStyle w:val="BodyText"/>
      </w:pPr>
      <w:r>
        <w:t xml:space="preserve">Assuming that reconstructed food webs are independent of model choice is particularly critical to evaluate within the context of deep time palaeoecological data. Because interactions in fossil ecosystems are never observed directly, and direct inferences (such as gut contents) are limited, hence they must explicitly be formed through some form of reconstruction approach. This necessity makes the assumptions underlying reconstruction explicit, but also means that ecological narratives are especially sensitive to the chosen reconstruction framework. In these settings the risk is not just incomplete data, but the potential for methodological artefacts to be misinterpreted as genuine macroevolutionary or palaeoecological signals. Consequently, deep 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far more variation in food-web topology than temporal turnover across extinction and recovery phases. Across an identical regional taxon pool, alternative reconstruction approaches generated distinct structural signatures that occupied non-overlapping regions of multivariate space (</w:t>
      </w:r>
      <w:hyperlink w:anchor="fig-structure">
        <w:r>
          <w:rPr>
            <w:rStyle w:val="Hyperlink"/>
          </w:rPr>
          <w:t xml:space="preserve">Figure 1</w:t>
        </w:r>
      </w:hyperlink>
      <w:r>
        <w:t xml:space="preserve">), demonstrating that reconstruction approaches produce fundamentally different interaction architectures, independent of temporal turnover in community composition. Even after centring metrics within time bins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shaping emergent topology, species roles, and predictions of disturbance dynamics. Network structure is therefore not solely a property of ecological communities but jointly determined by ecological data and assumptions made when inferring/reconstructing interactions</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demonstrating that its influence extends beyond overall topology to the individual properties commonly interpreted as ecological signals. Notably, the few properties that exhibited detectable temporal sensitivity were also those with the greatest inter-reconstruction disagreement, indicating that temporal trends are hardest to resolve where reconstruction frameworks diverge most strongly.</w:t>
      </w:r>
    </w:p>
    <w:p>
      <w:pPr>
        <w:pStyle w:val="BodyText"/>
      </w:pPr>
      <w:r>
        <w:t xml:space="preserve">These findings have important implications for comparative network studies. Because different classes of reconstruction encode different ecological assumptions, observed differences among networks may partly reflect reconstruction choice rather than ecological process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levels of inference. Node-level extinction rankings were broadly consistent among reconstruction approaches, whereas interaction-level outcomes and cascade trajectories were highly contingent on reconstruction methods. The predominance of the reconstruction framework over temporal turnover helps explain this pattern. Different reconstruction approaches often converged on similar patterns of community vulnerability yet diverged substantially in the mechanisms through which collapse unfolded. Broad ecological patterns may be robust across plausible interaction architectures, whereas conclusions about interaction loss, retention, or reorganisation depend strongly on how interactions are inferred.</w:t>
      </w:r>
    </w:p>
    <w:p>
      <w:pPr>
        <w:pStyle w:val="BodyText"/>
      </w:pPr>
      <w:r>
        <w:t xml:space="preserve">This distinction challenges a central ambition of food web ecology: using interaction structure to identify the mechanisms underlying stability and collapse. Our findings suggest that while broad patterns may be robust across reconstruction approaches, mechanistic explanations are far less secure. Had</w:t>
      </w:r>
      <w:r>
        <w:t xml:space="preserve"> </w:t>
      </w:r>
      <w:r>
        <w:t xml:space="preserve">Dunhill</w:t>
      </w:r>
      <w:r>
        <w:t xml:space="preserve"> </w:t>
      </w:r>
      <w:r>
        <w:rPr>
          <w:i/>
          <w:iCs/>
        </w:rPr>
        <w:t xml:space="preserve">et al.</w:t>
      </w:r>
      <w:r>
        <w:t xml:space="preserve"> </w:t>
      </w:r>
      <w:r>
        <w:t xml:space="preserve">(2024)</w:t>
      </w:r>
      <w:r>
        <w:t xml:space="preserve"> </w:t>
      </w:r>
      <w:r>
        <w:t xml:space="preserve">used a reconstruction approach other than PFWIM, the inferred drivers of extinction and recovery may have differed substantially. If extinction mechanisms vary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reflect reconstruction-imposed structure as much as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Disagreement among reconstruction approaches does not imply that any single approach is</w:t>
      </w:r>
      <w:r>
        <w:t xml:space="preserve"> </w:t>
      </w:r>
      <w:r>
        <w:t xml:space="preserve">‘wrong’</w:t>
      </w:r>
      <w:r>
        <w:t xml:space="preserve"> </w:t>
      </w:r>
      <w:r>
        <w:t xml:space="preserve">(Petchey</w:t>
      </w:r>
      <w:r>
        <w:t xml:space="preserve"> </w:t>
      </w:r>
      <w:r>
        <w:rPr>
          <w:i/>
          <w:iCs/>
        </w:rPr>
        <w:t xml:space="preserve">et al.</w:t>
      </w:r>
      <w:r>
        <w:t xml:space="preserve">, 2011; Stouffer, 2019)</w:t>
      </w:r>
      <w:r>
        <w:t xml:space="preserve">. Rather, different frameworks emphasise different ecological constraints, such as trait compatibility, energetic optimisation, or topological regularity and it is a case of matching the ‘correct’ reconstruction approach to the task at hand.</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investigate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and robustness as evidence of ecological differentiation across regions or through time</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reconstruction choice can systematically alter inferred topology and disturbance dynamics even when species composition is held constant. Apparent differences in network structure across spatial or climatic gradients may therefore reflect reconstruction choice as much as underlying ecological processes. Comparative studies that employ different reconstruction frameworks should therefore either standardise reconstruction methods or explicitly quantify the sensitivity of their conclusions to alternative network representations.</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No single reconstruction framework is universally correct. Rather, each represents a distinct hypothesis about how ecological interactions are constrained</w:t>
      </w:r>
      <w:r>
        <w:t xml:space="preserve"> </w:t>
      </w:r>
      <w:r>
        <w:t xml:space="preserve">(Petchey</w:t>
      </w:r>
      <w:r>
        <w:t xml:space="preserve"> </w:t>
      </w:r>
      <w:r>
        <w:rPr>
          <w:i/>
          <w:iCs/>
        </w:rPr>
        <w:t xml:space="preserve">et al.</w:t>
      </w:r>
      <w:r>
        <w:t xml:space="preserve">, 2011)</w:t>
      </w:r>
      <w:r>
        <w:t xml:space="preserve">. Reconstruction choice should therefore be viewed as part of hypothesis specification rather than a technical step preceding analysis. Researchers must align reconstruction approaches with the ecological questions of interest (whether estimating potential interactions, realised diets, or broad structural properties) because each framework emphasises different aspects of ecological organisation.</w:t>
      </w:r>
    </w:p>
    <w:p>
      <w:pPr>
        <w:pStyle w:val="BodyText"/>
      </w:pPr>
      <w:r>
        <w:t xml:space="preserve">Our results show that the consequences of these choices depend on the scale of inference. Some network-based conclusions, such as relative species vulnerability, were broadly consistent across reconstruction approaches, whereas interaction identities. This distinction suggests that network-based inference can be accurate at coarse ecological scales while remaining imprecise in its mechanistic detail. Explicitly recognising this asymmetry is essential if comparative studies are to distinguish robust ecological patterns from reconstruction-dependent artefacts.</w:t>
      </w:r>
    </w:p>
    <w:p>
      <w:pPr>
        <w:pStyle w:val="BodyText"/>
      </w:pPr>
      <w:r>
        <w:t xml:space="preserve">A more mature modelling paradigm in food web ecology would therefore treat reconstruction approaches as testable hypotheses, incorporate probabilistic link inference where possible, and routinely evaluate the sensitivity of 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8" w:name="conclusions"/>
    <w:p>
      <w:pPr>
        <w:pStyle w:val="Heading1"/>
      </w:pPr>
      <w:r>
        <w:t xml:space="preserve">5. Conclusions</w:t>
      </w:r>
    </w:p>
    <w:p>
      <w:pPr>
        <w:pStyle w:val="FirstParagraph"/>
      </w:pPr>
      <w:r>
        <w:t xml:space="preserve">Ecological network reconstruction is a theoretical choice that fundamentally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reconstruction frameworks. In contrast, fine-scale interaction structure and cascade pathways are highly contingent on reconstruction approaches.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differences in reconstruction assumptions as much as underlying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frameworks with inferential goals, standardising approaches across comparative studies, and incorporating ensemble or probabilistic methods will strengthen the interpretability of network analyses across spatial and temporal gradients. As ecological networks play an increasingly prominent role in global change research, recognising reconstruction as an integral component of ecological inference will be essential for moving food web ecology from descriptive reconstruction toward rigorous comparative synthesis.</w:t>
      </w:r>
    </w:p>
    <w:p>
      <w:pPr>
        <w:pStyle w:val="BodyText"/>
      </w:pPr>
      <w:r>
        <w:rPr>
          <w:i/>
          <w:iCs/>
        </w:rPr>
        <w:t xml:space="preserve">Data and Code Availability Statement:</w:t>
      </w:r>
      <w:r>
        <w:t xml:space="preserve"> </w:t>
      </w:r>
      <w:r>
        <w:t xml:space="preserve">The empirical data, derived network datasets, and all analysis scripts are archived in a public Zenodo repository (</w:t>
      </w:r>
      <w:hyperlink r:id="rId47">
        <w:r>
          <w:rPr>
            <w:rStyle w:val="Hyperlink"/>
          </w:rPr>
          <w:t xml:space="preserve">DOI: 10.5281/zenodo.20444969</w:t>
        </w:r>
      </w:hyperlink>
      <w:r>
        <w:t xml:space="preserve">), which includes a complete README file describing software dependencies, execution order, and reproduction instructions.</w:t>
      </w:r>
    </w:p>
    <w:p>
      <w:pPr>
        <w:pStyle w:val="BodyText"/>
      </w:pPr>
      <w:r>
        <w:rPr>
          <w:i/>
          <w:iCs/>
        </w:rPr>
        <w:t xml:space="preserve">Acknowledgements:</w:t>
      </w:r>
      <w:r>
        <w:t xml:space="preserve"> </w:t>
      </w:r>
      <w:r>
        <w:t xml:space="preserve">TS, BK, APB, and AMD received funding from NERC/NSF grant number NE/X015025/1.</w:t>
      </w:r>
    </w:p>
    <w:bookmarkEnd w:id="48"/>
    <w:bookmarkStart w:id="161" w:name="references"/>
    <w:p>
      <w:pPr>
        <w:pStyle w:val="Heading1"/>
      </w:pPr>
      <w:r>
        <w:t xml:space="preserve">References</w:t>
      </w:r>
    </w:p>
    <w:bookmarkStart w:id="160" w:name="refs"/>
    <w:bookmarkStart w:id="50" w:name="ref-allesina2008"/>
    <w:p>
      <w:pPr>
        <w:pStyle w:val="Bibliography"/>
      </w:pPr>
      <w:r>
        <w:t xml:space="preserve">Allesina, S., Alonso, D. &amp; Pascual, M. (2008)</w:t>
      </w:r>
      <w:r>
        <w:t xml:space="preserve"> </w:t>
      </w:r>
      <w:hyperlink r:id="rId49">
        <w:r>
          <w:rPr>
            <w:rStyle w:val="Hyperlink"/>
          </w:rPr>
          <w:t xml:space="preserve">A general model for food web structure</w:t>
        </w:r>
      </w:hyperlink>
      <w:r>
        <w:t xml:space="preserve">.</w:t>
      </w:r>
      <w:r>
        <w:t xml:space="preserve"> </w:t>
      </w:r>
      <w:r>
        <w:rPr>
          <w:i/>
          <w:iCs/>
        </w:rPr>
        <w:t xml:space="preserve">Science</w:t>
      </w:r>
      <w:r>
        <w:t xml:space="preserve">,</w:t>
      </w:r>
      <w:r>
        <w:t xml:space="preserve"> </w:t>
      </w:r>
      <w:r>
        <w:rPr>
          <w:b/>
          <w:bCs/>
        </w:rPr>
        <w:t xml:space="preserve">320</w:t>
      </w:r>
      <w:r>
        <w:t xml:space="preserve">, 658–661.</w:t>
      </w:r>
    </w:p>
    <w:bookmarkEnd w:id="50"/>
    <w:bookmarkStart w:id="52" w:name="ref-allesina2012"/>
    <w:p>
      <w:pPr>
        <w:pStyle w:val="Bibliography"/>
      </w:pPr>
      <w:r>
        <w:t xml:space="preserve">Allesina, S. &amp; Tang, S. (2012)</w:t>
      </w:r>
      <w:r>
        <w:t xml:space="preserve"> </w:t>
      </w:r>
      <w:hyperlink r:id="rId51">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52"/>
    <w:bookmarkStart w:id="54" w:name="ref-bambach2007"/>
    <w:p>
      <w:pPr>
        <w:pStyle w:val="Bibliography"/>
      </w:pPr>
      <w:r>
        <w:t xml:space="preserve">Bambach, R.K., Bush, A.M. &amp; Erwin, D.H. (2007)</w:t>
      </w:r>
      <w:r>
        <w:t xml:space="preserve"> </w:t>
      </w:r>
      <w:hyperlink r:id="rId53">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4"/>
    <w:bookmarkStart w:id="56" w:name="ref-banville2025"/>
    <w:p>
      <w:pPr>
        <w:pStyle w:val="Bibliography"/>
      </w:pPr>
      <w:r>
        <w:t xml:space="preserve">Banville, F., Strydom, T., Blyth, P.S.A., Brimacombe, C., Catchen, M.D., Dansereau, G., Higino, G., Malpas, T., Mayall, H., Norman, K., Gravel, D. &amp; Poisot, T. (2025)</w:t>
      </w:r>
      <w:r>
        <w:t xml:space="preserve"> </w:t>
      </w:r>
      <w:hyperlink r:id="rId55">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6"/>
    <w:bookmarkStart w:id="58" w:name="ref-Bezanson2017Julia"/>
    <w:p>
      <w:pPr>
        <w:pStyle w:val="Bibliography"/>
      </w:pPr>
      <w:r>
        <w:t xml:space="preserve">Bezanson, J., Edelman, A., Karpinski, S. &amp; Shah, V.B. (2017)</w:t>
      </w:r>
      <w:r>
        <w:t xml:space="preserve"> </w:t>
      </w:r>
      <w:hyperlink r:id="rId57">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8"/>
    <w:bookmarkStart w:id="60"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9">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60"/>
    <w:bookmarkStart w:id="62" w:name="ref-caswell2009"/>
    <w:p>
      <w:pPr>
        <w:pStyle w:val="Bibliography"/>
      </w:pPr>
      <w:r>
        <w:t xml:space="preserve">Caswell, B.A., Coe, A.L. &amp; Cohen, A.S. (2009)</w:t>
      </w:r>
      <w:r>
        <w:t xml:space="preserve"> </w:t>
      </w:r>
      <w:hyperlink r:id="rId61">
        <w:r>
          <w:rPr>
            <w:rStyle w:val="Hyperlink"/>
          </w:rPr>
          <w:t xml:space="preserve">New range data for marine invertebrate species across the early toarcian (early jurassic) mass extinction</w:t>
        </w:r>
      </w:hyperlink>
      <w:r>
        <w:t xml:space="preserve">.</w:t>
      </w:r>
      <w:r>
        <w:t xml:space="preserve"> </w:t>
      </w:r>
      <w:r>
        <w:rPr>
          <w:i/>
          <w:iCs/>
        </w:rPr>
        <w:t xml:space="preserve">Journal of the Geological Society</w:t>
      </w:r>
      <w:r>
        <w:t xml:space="preserve">,</w:t>
      </w:r>
      <w:r>
        <w:t xml:space="preserve"> </w:t>
      </w:r>
      <w:r>
        <w:rPr>
          <w:b/>
          <w:bCs/>
        </w:rPr>
        <w:t xml:space="preserve">166</w:t>
      </w:r>
      <w:r>
        <w:t xml:space="preserve">, 859–872.</w:t>
      </w:r>
    </w:p>
    <w:bookmarkEnd w:id="62"/>
    <w:bookmarkStart w:id="64" w:name="ref-curtsdotter2011"/>
    <w:p>
      <w:pPr>
        <w:pStyle w:val="Bibliography"/>
      </w:pPr>
      <w:r>
        <w:t xml:space="preserve">Curtsdotter, A., Binzer, A., Brose, U., De Castro, F., Ebenman, B., Eklöf, A., Riede, J.O., Thierry, A. &amp; Rall, B.C. (2011)</w:t>
      </w:r>
      <w:r>
        <w:t xml:space="preserve"> </w:t>
      </w:r>
      <w:hyperlink r:id="rId63">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64"/>
    <w:bookmarkStart w:id="66"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5">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6"/>
    <w:bookmarkStart w:id="68" w:name="ref-dunhill2024"/>
    <w:p>
      <w:pPr>
        <w:pStyle w:val="Bibliography"/>
      </w:pPr>
      <w:r>
        <w:t xml:space="preserve">Dunhill, A.M., Zarzyczny, K., Shaw, J.O., Atkinson, J.W., Little, C.T.S. &amp; Beckerman, A.P. (2024)</w:t>
      </w:r>
      <w:r>
        <w:t xml:space="preserve"> </w:t>
      </w:r>
      <w:hyperlink r:id="rId67">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8"/>
    <w:bookmarkStart w:id="70" w:name="ref-dunne2014"/>
    <w:p>
      <w:pPr>
        <w:pStyle w:val="Bibliography"/>
      </w:pPr>
      <w:r>
        <w:t xml:space="preserve">Dunne, J.A., Labandeira, C.C. &amp; Williams, R.J. (2014)</w:t>
      </w:r>
      <w:r>
        <w:t xml:space="preserve"> </w:t>
      </w:r>
      <w:hyperlink r:id="rId69">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70"/>
    <w:bookmarkStart w:id="71"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71"/>
    <w:bookmarkStart w:id="73" w:name="ref-dunne2008"/>
    <w:p>
      <w:pPr>
        <w:pStyle w:val="Bibliography"/>
      </w:pPr>
      <w:r>
        <w:t xml:space="preserve">Dunne, J.A., Williams, R.J., Martinez, N.D., Wood, R.A. &amp; Erwin, D.H. (2008)</w:t>
      </w:r>
      <w:r>
        <w:t xml:space="preserve"> </w:t>
      </w:r>
      <w:hyperlink r:id="rId72">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73"/>
    <w:bookmarkStart w:id="75" w:name="ref-erdos1959"/>
    <w:p>
      <w:pPr>
        <w:pStyle w:val="Bibliography"/>
      </w:pPr>
      <w:r>
        <w:t xml:space="preserve">Erdős, P. &amp; Rényi, A. (1959)</w:t>
      </w:r>
      <w:r>
        <w:t xml:space="preserve"> </w:t>
      </w:r>
      <w:hyperlink r:id="rId74">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5"/>
    <w:bookmarkStart w:id="77" w:name="ref-fricke2022a"/>
    <w:p>
      <w:pPr>
        <w:pStyle w:val="Bibliography"/>
      </w:pPr>
      <w:r>
        <w:t xml:space="preserve">Fricke, E.C., Hsieh, C., Middleton, O., Gorczynski, D., Cappello, C.D., Sanisidro, O., Rowan, J., Svenning, J.-C. &amp; Beaudrot, L. (2022)</w:t>
      </w:r>
      <w:r>
        <w:t xml:space="preserve"> </w:t>
      </w:r>
      <w:hyperlink r:id="rId76">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7"/>
    <w:bookmarkStart w:id="79" w:name="ref-fründ2016"/>
    <w:p>
      <w:pPr>
        <w:pStyle w:val="Bibliography"/>
      </w:pPr>
      <w:r>
        <w:t xml:space="preserve">Fründ, J., McCann, K.S. &amp; Williams, N.M. (2016)</w:t>
      </w:r>
      <w:r>
        <w:t xml:space="preserve"> </w:t>
      </w:r>
      <w:hyperlink r:id="rId78">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9"/>
    <w:bookmarkStart w:id="81" w:name="ref-gauzens2023"/>
    <w:p>
      <w:pPr>
        <w:pStyle w:val="Bibliography"/>
      </w:pPr>
      <w:r>
        <w:t xml:space="preserve">Gauzens, B., Brose, U., Delmas, E. &amp; Berti, E. (2023)</w:t>
      </w:r>
      <w:r>
        <w:t xml:space="preserve"> </w:t>
      </w:r>
      <w:hyperlink r:id="rId80">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81"/>
    <w:bookmarkStart w:id="83"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82">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83"/>
    <w:bookmarkStart w:id="85" w:name="ref-gilman2010"/>
    <w:p>
      <w:pPr>
        <w:pStyle w:val="Bibliography"/>
      </w:pPr>
      <w:r>
        <w:t xml:space="preserve">Gilman, S.E., Urban, M.C., Tewksbury, J., Gilchrist, G.W. &amp; Holt, R.D. (2010)</w:t>
      </w:r>
      <w:r>
        <w:t xml:space="preserve"> </w:t>
      </w:r>
      <w:hyperlink r:id="rId84">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5"/>
    <w:bookmarkStart w:id="87" w:name="ref-gravel2019"/>
    <w:p>
      <w:pPr>
        <w:pStyle w:val="Bibliography"/>
      </w:pPr>
      <w:r>
        <w:t xml:space="preserve">Gravel, D., Baiser, B., Dunne, J.A., Kopelke, J.-P., Martinez, N.D., Nyman, T., Poisot, T., Stouffer, D.B., Tylianakis, J.M., Wood, S.A. &amp; Roslin, T. (2019)</w:t>
      </w:r>
      <w:r>
        <w:t xml:space="preserve"> </w:t>
      </w:r>
      <w:hyperlink r:id="rId86">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7"/>
    <w:bookmarkStart w:id="89" w:name="ref-guimarães2020"/>
    <w:p>
      <w:pPr>
        <w:pStyle w:val="Bibliography"/>
      </w:pPr>
      <w:r>
        <w:t xml:space="preserve">Guimarães, P.R. (2020)</w:t>
      </w:r>
      <w:r>
        <w:t xml:space="preserve"> </w:t>
      </w:r>
      <w:hyperlink r:id="rId88">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9"/>
    <w:bookmarkStart w:id="91" w:name="ref-hao2025"/>
    <w:p>
      <w:pPr>
        <w:pStyle w:val="Bibliography"/>
      </w:pPr>
      <w:r>
        <w:t xml:space="preserve">Hao, X., Holyoak, M., Zhang, Z. &amp; Yan, C. (2025)</w:t>
      </w:r>
      <w:r>
        <w:t xml:space="preserve"> </w:t>
      </w:r>
      <w:hyperlink r:id="rId90">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91"/>
    <w:bookmarkStart w:id="93" w:name="ref-jordano2016"/>
    <w:p>
      <w:pPr>
        <w:pStyle w:val="Bibliography"/>
      </w:pPr>
      <w:r>
        <w:t xml:space="preserve">Jordano, P. (2016)</w:t>
      </w:r>
      <w:r>
        <w:t xml:space="preserve"> </w:t>
      </w:r>
      <w:hyperlink r:id="rId92">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93"/>
    <w:bookmarkStart w:id="95" w:name="ref-kemp2024"/>
    <w:p>
      <w:pPr>
        <w:pStyle w:val="Bibliography"/>
      </w:pPr>
      <w:r>
        <w:t xml:space="preserve">Kemp, D.B., Han, Z., Hu, X., Chen, W., Jin, S., Izumi, K., Yan, Q., Baranyi, V., Jin, X., Corso, J.D. &amp; Ge, Y. (2024)</w:t>
      </w:r>
      <w:r>
        <w:t xml:space="preserve"> </w:t>
      </w:r>
      <w:hyperlink r:id="rId94">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5"/>
    <w:bookmarkStart w:id="97" w:name="ref-little1995"/>
    <w:p>
      <w:pPr>
        <w:pStyle w:val="Bibliography"/>
      </w:pPr>
      <w:r>
        <w:t xml:space="preserve">Little, C.T.S. &amp; Benton, M.J. (1995)</w:t>
      </w:r>
      <w:r>
        <w:t xml:space="preserve"> </w:t>
      </w:r>
      <w:hyperlink r:id="rId96">
        <w:r>
          <w:rPr>
            <w:rStyle w:val="Hyperlink"/>
          </w:rPr>
          <w:t xml:space="preserve">Early jurassic mass extinction: A global long-term event</w:t>
        </w:r>
      </w:hyperlink>
      <w:r>
        <w:t xml:space="preserve">.</w:t>
      </w:r>
      <w:r>
        <w:t xml:space="preserve"> </w:t>
      </w:r>
      <w:r>
        <w:rPr>
          <w:i/>
          <w:iCs/>
        </w:rPr>
        <w:t xml:space="preserve">Geology</w:t>
      </w:r>
      <w:r>
        <w:t xml:space="preserve">,</w:t>
      </w:r>
      <w:r>
        <w:t xml:space="preserve"> </w:t>
      </w:r>
      <w:r>
        <w:rPr>
          <w:b/>
          <w:bCs/>
        </w:rPr>
        <w:t xml:space="preserve">23</w:t>
      </w:r>
      <w:r>
        <w:t xml:space="preserve">, 495.</w:t>
      </w:r>
    </w:p>
    <w:bookmarkEnd w:id="97"/>
    <w:bookmarkStart w:id="99" w:name="ref-marjakangas2025"/>
    <w:p>
      <w:pPr>
        <w:pStyle w:val="Bibliography"/>
      </w:pPr>
      <w:r>
        <w:t xml:space="preserve">Marjakangas, E.-L., Dalsgaard, B. &amp; Ordonez, A. (2025)</w:t>
      </w:r>
      <w:r>
        <w:t xml:space="preserve"> </w:t>
      </w:r>
      <w:hyperlink r:id="rId98">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99"/>
    <w:bookmarkStart w:id="101" w:name="ref-michalska-smith2019"/>
    <w:p>
      <w:pPr>
        <w:pStyle w:val="Bibliography"/>
      </w:pPr>
      <w:r>
        <w:t xml:space="preserve">Michalska-Smith, M.J. &amp; Allesina, S. (2019)</w:t>
      </w:r>
      <w:r>
        <w:t xml:space="preserve"> </w:t>
      </w:r>
      <w:hyperlink r:id="rId100">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101"/>
    <w:bookmarkStart w:id="103" w:name="ref-milo2002"/>
    <w:p>
      <w:pPr>
        <w:pStyle w:val="Bibliography"/>
      </w:pPr>
      <w:r>
        <w:t xml:space="preserve">Milo, R., Shen-Orr, S., Itzkovitz, S., Kashtan, N., Chklovskii, D. &amp; Alon, U. (2002)</w:t>
      </w:r>
      <w:r>
        <w:t xml:space="preserve"> </w:t>
      </w:r>
      <w:hyperlink r:id="rId102">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103"/>
    <w:bookmarkStart w:id="105" w:name="ref-morales-castilla2015"/>
    <w:p>
      <w:pPr>
        <w:pStyle w:val="Bibliography"/>
      </w:pPr>
      <w:r>
        <w:t xml:space="preserve">Morales-Castilla, I., Matias, M.G., Gravel, D. &amp; Araújo, M.B. (2015)</w:t>
      </w:r>
      <w:r>
        <w:t xml:space="preserve"> </w:t>
      </w:r>
      <w:hyperlink r:id="rId104">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5"/>
    <w:bookmarkStart w:id="107"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6">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7"/>
    <w:bookmarkStart w:id="109" w:name="ref-petchey2011"/>
    <w:p>
      <w:pPr>
        <w:pStyle w:val="Bibliography"/>
      </w:pPr>
      <w:r>
        <w:t xml:space="preserve">Petchey, O.L., Beckerman, A.P., Riede, J.O. &amp; Warren, P.H. (2011)</w:t>
      </w:r>
      <w:r>
        <w:t xml:space="preserve"> </w:t>
      </w:r>
      <w:hyperlink r:id="rId108">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09"/>
    <w:bookmarkStart w:id="111" w:name="ref-petchey2008"/>
    <w:p>
      <w:pPr>
        <w:pStyle w:val="Bibliography"/>
      </w:pPr>
      <w:r>
        <w:t xml:space="preserve">Petchey, O.L., Beckerman, A.P., Riede, J.O. &amp; Warren, P.H. (2008)</w:t>
      </w:r>
      <w:r>
        <w:t xml:space="preserve"> </w:t>
      </w:r>
      <w:hyperlink r:id="rId110">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11"/>
    <w:bookmarkStart w:id="113" w:name="ref-poisot2021"/>
    <w:p>
      <w:pPr>
        <w:pStyle w:val="Bibliography"/>
      </w:pPr>
      <w:r>
        <w:t xml:space="preserve">Poisot, T., Bergeron, G., Cazelles, K., Dallas, T., Gravel, D., MacDonald, A., Mercier, B., Violet, C. &amp; Vissault, S. (2021)</w:t>
      </w:r>
      <w:r>
        <w:t xml:space="preserve"> </w:t>
      </w:r>
      <w:hyperlink r:id="rId112">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13"/>
    <w:bookmarkStart w:id="115" w:name="ref-poisot2012a"/>
    <w:p>
      <w:pPr>
        <w:pStyle w:val="Bibliography"/>
      </w:pPr>
      <w:r>
        <w:t xml:space="preserve">Poisot, T., Canard, E., Mouillot, D., Mouquet, N. &amp; Gravel, D. (2012)</w:t>
      </w:r>
      <w:r>
        <w:t xml:space="preserve"> </w:t>
      </w:r>
      <w:hyperlink r:id="rId114">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5"/>
    <w:bookmarkStart w:id="117" w:name="ref-poisot2016"/>
    <w:p>
      <w:pPr>
        <w:pStyle w:val="Bibliography"/>
      </w:pPr>
      <w:r>
        <w:t xml:space="preserve">Poisot, T., Cirtwill, A., Cazelles, K., Gravel, D., Fortin, M.-J. &amp; Stouffer, D. (2016)</w:t>
      </w:r>
      <w:r>
        <w:t xml:space="preserve"> </w:t>
      </w:r>
      <w:hyperlink r:id="rId116">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7"/>
    <w:bookmarkStart w:id="119" w:name="ref-poisot2014"/>
    <w:p>
      <w:pPr>
        <w:pStyle w:val="Bibliography"/>
      </w:pPr>
      <w:r>
        <w:t xml:space="preserve">Poisot, T. &amp; Gravel, D. (2014)</w:t>
      </w:r>
      <w:r>
        <w:t xml:space="preserve"> </w:t>
      </w:r>
      <w:hyperlink r:id="rId118">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19"/>
    <w:bookmarkStart w:id="121" w:name="ref-poisot2015"/>
    <w:p>
      <w:pPr>
        <w:pStyle w:val="Bibliography"/>
      </w:pPr>
      <w:r>
        <w:t xml:space="preserve">Poisot, T., Stouffer, D.B. &amp; Gravel, D. (2015)</w:t>
      </w:r>
      <w:r>
        <w:t xml:space="preserve"> </w:t>
      </w:r>
      <w:hyperlink r:id="rId120">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21"/>
    <w:bookmarkStart w:id="123" w:name="ref-RCoreTeam2024"/>
    <w:p>
      <w:pPr>
        <w:pStyle w:val="Bibliography"/>
      </w:pPr>
      <w:r>
        <w:t xml:space="preserve">R Core Team (2024)</w:t>
      </w:r>
      <w:r>
        <w:t xml:space="preserve"> </w:t>
      </w:r>
      <w:hyperlink r:id="rId122">
        <w:r>
          <w:rPr>
            <w:rStyle w:val="Hyperlink"/>
            <w:i/>
            <w:iCs/>
          </w:rPr>
          <w:t xml:space="preserve">R: A language and environment for statistical computing</w:t>
        </w:r>
      </w:hyperlink>
      <w:r>
        <w:t xml:space="preserve">, R Foundation for Statistical Computing, Vienna, Austria.</w:t>
      </w:r>
    </w:p>
    <w:bookmarkEnd w:id="123"/>
    <w:bookmarkStart w:id="125" w:name="ref-rohr2010"/>
    <w:p>
      <w:pPr>
        <w:pStyle w:val="Bibliography"/>
      </w:pPr>
      <w:r>
        <w:t xml:space="preserve">Rohr, R., Scherer, H., Kehrli, P., Mazza, C. &amp; Bersier, L.-F. (2010)</w:t>
      </w:r>
      <w:r>
        <w:t xml:space="preserve"> </w:t>
      </w:r>
      <w:hyperlink r:id="rId124">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5"/>
    <w:bookmarkStart w:id="127" w:name="ref-roopnarine2006"/>
    <w:p>
      <w:pPr>
        <w:pStyle w:val="Bibliography"/>
      </w:pPr>
      <w:r>
        <w:t xml:space="preserve">Roopnarine, P.D. (2006)</w:t>
      </w:r>
      <w:r>
        <w:t xml:space="preserve"> </w:t>
      </w:r>
      <w:hyperlink r:id="rId126">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7"/>
    <w:bookmarkStart w:id="129" w:name="ref-sandra2025"/>
    <w:p>
      <w:pPr>
        <w:pStyle w:val="Bibliography"/>
      </w:pPr>
      <w:r>
        <w:t xml:space="preserve">Sandra, H.-P., Traveset, A., Nogales, M., Heleno, R., Llewelyn, J. &amp; Strona, G. (2025)</w:t>
      </w:r>
      <w:r>
        <w:t xml:space="preserve"> </w:t>
      </w:r>
      <w:hyperlink r:id="rId128">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29"/>
    <w:bookmarkStart w:id="131" w:name="ref-schneider2016"/>
    <w:p>
      <w:pPr>
        <w:pStyle w:val="Bibliography"/>
      </w:pPr>
      <w:r>
        <w:t xml:space="preserve">Schneider, F.D., Brose, U., Rall, B.C. &amp; Guill, C. (2016)</w:t>
      </w:r>
      <w:r>
        <w:t xml:space="preserve"> </w:t>
      </w:r>
      <w:hyperlink r:id="rId130">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w:t>
      </w:r>
      <w:r>
        <w:t xml:space="preserve"> </w:t>
      </w:r>
      <w:r>
        <w:rPr>
          <w:b/>
          <w:bCs/>
        </w:rPr>
        <w:t xml:space="preserve">7</w:t>
      </w:r>
      <w:r>
        <w:t xml:space="preserve">, 12718.</w:t>
      </w:r>
    </w:p>
    <w:bookmarkEnd w:id="131"/>
    <w:bookmarkStart w:id="133" w:name="ref-shaw2024"/>
    <w:p>
      <w:pPr>
        <w:pStyle w:val="Bibliography"/>
      </w:pPr>
      <w:r>
        <w:t xml:space="preserve">Shaw, J.O., Dunhill, A.M., Beckerman, A.P., Dunne, J.A. &amp; Hull, P.M. (2024)</w:t>
      </w:r>
      <w:r>
        <w:t xml:space="preserve"> </w:t>
      </w:r>
      <w:hyperlink r:id="rId132">
        <w:r>
          <w:rPr>
            <w:rStyle w:val="Hyperlink"/>
          </w:rPr>
          <w:t xml:space="preserve">A framework for reconstructing ancient food webs using functional trait data</w:t>
        </w:r>
      </w:hyperlink>
      <w:r>
        <w:t xml:space="preserve">. 2024.01.30.578036.</w:t>
      </w:r>
    </w:p>
    <w:bookmarkEnd w:id="133"/>
    <w:bookmarkStart w:id="135" w:name="ref-smith2025"/>
    <w:p>
      <w:pPr>
        <w:pStyle w:val="Bibliography"/>
      </w:pPr>
      <w:r>
        <w:t xml:space="preserve">Smith, Q.A., Tomé, C.P., Gearty, W., Smith, F.A., Shizuka, D. &amp; Lyons, S.K. (2025)</w:t>
      </w:r>
      <w:r>
        <w:t xml:space="preserve"> </w:t>
      </w:r>
      <w:hyperlink r:id="rId134">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35"/>
    <w:bookmarkStart w:id="137" w:name="ref-stouffer2019"/>
    <w:p>
      <w:pPr>
        <w:pStyle w:val="Bibliography"/>
      </w:pPr>
      <w:r>
        <w:t xml:space="preserve">Stouffer, D.B. (2019)</w:t>
      </w:r>
      <w:r>
        <w:t xml:space="preserve"> </w:t>
      </w:r>
      <w:hyperlink r:id="rId136">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7"/>
    <w:bookmarkStart w:id="139" w:name="ref-stouffer2007"/>
    <w:p>
      <w:pPr>
        <w:pStyle w:val="Bibliography"/>
      </w:pPr>
      <w:r>
        <w:t xml:space="preserve">Stouffer, D.B., Camacho, J., Jiang, W. &amp; Nunes Amaral, L.A. (2007)</w:t>
      </w:r>
      <w:r>
        <w:t xml:space="preserve"> </w:t>
      </w:r>
      <w:hyperlink r:id="rId138">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39"/>
    <w:bookmarkStart w:id="141"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40">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1"/>
    <w:bookmarkStart w:id="143" w:name="ref-strydom2026"/>
    <w:p>
      <w:pPr>
        <w:pStyle w:val="Bibliography"/>
      </w:pPr>
      <w:r>
        <w:t xml:space="preserve">Strydom, T., Dunhill, A.M., Dunne, J.A., Poisot, T. &amp; Beckerman, A.P. (2026)</w:t>
      </w:r>
      <w:r>
        <w:t xml:space="preserve"> </w:t>
      </w:r>
      <w:hyperlink r:id="rId142">
        <w:r>
          <w:rPr>
            <w:rStyle w:val="Hyperlink"/>
          </w:rPr>
          <w:t xml:space="preserve">From metawebs to realised webs: A framework for ecological network representation under global change</w:t>
        </w:r>
      </w:hyperlink>
      <w:r>
        <w:t xml:space="preserve">.</w:t>
      </w:r>
      <w:r>
        <w:t xml:space="preserve"> </w:t>
      </w:r>
      <w:r>
        <w:rPr>
          <w:i/>
          <w:iCs/>
        </w:rPr>
        <w:t xml:space="preserve">EcoEvoRxiv</w:t>
      </w:r>
      <w:r>
        <w:t xml:space="preserve">.</w:t>
      </w:r>
    </w:p>
    <w:bookmarkEnd w:id="143"/>
    <w:bookmarkStart w:id="145" w:name="ref-thuiller2024"/>
    <w:p>
      <w:pPr>
        <w:pStyle w:val="Bibliography"/>
      </w:pPr>
      <w:r>
        <w:t xml:space="preserve">Thuiller, W., Calderón-Sanou, I., Chalmandrier, L., Gaüzère, P., O’Connor, L.M.J., Ohlmann, M., Poggiato, G. &amp; Münkemüller, T. (2024)</w:t>
      </w:r>
      <w:r>
        <w:t xml:space="preserve"> </w:t>
      </w:r>
      <w:hyperlink r:id="rId144">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45"/>
    <w:bookmarkStart w:id="147" w:name="ref-trøjelsgaard2016"/>
    <w:p>
      <w:pPr>
        <w:pStyle w:val="Bibliography"/>
      </w:pPr>
      <w:r>
        <w:t xml:space="preserve">Trøjelsgaard, K. &amp; Olesen, J.M. (2016)</w:t>
      </w:r>
      <w:r>
        <w:t xml:space="preserve"> </w:t>
      </w:r>
      <w:hyperlink r:id="rId146">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7"/>
    <w:bookmarkStart w:id="149" w:name="ref-tylianakis2008"/>
    <w:p>
      <w:pPr>
        <w:pStyle w:val="Bibliography"/>
      </w:pPr>
      <w:r>
        <w:t xml:space="preserve">Tylianakis, J.M., Didham, R.K., Bascompte, J. &amp; Wardle, D.A. (2008)</w:t>
      </w:r>
      <w:r>
        <w:t xml:space="preserve"> </w:t>
      </w:r>
      <w:hyperlink r:id="rId148">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49"/>
    <w:bookmarkStart w:id="151" w:name="ref-tylianakis2017"/>
    <w:p>
      <w:pPr>
        <w:pStyle w:val="Bibliography"/>
      </w:pPr>
      <w:r>
        <w:t xml:space="preserve">Tylianakis, J.M. &amp; Morris, R.J. (2017)</w:t>
      </w:r>
      <w:r>
        <w:t xml:space="preserve"> </w:t>
      </w:r>
      <w:hyperlink r:id="rId150">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51"/>
    <w:bookmarkStart w:id="153" w:name="ref-williams2000"/>
    <w:p>
      <w:pPr>
        <w:pStyle w:val="Bibliography"/>
      </w:pPr>
      <w:r>
        <w:t xml:space="preserve">Williams, R.J. &amp; Martinez, N.D. (2000)</w:t>
      </w:r>
      <w:r>
        <w:t xml:space="preserve"> </w:t>
      </w:r>
      <w:hyperlink r:id="rId152">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53"/>
    <w:bookmarkStart w:id="155" w:name="ref-williams2004"/>
    <w:p>
      <w:pPr>
        <w:pStyle w:val="Bibliography"/>
      </w:pPr>
      <w:r>
        <w:t xml:space="preserve">Williams, R.J. &amp; Martinez, N.D. (2004)</w:t>
      </w:r>
      <w:r>
        <w:t xml:space="preserve"> </w:t>
      </w:r>
      <w:hyperlink r:id="rId154">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55"/>
    <w:bookmarkStart w:id="157" w:name="ref-williams2008"/>
    <w:p>
      <w:pPr>
        <w:pStyle w:val="Bibliography"/>
      </w:pPr>
      <w:r>
        <w:t xml:space="preserve">Williams, R.J. &amp; Martinez, N.D. (2008)</w:t>
      </w:r>
      <w:r>
        <w:t xml:space="preserve"> </w:t>
      </w:r>
      <w:hyperlink r:id="rId156">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7"/>
    <w:bookmarkStart w:id="159" w:name="ref-yeakel2014"/>
    <w:p>
      <w:pPr>
        <w:pStyle w:val="Bibliography"/>
      </w:pPr>
      <w:r>
        <w:t xml:space="preserve">Yeakel, J.D., Pires, M.M., Rudolf, L., Dominy, N.J., Koch, P.L., Guimarães, P.R. &amp; Gross, T. (2014)</w:t>
      </w:r>
      <w:r>
        <w:t xml:space="preserve"> </w:t>
      </w:r>
      <w:hyperlink r:id="rId158">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59"/>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6"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4" Target="https://doi.org/10.1016/j.earscirev.2024.104946" TargetMode="External" /><Relationship Type="http://schemas.openxmlformats.org/officeDocument/2006/relationships/hyperlink" Id="rId128" Target="https://doi.org/10.1016/j.ecoinf.2025.103183" TargetMode="External" /><Relationship Type="http://schemas.openxmlformats.org/officeDocument/2006/relationships/hyperlink" Id="rId108"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4" Target="https://doi.org/10.1016/j.tree.2015.03.014" TargetMode="External" /><Relationship Type="http://schemas.openxmlformats.org/officeDocument/2006/relationships/hyperlink" Id="rId152"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0"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58" Target="https://doi.org/10.1073/pnas.1408471111" TargetMode="External" /><Relationship Type="http://schemas.openxmlformats.org/officeDocument/2006/relationships/hyperlink" Id="rId124" Target="https://doi.org/10.1086/653667" TargetMode="External" /><Relationship Type="http://schemas.openxmlformats.org/officeDocument/2006/relationships/hyperlink" Id="rId138"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0" Target="https://doi.org/10.1098/rstb.2021.0063" TargetMode="External" /><Relationship Type="http://schemas.openxmlformats.org/officeDocument/2006/relationships/hyperlink" Id="rId132" Target="https://doi.org/10.1101/2024.01.30.578036" TargetMode="External" /><Relationship Type="http://schemas.openxmlformats.org/officeDocument/2006/relationships/hyperlink" Id="rId146"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6"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6"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4"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4" Target="https://doi.org/10.1111/geb.70113" TargetMode="External" /><Relationship Type="http://schemas.openxmlformats.org/officeDocument/2006/relationships/hyperlink" Id="rId156" Target="https://doi.org/10.1111/j.1365-2656.2008.01362.x" TargetMode="External" /><Relationship Type="http://schemas.openxmlformats.org/officeDocument/2006/relationships/hyperlink" Id="rId148"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2" Target="https://doi.org/10.1111/jbi.14127" TargetMode="External" /><Relationship Type="http://schemas.openxmlformats.org/officeDocument/2006/relationships/hyperlink" Id="rId144" Target="https://doi.org/10.1111/jbi.14734" TargetMode="External" /><Relationship Type="http://schemas.openxmlformats.org/officeDocument/2006/relationships/hyperlink" Id="rId120"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2"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6"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4"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0"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0"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2" Target="https://doi.org/10.32942/X2JW8K" TargetMode="External" /><Relationship Type="http://schemas.openxmlformats.org/officeDocument/2006/relationships/hyperlink" Id="rId47"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118" Target="https://doi.org/10.7717/peerj.251" TargetMode="External" /><Relationship Type="http://schemas.openxmlformats.org/officeDocument/2006/relationships/hyperlink" Id="rId122" Target="https://www.R-project.org/" TargetMode="External" /><Relationship Type="http://schemas.openxmlformats.org/officeDocument/2006/relationships/hyperlink" Id="rId12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4" Target="https://doi.org/10.1016/j.earscirev.2024.104946" TargetMode="External" /><Relationship Type="http://schemas.openxmlformats.org/officeDocument/2006/relationships/hyperlink" Id="rId128" Target="https://doi.org/10.1016/j.ecoinf.2025.103183" TargetMode="External" /><Relationship Type="http://schemas.openxmlformats.org/officeDocument/2006/relationships/hyperlink" Id="rId108"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4" Target="https://doi.org/10.1016/j.tree.2015.03.014" TargetMode="External" /><Relationship Type="http://schemas.openxmlformats.org/officeDocument/2006/relationships/hyperlink" Id="rId152"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0"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58" Target="https://doi.org/10.1073/pnas.1408471111" TargetMode="External" /><Relationship Type="http://schemas.openxmlformats.org/officeDocument/2006/relationships/hyperlink" Id="rId124" Target="https://doi.org/10.1086/653667" TargetMode="External" /><Relationship Type="http://schemas.openxmlformats.org/officeDocument/2006/relationships/hyperlink" Id="rId138"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0" Target="https://doi.org/10.1098/rstb.2021.0063" TargetMode="External" /><Relationship Type="http://schemas.openxmlformats.org/officeDocument/2006/relationships/hyperlink" Id="rId132" Target="https://doi.org/10.1101/2024.01.30.578036" TargetMode="External" /><Relationship Type="http://schemas.openxmlformats.org/officeDocument/2006/relationships/hyperlink" Id="rId146"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6"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6"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4"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4" Target="https://doi.org/10.1111/geb.70113" TargetMode="External" /><Relationship Type="http://schemas.openxmlformats.org/officeDocument/2006/relationships/hyperlink" Id="rId156" Target="https://doi.org/10.1111/j.1365-2656.2008.01362.x" TargetMode="External" /><Relationship Type="http://schemas.openxmlformats.org/officeDocument/2006/relationships/hyperlink" Id="rId148"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2" Target="https://doi.org/10.1111/jbi.14127" TargetMode="External" /><Relationship Type="http://schemas.openxmlformats.org/officeDocument/2006/relationships/hyperlink" Id="rId144" Target="https://doi.org/10.1111/jbi.14734" TargetMode="External" /><Relationship Type="http://schemas.openxmlformats.org/officeDocument/2006/relationships/hyperlink" Id="rId120"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2"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6"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4"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0"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0"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2" Target="https://doi.org/10.32942/X2JW8K" TargetMode="External" /><Relationship Type="http://schemas.openxmlformats.org/officeDocument/2006/relationships/hyperlink" Id="rId47"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118" Target="https://doi.org/10.7717/peerj.251" TargetMode="External" /><Relationship Type="http://schemas.openxmlformats.org/officeDocument/2006/relationships/hyperlink" Id="rId122" Target="https://www.R-project.org/" TargetMode="External" /><Relationship Type="http://schemas.openxmlformats.org/officeDocument/2006/relationships/hyperlink" Id="rId12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Mapping Ecosystems or Models? Framework Choices Dominate Food Web Topology and Extinction Inferences</dc:title>
  <dc:creator>Tanya Strydom; Baran Karapunar; Jennifer A. Dunne; Pincelli M. Hull; Crispin T.S. Little; Catalina Pimiento; Andy Ridgwell; Andrew P. Beckerman; Alexander M. Dunhill</dc:creator>
  <cp:keywords>Network reconstruction, Macroecology, Ecological networks, Interaction turnover, Trophic organisation, Palaeoecology, Ecosystem resilience</cp:keywords>
  <dcterms:created xsi:type="dcterms:W3CDTF">2026-07-04T18:02:51Z</dcterms:created>
  <dcterms:modified xsi:type="dcterms:W3CDTF">2026-07-04T18:02:51Z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extinctions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https://www.zotero.org/styles/global-ecology-and-biogeography</vt:lpwstr>
  </property>
  <property fmtid="{D5CDD505-2E9C-101B-9397-08002B2CF9AE}" pid="11" name="date">
    <vt:lpwstr>2026-07-04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