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0.png" ContentType="image/png"/>
  <Override PartName="/word/media/rId3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structure conditions ecological inference in food web reconstruction</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2026-03-02</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animal communities.</w:t>
      </w:r>
    </w:p>
    <w:p>
      <w:pPr>
        <w:pStyle w:val="Abstract"/>
      </w:pPr>
      <w:r>
        <w:t xml:space="preserve">Methods</w:t>
      </w:r>
    </w:p>
    <w:p>
      <w:pPr>
        <w:pStyle w:val="Abstract"/>
      </w:pPr>
      <w:r>
        <w:t xml:space="preserve">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Yet most ecological networks are not fully observed as interaction data are incomplete and sampling is uneven across historical and biogeographic contexts, across both contemporary and deep-time</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models systematically generate different trophic configurations, then comparative analyses risk conflating ecological differences among communities with artefacts introduced by modelling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models encode distinct structural priors over interaction topology, then differences among communities may reflect modelling assumptions rather than ecological processes. We therefore test whether macroecological inference derived from ecological networks is robust to variation in reconstruction framework, asking which aspects of network-based inference are stable across plausible representations of interaction structure and which are intrinsically model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Dunne et al., 2008; Dunne et al., 2014; Karapunar et al., 2026; Roopnarine, 2006)</w:t>
      </w:r>
      <w:r>
        <w:t xml:space="preserve">, rendering modelling assumptions transparent. Against this stringency, here we re-evaluate inferences made by</w:t>
      </w:r>
      <w:r>
        <w:t xml:space="preserve"> </w:t>
      </w:r>
      <w:r>
        <w:t xml:space="preserve">Dunhill et al. (2024)</w:t>
      </w:r>
      <w:r>
        <w:t xml:space="preserve"> </w:t>
      </w:r>
      <w:r>
        <w:t xml:space="preserve">on community structure and extinction dynamics during the early Toarcian extinction event (~183 Ma), a volcanic-driven hyperthermal and marine crisis in the Early Jurassic</w:t>
      </w:r>
      <w:r>
        <w:t xml:space="preserve"> </w:t>
      </w:r>
      <w:r>
        <w:t xml:space="preserve">(Kemp et al., 2024)</w:t>
      </w:r>
      <w:r>
        <w:t xml:space="preserve">. Crucially, this re-evaluation allows us to test a pivotal but often overlooked possibility - that the ecological narratives regarding community stability or collapse might be as much a product of the specific reconstruction method chosen as they are of the fossil data itself. By applying alternative models, we can determine if</w:t>
      </w:r>
      <w:r>
        <w:t xml:space="preserve"> </w:t>
      </w:r>
      <w:r>
        <w:t xml:space="preserve">Dunhill et al. (2024)</w:t>
      </w:r>
      <w:r>
        <w:t xml:space="preserve"> </w:t>
      </w:r>
      <w:r>
        <w:t xml:space="preserve">conclusions remain robust or if a different choice of reconstruction method would have led to fundamentally different inferences about extinction dynamics. Using four successive communities, we reconstruct ecological networks under six contrasting model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model used, this design isolates the influence of model constrained structure on inferred food web organisation and extinction dynamics, allowing us to distinguish ecological signals that are robust from those that are reconstruction contingent.</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This interval encompasses a major volcanic-driven hyperthermal and marine extinction event. To capture network dynamics across this transition, we defined four successive paleo-communities: pre-extinction (Pliensbachian), post-extinction (Lower Toarcian), early recovery, and late recovery (Middle/Upper Toarcian). Each taxon was characterized using their size and Bambach’s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By restricting our analysis to a single basin with consistent lithofacies, we controlled for biogeographic noise, ensuring that structural shifts across the four time-bins reflect localised ecological responses to environmental stress rather than sampling or facies bias.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research (</w:t>
      </w:r>
      <w:r>
        <w:rPr>
          <w:i/>
          <w:iCs/>
        </w:rPr>
        <w:t xml:space="preserve">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 currently uses models from within the feasibility space. That is, the model reconstructions identify and encode the entire feasible diet of a species to build the network. These methods, however, represent only a subset of the broader spectrum of network construction approaches. Here, we present a suite of methods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The methods include a) structural models that create species agnostic networks that are structurally ‘correct’ by assigning links between nodes based on assumptions of link distributions; and b) realised models that create networks where links between species are constrained based on some form of ‘species choice’</w:t>
      </w:r>
      <w:r>
        <w:t xml:space="preserve"> </w:t>
      </w:r>
      <w:r>
        <w:rPr>
          <w:i/>
          <w:iCs/>
        </w:rPr>
        <w:t xml:space="preserve">e.g.,</w:t>
      </w:r>
      <w:r>
        <w:t xml:space="preserve"> </w:t>
      </w:r>
      <w:r>
        <w:t xml:space="preserve">maximising energy gain.</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(feasibility,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model assumptions, parameterisation, and link-generation rules are provided in Supplementary Material S1. For each community, 100 networks were generated per model per successive community (n = 2400) to capture stochastic variation in link assignment. Where models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models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Variance partitioning was further assessed using permutational multivariate analysis of variance (PERMANOVA). Pairwise interaction turnover was quantified using link-based β-diversity was calculated following the framework of</w:t>
      </w:r>
      <w:r>
        <w:t xml:space="preserve"> </w:t>
      </w:r>
      <w:r>
        <w:t xml:space="preserve">Poisot et al. (2012)</w:t>
      </w:r>
      <w:r>
        <w:t xml:space="preserve"> </w:t>
      </w:r>
      <w:r>
        <w:t xml:space="preserve">among the four of the reconstruction frameworks (ADBM, ATN, body-size ratio, and PFIM). We excluded the purely structural random and niche models as they are inherently species agnostic. For each pair of reconstructed networks, we represented trophic interactions as binary adjacency matrices and calculated their dissimilarity. Specifically we looked at interaction rewiring among shared species (</w:t>
      </w:r>
      <m:oMath>
        <m:sSub>
          <m:e>
            <m:r>
              <m:t>β</m:t>
            </m:r>
          </m:e>
          <m:sub>
            <m:r>
              <m:t>O</m:t>
            </m:r>
            <m:r>
              <m:t>S</m:t>
            </m:r>
          </m:sub>
        </m:sSub>
      </m:oMath>
      <w:r>
        <w:t xml:space="preserve">), which allows separation of differences arising from altered interaction identities among species common to both networks. All calculations were performed for all model combinations within the same community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(τ) was used to quantify concordance in scenario ordering across models. Full methodological details are provided in the Supplementary Materials.</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 et al., 2017)</w:t>
      </w:r>
      <w:r>
        <w:t xml:space="preserve">. All statistical analyses, model fitting (MANOVA, PERMANOVA, GAMs), and figure production were performed in R v4.5.2</w:t>
      </w:r>
      <w:r>
        <w:t xml:space="preserve"> </w:t>
      </w:r>
      <w:r>
        <w:t xml:space="preserve">(R Core Team, 2024)</w:t>
      </w:r>
      <w:r>
        <w:t xml:space="preserve">. The empirical data, derived network datasets and code implementing network reconstruction, extinction simulations, and all analytical workflows is archived at [Zenodo DOI].</w:t>
      </w:r>
    </w:p>
    <w:bookmarkEnd w:id="18"/>
    <w:bookmarkEnd w:id="19"/>
    <w:bookmarkStart w:id="41" w:name="results"/>
    <w:p>
      <w:pPr>
        <w:pStyle w:val="Heading1"/>
      </w:pPr>
      <w:r>
        <w:t xml:space="preserve">3. Results</w:t>
      </w:r>
    </w:p>
    <w:p>
      <w:pPr>
        <w:pStyle w:val="FirstParagraph"/>
      </w:pPr>
      <w:r>
        <w:t xml:space="preserve">Results show that reconstruction approaches that appear similar when evaluated using global network metrics can yield fundamentally different ecological narratives when interrogated at the level of interactions and extinction dynamics. Across six network reconstruction approaches, inferred food 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the scale at which the comparison was made- approaches that were statistically similar in multivariate structural space (scale 1) often diverged in inferred interactions (scale 2) or extinction dynamics (scale 3). This demonstrates that structural similarity does not guarantee concordance in species-level diets or trophic roles.</w:t>
      </w:r>
    </w:p>
    <w:p>
      <w:pPr>
        <w:pStyle w:val="BodyText"/>
      </w:pPr>
      <w:r>
        <w:t xml:space="preserve">Model choice substantially influenced inferred extinction dynamics. Temporal trajectories of network collapse, interaction loss, and motif reorganisation differed among approaches. Although node-level extinction ranking were often broadly consistent, link-level outcomes and extinction inferences were highly sensitive to reconstruction assumptions. Together, these results show that ecological inferences drawn from networks depend critically on the reconstruction framework employed.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 web topology. Canonical discriminant analysis identified two dominant axes of variation, explaining 86% of between-model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267199"/>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(R² = 0.795, p &lt; 0.001), whereas temporal turnover across extinction phases explained a comparatively small proportion of variance (R² = 0.064, p &lt; 0.001). The model × time interaction contributed a further 7.1% of variance (R² = 0.071, p &lt; 0.001), indicating limited but significant time-dependent divergence among reconstruction frameworks. Thus, differences among modelling approaches were more than an order of magnitude greater than structural differences associated with ecological turnover through the extinction sequence, even if the Toarcian dataset was characterized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(R² = 0.848, p &lt; 0.001). These results demonstrate that the influence of model choice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exerted a significantly stronger influence on network topology than the ecological signal of species loss.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Table S3). While the extinction event (time bin) significantly altered network structure (p&lt;0.001), its relative importance remained secondary, typically explaining a smaller fraction of the total topological variation. This is clear in</w:t>
      </w:r>
      <w:r>
        <w:t xml:space="preserve"> </w:t>
      </w:r>
      <w:hyperlink w:anchor="fig-anova">
        <w:r>
          <w:rPr>
            <w:rStyle w:val="Hyperlink"/>
          </w:rPr>
          <w:t xml:space="preserve">Figure 2</w:t>
        </w:r>
      </w:hyperlink>
      <w:r>
        <w:t xml:space="preserve"> </w:t>
      </w:r>
      <w:r>
        <w:t xml:space="preserve">where all metrics are within the bottom-right (model-dominated) quadrant of this space, emphasising that framework assumptions outweigh the ecological signal of species loss. Furthermore, the high inter-model Coefficient of Variation (CV) observed for some metrics (Table S4, Figure S4) highlights a sensitivity. The properties that are influenced by time are also those upon which the models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4445000"/>
                  <wp:effectExtent b="0" l="0" r="0" t="0"/>
                  <wp:docPr descr="" title="" id="26" name="Picture"/>
                  <a:graphic>
                    <a:graphicData uri="http://schemas.openxmlformats.org/drawingml/2006/picture">
                      <pic:pic>
                        <pic:nvPicPr>
                          <pic:cNvPr descr="figures/ANOVA_summary.png" id="27" name="Picture"/>
                          <pic:cNvPicPr>
                            <a:picLocks noChangeArrowheads="1" noChangeAspect="1"/>
                          </pic:cNvPicPr>
                        </pic:nvPicPr>
                        <pic:blipFill>
                          <a:blip r:embed="rId25"/>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Scatter plot illustrating the influence of model (x-axis) and time (y-axis) across network metrics. The dashed 1:1 diagonal represents the parity of influence; metrics below this line are governed primarily by model choice and those above by time. Bubble size indicates the interaction between model and time while colour indicates inter-model disagreement (Mean CV%); greener bubbles signify metrics where models show the highest divergence in their structural predictions.</w:t>
            </w:r>
          </w:p>
          <w:bookmarkEnd w:id="28"/>
        </w:tc>
      </w:tr>
    </w:tbl>
    <w:bookmarkEnd w:id="29"/>
    <w:bookmarkStart w:id="34" w:name="Xca278d7ce6c574c14aff7ca9b02b1cbc12fc1e8"/>
    <w:p>
      <w:pPr>
        <w:pStyle w:val="Heading3"/>
      </w:pPr>
      <w:r>
        <w:t xml:space="preserve">3.1.3 Inferred pairwise interactions vary widely among models</w:t>
      </w:r>
    </w:p>
    <w:p>
      <w:pPr>
        <w:pStyle w:val="FirstParagraph"/>
      </w:pPr>
      <w:r>
        <w:t xml:space="preserve">Despite some models showing similar global metrics, specific pairwise interactions often differed. Pairwise</w:t>
      </w:r>
      <w:r>
        <w:t xml:space="preserve"> </w:t>
      </w:r>
      <m:oMath>
        <m:sSub>
          <m:e>
            <m:r>
              <m:t>β</m:t>
            </m:r>
          </m:e>
          <m:sub>
            <m:r>
              <m:t>O</m:t>
            </m:r>
            <m:r>
              <m:t>S</m:t>
            </m:r>
          </m:sub>
        </m:sSub>
      </m:oMath>
      <w:r>
        <w:t xml:space="preserve"> </w:t>
      </w:r>
      <w:r>
        <w:t xml:space="preserve">revealed that certain model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models. PFIM showed intermediate overlap with theoretical models. These results demonstrate that agreement in global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w:t>
            </w:r>
            <w:r>
              <w:t xml:space="preserve"> </w:t>
            </w:r>
            <m:oMath>
              <m:sSub>
                <m:e>
                  <m:r>
                    <m:t>β</m:t>
                  </m:r>
                </m:e>
                <m:sub>
                  <m:r>
                    <m:t>O</m:t>
                  </m:r>
                  <m:r>
                    <m:t>S</m:t>
                  </m:r>
                </m:sub>
              </m:sSub>
            </m:oMath>
            <w:r>
              <w:t xml:space="preserve"> </w:t>
            </w:r>
            <w:r>
              <w:t xml:space="preserve">in species interactions among four ecological network models (ADBM, ATN, Body-size ratio, and PFIM). Each cell represents the mean turnover value between a pair of models, with darker colours indicating greater dissimilarity in inferred interactions. High turnover values indicate strong disagreement in pairwise interactions between models, whereas lower values indicate greater similarity. Note that we do not include the Random or Niche model as these models are species agnostic and thus we cannot truly evaluate differences in pairwise interactions</w:t>
            </w:r>
          </w:p>
          <w:bookmarkEnd w:id="33"/>
        </w:tc>
      </w:tr>
    </w:tbl>
    <w:bookmarkEnd w:id="34"/>
    <w:bookmarkEnd w:id="35"/>
    <w:bookmarkStart w:id="40" w:name="X89fa4ae4a79b9f155d568a7de94120882524285"/>
    <w:p>
      <w:pPr>
        <w:pStyle w:val="Heading2"/>
      </w:pPr>
      <w:r>
        <w:t xml:space="preserve">3.2 Model choice influences inferred extinction dynamics</w:t>
      </w:r>
    </w:p>
    <w:p>
      <w:pPr>
        <w:pStyle w:val="FirstParagraph"/>
      </w:pPr>
      <w:r>
        <w:t xml:space="preserve">To evaluate how model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weak but generally positive concordance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models (Kendall’s</w:t>
      </w:r>
      <w:r>
        <w:t xml:space="preserve"> </w:t>
      </w:r>
      <m:oMath>
        <m:r>
          <m:t>τ</m:t>
        </m:r>
      </m:oMath>
      <w:r>
        <w:t xml:space="preserve"> </w:t>
      </w:r>
      <w:r>
        <w:t xml:space="preserve">= 0.26–0.90), reflecting broadly comparable node-level removal sequences. In contrast, link-level outcomes were far more variable (Kendall’s</w:t>
      </w:r>
      <w:r>
        <w:t xml:space="preserv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to evaluate within the context of deep-time paleoecological data. Because interactions in fossil ecosystems are never observed directly, they must explicitly be reconstructed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the overwhelming majority of variance in inferred food web topology, far outweighing the influence of temporal turnover across extinction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models reflects intrinsic differences in how interactions are organised rather than temporal shifts in community composition. Even after centring metrics within extinction phases to remove between-bin mean differences, model identity remained the dominant driver of structural variation. These results indicate that reconstruction approaches impose distinct</w:t>
      </w:r>
      <w:r>
        <w:t xml:space="preserve"> </w:t>
      </w:r>
      <w:r>
        <w:t xml:space="preserve">‘structural priors’</w:t>
      </w:r>
      <w:r>
        <w:t xml:space="preserve"> </w:t>
      </w:r>
      <w:r>
        <w:t xml:space="preserve">on ecological inference. These priors are not subtle; they propagate into emergent topology, species roles, and predictions of disturbance dynamics. Network structure is therefore not solely a property of ecological communities, but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Crucially, this dominance was not confined to multivariate summaries. Variance partitioning at the level of individual network properties revealed that model identity overwhelmingly structured specific ecological metrics, with partial η² values exceeding 0.9 for meso-scale motif composition and remaining consistently high across macro- and micro-scale properties. Thus the imprint of reconstruction framework is visible not only in aggregate topology but in the very structural features often interpreted as ecological signals — trophic height, competition, and variability in species roles. Notably, the few properties that exhibited detectable temporal sensitivity were also those with the greatest inter-model disagreement, indicating that temporal trends is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models encode different assumptions about constraint, optimisation, and topology, with these assumptions propagating into emergent metrics and dynamical predictions</w:t>
      </w:r>
      <w:r>
        <w:t xml:space="preserve"> </w:t>
      </w:r>
      <w:r>
        <w:t xml:space="preserve">(Allesina &amp; Tang, 2012; Dunne et al., 2002; Michalska-Smith &amp; Allesina, 2019; Poisot &amp; Gravel, 2014; Solé &amp; Montoya, 2001)</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Node-level extinction rankings were broadly consistent among model classes, whereas interaction-level outcomes and cascade trajectories were highly contingent on reconstruction approach. The predominance of reconstruction framework over temporal turnover (~80% vs. 6% variance explained) illustrates why coarse-grained patterns like node-level extinction rankings are more robust. Model-imposed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 et al. (2024)</w:t>
      </w:r>
      <w:r>
        <w:t xml:space="preserve"> </w:t>
      </w:r>
      <w:r>
        <w:t xml:space="preserve">selected a different reconstruction method, the resulting inferences regarding the drivers of extinctions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Dunne et al., 2002)</w:t>
      </w:r>
      <w:r>
        <w:t xml:space="preserve">. The apparent determinism of extinction cascades may therefore partly reflect reconstruction-imposed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model encodes a distinct set of ecological assumptions. The inferred topology and dynamics of a food web therefore reflect not only ecological data, but the theoretical assumptions embedded in the reconstruction framework. Disagreement among models does not imply that any single approach is ‘wrong’, but rather that different models capture different facets of ecological reality</w:t>
      </w:r>
      <w:r>
        <w:t xml:space="preserve"> </w:t>
      </w:r>
      <w:r>
        <w:t xml:space="preserve">(Petchey et al., 2011; Stouffer, 2019)</w:t>
      </w:r>
      <w:r>
        <w:t xml:space="preserve">. Disagreement among models does not imply that any single approach is</w:t>
      </w:r>
      <w:r>
        <w:t xml:space="preserve"> </w:t>
      </w:r>
      <w:r>
        <w:t xml:space="preserve">‘incorrect’</w:t>
      </w:r>
      <w:r>
        <w:t xml:space="preserve">. Rather, different models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model selection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(Gilman et al., 2010; Tylianakis et al., 2008)</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 et al., 2025; Marjakangas et al., 2025)</w:t>
      </w:r>
      <w:r>
        <w:t xml:space="preserve">. These studies frequently interpret variation in connectance, trophic height, interaction β-diversity, or robustness as indicators of ecological differentiation among regions or time intervals</w:t>
      </w:r>
      <w:r>
        <w:t xml:space="preserve"> </w:t>
      </w:r>
      <w:r>
        <w:t xml:space="preserve">(</w:t>
      </w:r>
      <w:r>
        <w:rPr>
          <w:i/>
          <w:iCs/>
        </w:rPr>
        <w:t xml:space="preserve">e.g.,</w:t>
      </w:r>
      <w:r>
        <w:t xml:space="preserve"> </w:t>
      </w:r>
      <w:r>
        <w:t xml:space="preserve">Pellissier et al., 2018; Trøjelsgaard &amp; Olesen, 2016)</w:t>
      </w:r>
      <w:r>
        <w:t xml:space="preserve">. Our results show that such differences can systematically alter inferred topology and disturbance dynamics even when species composition is held constant. This suggests that apparent differences in network structure across spatial or climate gradients may reflect variation in reconstruction as much as ecological process.</w:t>
      </w:r>
    </w:p>
    <w:p>
      <w:pPr>
        <w:pStyle w:val="BodyText"/>
      </w:pPr>
      <w:r>
        <w:t xml:space="preserve">Deep-time paleo-food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 et al. (2024)</w:t>
      </w:r>
      <w:r>
        <w:t xml:space="preserve">;</w:t>
      </w:r>
      <w:r>
        <w:t xml:space="preserve"> </w:t>
      </w:r>
      <w:r>
        <w:t xml:space="preserve">Karapunar et al. (2026)</w:t>
      </w:r>
      <w:r>
        <w:t xml:space="preserve">;</w:t>
      </w:r>
      <w:r>
        <w:t xml:space="preserve"> </w:t>
      </w:r>
      <w:r>
        <w:t xml:space="preserve">Smith et al. (2025)</w:t>
      </w:r>
      <w:r>
        <w:t xml:space="preserve">). Fossil networks therefore represent natural experiments for evaluating resilience, trophic reorganisation, and recovery following extreme environmental change. Studies of fossil food webs have demonstrated how network structure mediates extinction cascades and post-disturbance reassembly</w:t>
      </w:r>
      <w:r>
        <w:t xml:space="preserve"> </w:t>
      </w:r>
      <w:r>
        <w:t xml:space="preserve">(Dunne et al., 2008; Roopnarine, 2006)</w:t>
      </w:r>
      <w:r>
        <w:t xml:space="preserve">, providing empirical constraints on long-term ecological stability.</w:t>
      </w:r>
    </w:p>
    <w:p>
      <w:pPr>
        <w:pStyle w:val="BodyText"/>
      </w:pPr>
      <w:r>
        <w:t xml:space="preserve">However, our results emphasise that even in deep-time systems structural conclusions remain sensitive to modelling assumptions. Treating reconstructed networks as ensembles rather than single deterministic representations provides a more transparent framework for incorporating uncertainty into comparative macroecology and for using paleo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model class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model based assumptions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different reconstruction approaches systematically influence inferred food-web topology, interaction identity, and disturbance dynamics. Some coarse-grained patterns, such as relative species vulnerability, are comparatively robust across representations. In contrast, fine-scale interaction structure and cascade pathways are highly contingent on modelling assumptions.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modelling assumptions as much as ecological processes. Network reconstruction should thus be treated as an explicit component of hypothesis specification in comparative macroecology and biogeography.</w:t>
      </w:r>
    </w:p>
    <w:p>
      <w:pPr>
        <w:pStyle w:val="BodyText"/>
      </w:pPr>
      <w:r>
        <w:t xml:space="preserve">No single model captures the full complexity of ecological organisation, but neither are alternative models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model reconstruction as fundamental determinants of inference is critical for advancing food web ecology from descriptive reconstruction toward rigorous comparative synthesis.</w:t>
      </w:r>
    </w:p>
    <w:bookmarkEnd w:id="47"/>
    <w:bookmarkStart w:id="168" w:name="references"/>
    <w:p>
      <w:pPr>
        <w:pStyle w:val="Heading1"/>
      </w:pPr>
      <w:r>
        <w:t xml:space="preserve">References</w:t>
      </w:r>
    </w:p>
    <w:bookmarkStart w:id="167" w:name="refs"/>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50">
        <w:r>
          <w:rPr>
            <w:rStyle w:val="Hyperlink"/>
          </w:rPr>
          <w:t xml:space="preserve">https://doi.org/10.1111/j.1475-4983.2006.00611.x</w:t>
        </w:r>
      </w:hyperlink>
    </w:p>
    <w:bookmarkEnd w:id="51"/>
    <w:bookmarkStart w:id="53"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2">
        <w:r>
          <w:rPr>
            <w:rStyle w:val="Hyperlink"/>
          </w:rPr>
          <w:t xml:space="preserve">https://doi.org/10.1111/ele.70161</w:t>
        </w:r>
      </w:hyperlink>
    </w:p>
    <w:bookmarkEnd w:id="53"/>
    <w:bookmarkStart w:id="55"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4">
        <w:r>
          <w:rPr>
            <w:rStyle w:val="Hyperlink"/>
          </w:rPr>
          <w:t xml:space="preserve">https://doi.org/10.1371/journal.pcbi.1002321</w:t>
        </w:r>
      </w:hyperlink>
    </w:p>
    <w:bookmarkEnd w:id="55"/>
    <w:bookmarkStart w:id="57" w:name="ref-Bezanson2017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6">
        <w:r>
          <w:rPr>
            <w:rStyle w:val="Hyperlink"/>
          </w:rPr>
          <w:t xml:space="preserve">https://doi.org/10.1137/141000671</w:t>
        </w:r>
      </w:hyperlink>
    </w:p>
    <w:bookmarkEnd w:id="57"/>
    <w:bookmarkStart w:id="5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8">
        <w:r>
          <w:rPr>
            <w:rStyle w:val="Hyperlink"/>
          </w:rPr>
          <w:t xml:space="preserve">https://doi.org/10.1890/0012-9658(2006)87[2411:CBRINF]2.0.CO;2</w:t>
        </w:r>
      </w:hyperlink>
    </w:p>
    <w:bookmarkEnd w:id="59"/>
    <w:bookmarkStart w:id="61"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60">
        <w:r>
          <w:rPr>
            <w:rStyle w:val="Hyperlink"/>
          </w:rPr>
          <w:t xml:space="preserve">https://doi.org/10.1371/journal.pone.0112903</w:t>
        </w:r>
      </w:hyperlink>
    </w:p>
    <w:bookmarkEnd w:id="61"/>
    <w:bookmarkStart w:id="63"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62">
        <w:r>
          <w:rPr>
            <w:rStyle w:val="Hyperlink"/>
          </w:rPr>
          <w:t xml:space="preserve">https://ecoevorxiv.org/repository/view/5348/</w:t>
        </w:r>
      </w:hyperlink>
    </w:p>
    <w:bookmarkEnd w:id="63"/>
    <w:bookmarkStart w:id="65"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4">
        <w:r>
          <w:rPr>
            <w:rStyle w:val="Hyperlink"/>
          </w:rPr>
          <w:t xml:space="preserve">https://doi.org/10.1016/j.baae.2011.09.008</w:t>
        </w:r>
      </w:hyperlink>
    </w:p>
    <w:bookmarkEnd w:id="65"/>
    <w:bookmarkStart w:id="67"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6">
        <w:r>
          <w:rPr>
            <w:rStyle w:val="Hyperlink"/>
          </w:rPr>
          <w:t xml:space="preserve">https://doi.org/10.1111/brv.12433</w:t>
        </w:r>
      </w:hyperlink>
    </w:p>
    <w:bookmarkEnd w:id="67"/>
    <w:bookmarkStart w:id="69"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8">
        <w:r>
          <w:rPr>
            <w:rStyle w:val="Hyperlink"/>
          </w:rPr>
          <w:t xml:space="preserve">https://doi.org/10.1038/s41467-024-53000-2</w:t>
        </w:r>
      </w:hyperlink>
    </w:p>
    <w:bookmarkEnd w:id="69"/>
    <w:bookmarkStart w:id="71"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70">
        <w:r>
          <w:rPr>
            <w:rStyle w:val="Hyperlink"/>
          </w:rPr>
          <w:t xml:space="preserve">https://doi.org/10.1098/rspb.2013.3280</w:t>
        </w:r>
      </w:hyperlink>
    </w:p>
    <w:bookmarkEnd w:id="71"/>
    <w:bookmarkStart w:id="73"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2">
        <w:r>
          <w:rPr>
            <w:rStyle w:val="Hyperlink"/>
          </w:rPr>
          <w:t xml:space="preserve">https://doi.org/10.1371/journal.pbio.0060102</w:t>
        </w:r>
      </w:hyperlink>
    </w:p>
    <w:bookmarkEnd w:id="73"/>
    <w:bookmarkStart w:id="74"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4"/>
    <w:bookmarkStart w:id="76"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5">
        <w:r>
          <w:rPr>
            <w:rStyle w:val="Hyperlink"/>
          </w:rPr>
          <w:t xml:space="preserve">https://doi.org/10.1214/19-AOAS1296</w:t>
        </w:r>
      </w:hyperlink>
    </w:p>
    <w:bookmarkEnd w:id="76"/>
    <w:bookmarkStart w:id="78"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7">
        <w:r>
          <w:rPr>
            <w:rStyle w:val="Hyperlink"/>
          </w:rPr>
          <w:t xml:space="preserve">https://doi.org/10.5486/pmd.1959.6.3-4.12</w:t>
        </w:r>
      </w:hyperlink>
    </w:p>
    <w:bookmarkEnd w:id="78"/>
    <w:bookmarkStart w:id="80"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9">
        <w:r>
          <w:rPr>
            <w:rStyle w:val="Hyperlink"/>
          </w:rPr>
          <w:t xml:space="preserve">https://doi.org/10.1126/science.abn4012</w:t>
        </w:r>
      </w:hyperlink>
    </w:p>
    <w:bookmarkEnd w:id="80"/>
    <w:bookmarkStart w:id="82"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81">
        <w:r>
          <w:rPr>
            <w:rStyle w:val="Hyperlink"/>
          </w:rPr>
          <w:t xml:space="preserve">https://doi.org/10.1111/oik.02256</w:t>
        </w:r>
      </w:hyperlink>
    </w:p>
    <w:bookmarkEnd w:id="82"/>
    <w:bookmarkStart w:id="84"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83">
        <w:r>
          <w:rPr>
            <w:rStyle w:val="Hyperlink"/>
          </w:rPr>
          <w:t xml:space="preserve">https://doi.org/10.1111/2041-210X.14212</w:t>
        </w:r>
      </w:hyperlink>
    </w:p>
    <w:bookmarkEnd w:id="84"/>
    <w:bookmarkStart w:id="86"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5">
        <w:r>
          <w:rPr>
            <w:rStyle w:val="Hyperlink"/>
          </w:rPr>
          <w:t xml:space="preserve">https://doi.org/10.1038/s44358-025-00056-7</w:t>
        </w:r>
      </w:hyperlink>
    </w:p>
    <w:bookmarkEnd w:id="86"/>
    <w:bookmarkStart w:id="88" w:name="ref-gilman2010"/>
    <w:p>
      <w:pPr>
        <w:pStyle w:val="Bibliography"/>
      </w:pPr>
      <w:r>
        <w:t xml:space="preserve">Gilman, S. E., Urban, M. C., Tewksbury, J., Gilchrist, G. W., &amp; Holt, R. D. (2010). A framework for community interactions under climate change.</w:t>
      </w:r>
      <w:r>
        <w:t xml:space="preserve"> </w:t>
      </w:r>
      <w:r>
        <w:rPr>
          <w:i/>
          <w:iCs/>
        </w:rPr>
        <w:t xml:space="preserve">Trends in Ecology &amp; Evolution</w:t>
      </w:r>
      <w:r>
        <w:t xml:space="preserve">,</w:t>
      </w:r>
      <w:r>
        <w:t xml:space="preserve"> </w:t>
      </w:r>
      <w:r>
        <w:rPr>
          <w:i/>
          <w:iCs/>
        </w:rPr>
        <w:t xml:space="preserve">25</w:t>
      </w:r>
      <w:r>
        <w:t xml:space="preserve">(6), 325–331.</w:t>
      </w:r>
      <w:r>
        <w:t xml:space="preserve"> </w:t>
      </w:r>
      <w:hyperlink r:id="rId87">
        <w:r>
          <w:rPr>
            <w:rStyle w:val="Hyperlink"/>
          </w:rPr>
          <w:t xml:space="preserve">https://doi.org/10.1016/j.tree.2010.03.002</w:t>
        </w:r>
      </w:hyperlink>
    </w:p>
    <w:bookmarkEnd w:id="88"/>
    <w:bookmarkStart w:id="90"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9">
        <w:r>
          <w:rPr>
            <w:rStyle w:val="Hyperlink"/>
          </w:rPr>
          <w:t xml:space="preserve">https://doi.org/10.1111/ecog.04006</w:t>
        </w:r>
      </w:hyperlink>
    </w:p>
    <w:bookmarkEnd w:id="90"/>
    <w:bookmarkStart w:id="92"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91">
        <w:r>
          <w:rPr>
            <w:rStyle w:val="Hyperlink"/>
          </w:rPr>
          <w:t xml:space="preserve">https://doi.org/10.1146/annurev-ecolsys-012220-120819</w:t>
        </w:r>
      </w:hyperlink>
    </w:p>
    <w:bookmarkEnd w:id="92"/>
    <w:bookmarkStart w:id="94"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93">
        <w:r>
          <w:rPr>
            <w:rStyle w:val="Hyperlink"/>
          </w:rPr>
          <w:t xml:space="preserve">https://doi.org/10.1111/gcb.70061</w:t>
        </w:r>
      </w:hyperlink>
    </w:p>
    <w:bookmarkEnd w:id="94"/>
    <w:bookmarkStart w:id="96"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95">
        <w:r>
          <w:rPr>
            <w:rStyle w:val="Hyperlink"/>
          </w:rPr>
          <w:t xml:space="preserve">https://doi.org/10.1111/1365-2435.12763</w:t>
        </w:r>
      </w:hyperlink>
    </w:p>
    <w:bookmarkEnd w:id="96"/>
    <w:bookmarkStart w:id="98" w:name="ref-karapunar2026"/>
    <w:p>
      <w:pPr>
        <w:pStyle w:val="Bibliography"/>
      </w:pPr>
      <w:r>
        <w:t xml:space="preserve">Karapunar, B., Strydom, T., Beckerman, A. P., Ridgwell, A., Wignall, P. B., Dunne, J. A., Little, C. T. S., Hull, P., Pimiento, C., &amp; Dunhill, A. (2026). No global collapse of food webs across the permian-triassic mass extinction.</w:t>
      </w:r>
      <w:r>
        <w:t xml:space="preserve"> </w:t>
      </w:r>
      <w:r>
        <w:rPr>
          <w:i/>
          <w:iCs/>
        </w:rPr>
        <w:t xml:space="preserve">BioRxiv</w:t>
      </w:r>
      <w:r>
        <w:t xml:space="preserve">.</w:t>
      </w:r>
      <w:r>
        <w:t xml:space="preserve"> </w:t>
      </w:r>
      <w:hyperlink r:id="rId97">
        <w:r>
          <w:rPr>
            <w:rStyle w:val="Hyperlink"/>
          </w:rPr>
          <w:t xml:space="preserve">https://doi.org/10.64898/2026.02.24.707709</w:t>
        </w:r>
      </w:hyperlink>
    </w:p>
    <w:bookmarkEnd w:id="98"/>
    <w:bookmarkStart w:id="100" w:name="ref-kemp2024"/>
    <w:p>
      <w:pPr>
        <w:pStyle w:val="Bibliography"/>
      </w:pPr>
      <w:r>
        <w:t xml:space="preserve">Kemp, D. B., Han, Z., Hu, X., Chen, W., Jin, S., Izumi, K., Yan, Q., Baranyi, V., Jin, X., Corso, J. D., &amp; Ge, Y. (2024). Global hydroclimate perturbations during the toarcian oceanic anoxic event.</w:t>
      </w:r>
      <w:r>
        <w:t xml:space="preserve"> </w:t>
      </w:r>
      <w:r>
        <w:rPr>
          <w:i/>
          <w:iCs/>
        </w:rPr>
        <w:t xml:space="preserve">Earth-Science Reviews</w:t>
      </w:r>
      <w:r>
        <w:t xml:space="preserve">,</w:t>
      </w:r>
      <w:r>
        <w:t xml:space="preserve"> </w:t>
      </w:r>
      <w:r>
        <w:rPr>
          <w:i/>
          <w:iCs/>
        </w:rPr>
        <w:t xml:space="preserve">258</w:t>
      </w:r>
      <w:r>
        <w:t xml:space="preserve">, 104946.</w:t>
      </w:r>
      <w:r>
        <w:t xml:space="preserve"> </w:t>
      </w:r>
      <w:hyperlink r:id="rId99">
        <w:r>
          <w:rPr>
            <w:rStyle w:val="Hyperlink"/>
          </w:rPr>
          <w:t xml:space="preserve">https://doi.org/10.1016/j.earscirev.2024.104946</w:t>
        </w:r>
      </w:hyperlink>
    </w:p>
    <w:bookmarkEnd w:id="100"/>
    <w:bookmarkStart w:id="102" w:name="ref-marjakangas2025"/>
    <w:p>
      <w:pPr>
        <w:pStyle w:val="Bibliography"/>
      </w:pPr>
      <w:r>
        <w:t xml:space="preserve">Marjakangas, E.-L., Dalsgaard, B., &amp; Ordonez, A. (2025). Fundamental interaction niches: Towards a functional understanding of ecological networks’ resilience.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101">
        <w:r>
          <w:rPr>
            <w:rStyle w:val="Hyperlink"/>
          </w:rPr>
          <w:t xml:space="preserve">https://doi.org/10.1111/ele.70146</w:t>
        </w:r>
      </w:hyperlink>
    </w:p>
    <w:bookmarkEnd w:id="102"/>
    <w:bookmarkStart w:id="104"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103">
        <w:r>
          <w:rPr>
            <w:rStyle w:val="Hyperlink"/>
          </w:rPr>
          <w:t xml:space="preserve">https://doi.org/10.1371/journal.pcbi.1007076</w:t>
        </w:r>
      </w:hyperlink>
    </w:p>
    <w:bookmarkEnd w:id="104"/>
    <w:bookmarkStart w:id="106"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105">
        <w:r>
          <w:rPr>
            <w:rStyle w:val="Hyperlink"/>
          </w:rPr>
          <w:t xml:space="preserve">https://doi.org/10.1126/science.298.5594.824</w:t>
        </w:r>
      </w:hyperlink>
    </w:p>
    <w:bookmarkEnd w:id="106"/>
    <w:bookmarkStart w:id="108"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07">
        <w:r>
          <w:rPr>
            <w:rStyle w:val="Hyperlink"/>
          </w:rPr>
          <w:t xml:space="preserve">https://doi.org/10.1016/j.tree.2015.03.014</w:t>
        </w:r>
      </w:hyperlink>
    </w:p>
    <w:bookmarkEnd w:id="108"/>
    <w:bookmarkStart w:id="110" w:name="ref-pellissier2018"/>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109">
        <w:r>
          <w:rPr>
            <w:rStyle w:val="Hyperlink"/>
          </w:rPr>
          <w:t xml:space="preserve">https://doi.org/10.1111/brv.12366</w:t>
        </w:r>
      </w:hyperlink>
    </w:p>
    <w:bookmarkEnd w:id="110"/>
    <w:bookmarkStart w:id="112"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111">
        <w:r>
          <w:rPr>
            <w:rStyle w:val="Hyperlink"/>
          </w:rPr>
          <w:t xml:space="preserve">https://doi.org/10.1101/2025.10.08.681159</w:t>
        </w:r>
      </w:hyperlink>
    </w:p>
    <w:bookmarkEnd w:id="112"/>
    <w:bookmarkStart w:id="114"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13">
        <w:r>
          <w:rPr>
            <w:rStyle w:val="Hyperlink"/>
          </w:rPr>
          <w:t xml:space="preserve">https://doi.org/10.1073/pnas.0710672105</w:t>
        </w:r>
      </w:hyperlink>
    </w:p>
    <w:bookmarkEnd w:id="114"/>
    <w:bookmarkStart w:id="116"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15">
        <w:r>
          <w:rPr>
            <w:rStyle w:val="Hyperlink"/>
          </w:rPr>
          <w:t xml:space="preserve">https://doi.org/10.1016/j.jtbi.2011.03.019</w:t>
        </w:r>
      </w:hyperlink>
    </w:p>
    <w:bookmarkEnd w:id="116"/>
    <w:bookmarkStart w:id="118"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17">
        <w:r>
          <w:rPr>
            <w:rStyle w:val="Hyperlink"/>
          </w:rPr>
          <w:t xml:space="preserve">https://doi.org/10.1111/2041-210X.14061</w:t>
        </w:r>
      </w:hyperlink>
    </w:p>
    <w:bookmarkEnd w:id="118"/>
    <w:bookmarkStart w:id="120"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19">
        <w:r>
          <w:rPr>
            <w:rStyle w:val="Hyperlink"/>
          </w:rPr>
          <w:t xml:space="preserve">https://doi.org/10.1111/jbi.14127</w:t>
        </w:r>
      </w:hyperlink>
    </w:p>
    <w:bookmarkEnd w:id="120"/>
    <w:bookmarkStart w:id="122"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21">
        <w:r>
          <w:rPr>
            <w:rStyle w:val="Hyperlink"/>
          </w:rPr>
          <w:t xml:space="preserve">https://doi.org/10.1111/ele.12002</w:t>
        </w:r>
      </w:hyperlink>
    </w:p>
    <w:bookmarkEnd w:id="122"/>
    <w:bookmarkStart w:id="124"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23">
        <w:r>
          <w:rPr>
            <w:rStyle w:val="Hyperlink"/>
          </w:rPr>
          <w:t xml:space="preserve">https://doi.org/10</w:t>
        </w:r>
      </w:hyperlink>
    </w:p>
    <w:bookmarkEnd w:id="124"/>
    <w:bookmarkStart w:id="126"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25">
        <w:r>
          <w:rPr>
            <w:rStyle w:val="Hyperlink"/>
          </w:rPr>
          <w:t xml:space="preserve">https://doi.org/10.7717/peerj.251</w:t>
        </w:r>
      </w:hyperlink>
    </w:p>
    <w:bookmarkEnd w:id="126"/>
    <w:bookmarkStart w:id="128"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27">
        <w:r>
          <w:rPr>
            <w:rStyle w:val="Hyperlink"/>
          </w:rPr>
          <w:t xml:space="preserve">https://doi.org/10.1111/oik.01719</w:t>
        </w:r>
      </w:hyperlink>
    </w:p>
    <w:bookmarkEnd w:id="128"/>
    <w:bookmarkStart w:id="130"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129">
        <w:r>
          <w:rPr>
            <w:rStyle w:val="Hyperlink"/>
          </w:rPr>
          <w:t xml:space="preserve">https://www.R-project.org/</w:t>
        </w:r>
      </w:hyperlink>
    </w:p>
    <w:bookmarkEnd w:id="130"/>
    <w:bookmarkStart w:id="132"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31">
        <w:r>
          <w:rPr>
            <w:rStyle w:val="Hyperlink"/>
          </w:rPr>
          <w:t xml:space="preserve">https://doi.org/10.1086/653667</w:t>
        </w:r>
      </w:hyperlink>
    </w:p>
    <w:bookmarkEnd w:id="132"/>
    <w:bookmarkStart w:id="134"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33">
        <w:r>
          <w:rPr>
            <w:rStyle w:val="Hyperlink"/>
          </w:rPr>
          <w:t xml:space="preserve">https://www.jstor.org/stable/4096814</w:t>
        </w:r>
      </w:hyperlink>
    </w:p>
    <w:bookmarkEnd w:id="134"/>
    <w:bookmarkStart w:id="136"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35">
        <w:r>
          <w:rPr>
            <w:rStyle w:val="Hyperlink"/>
          </w:rPr>
          <w:t xml:space="preserve">https://doi.org/10.1016/j.ecoinf.2025.103183</w:t>
        </w:r>
      </w:hyperlink>
    </w:p>
    <w:bookmarkEnd w:id="136"/>
    <w:bookmarkStart w:id="138"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37">
        <w:r>
          <w:rPr>
            <w:rStyle w:val="Hyperlink"/>
          </w:rPr>
          <w:t xml:space="preserve">https://doi.org/10.1101/2024.01.30.578036</w:t>
        </w:r>
      </w:hyperlink>
    </w:p>
    <w:bookmarkEnd w:id="138"/>
    <w:bookmarkStart w:id="140" w:name="ref-smith2025"/>
    <w:p>
      <w:pPr>
        <w:pStyle w:val="Bibliography"/>
      </w:pPr>
      <w:r>
        <w:t xml:space="preserve">Smith, Q. A., Tomé, C. P., Gearty, W., Smith, F. A., Shizuka, D., &amp; Lyons, S. K. (2025). Consequences of the megafauna extinction: Changes in food web networks on the edwards plateau across the pleistocene</w:t>
      </w:r>
      <w:r>
        <w:t xml:space="preserve">holocene transition.</w:t>
      </w:r>
      <w:r>
        <w:t xml:space="preserve"> </w:t>
      </w:r>
      <w:r>
        <w:rPr>
          <w:i/>
          <w:iCs/>
        </w:rPr>
        <w:t xml:space="preserve">Global Ecology and Biogeography</w:t>
      </w:r>
      <w:r>
        <w:t xml:space="preserve">,</w:t>
      </w:r>
      <w:r>
        <w:t xml:space="preserve"> </w:t>
      </w:r>
      <w:r>
        <w:rPr>
          <w:i/>
          <w:iCs/>
        </w:rPr>
        <w:t xml:space="preserve">34</w:t>
      </w:r>
      <w:r>
        <w:t xml:space="preserve">(12), e70113.</w:t>
      </w:r>
      <w:r>
        <w:t xml:space="preserve"> </w:t>
      </w:r>
      <w:hyperlink r:id="rId139">
        <w:r>
          <w:rPr>
            <w:rStyle w:val="Hyperlink"/>
          </w:rPr>
          <w:t xml:space="preserve">https://doi.org/10.1111/geb.70113</w:t>
        </w:r>
      </w:hyperlink>
    </w:p>
    <w:bookmarkEnd w:id="140"/>
    <w:bookmarkStart w:id="142"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41">
        <w:r>
          <w:rPr>
            <w:rStyle w:val="Hyperlink"/>
          </w:rPr>
          <w:t xml:space="preserve">https://doi.org/10.1098/rspb.2001.1767</w:t>
        </w:r>
      </w:hyperlink>
    </w:p>
    <w:bookmarkEnd w:id="142"/>
    <w:bookmarkStart w:id="144"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43">
        <w:r>
          <w:rPr>
            <w:rStyle w:val="Hyperlink"/>
          </w:rPr>
          <w:t xml:space="preserve">https://doi.org/10.1111/1365-2656.12949</w:t>
        </w:r>
      </w:hyperlink>
    </w:p>
    <w:bookmarkEnd w:id="144"/>
    <w:bookmarkStart w:id="146"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45">
        <w:r>
          <w:rPr>
            <w:rStyle w:val="Hyperlink"/>
          </w:rPr>
          <w:t xml:space="preserve">https://doi.org/10.1098/rspb.2007.0571</w:t>
        </w:r>
      </w:hyperlink>
    </w:p>
    <w:bookmarkEnd w:id="146"/>
    <w:bookmarkStart w:id="148"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47">
        <w:r>
          <w:rPr>
            <w:rStyle w:val="Hyperlink"/>
          </w:rPr>
          <w:t xml:space="preserve">https://doi.org/10.1098/rstb.2021.0063</w:t>
        </w:r>
      </w:hyperlink>
    </w:p>
    <w:bookmarkEnd w:id="148"/>
    <w:bookmarkStart w:id="150"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49">
        <w:r>
          <w:rPr>
            <w:rStyle w:val="Hyperlink"/>
          </w:rPr>
          <w:t xml:space="preserve">https://doi.org/10.32942/X2JW8K</w:t>
        </w:r>
      </w:hyperlink>
    </w:p>
    <w:bookmarkEnd w:id="150"/>
    <w:bookmarkStart w:id="152"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51">
        <w:r>
          <w:rPr>
            <w:rStyle w:val="Hyperlink"/>
          </w:rPr>
          <w:t xml:space="preserve">https://doi.org/10.1111/jbi.14734</w:t>
        </w:r>
      </w:hyperlink>
    </w:p>
    <w:bookmarkEnd w:id="152"/>
    <w:bookmarkStart w:id="154"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53">
        <w:r>
          <w:rPr>
            <w:rStyle w:val="Hyperlink"/>
          </w:rPr>
          <w:t xml:space="preserve">https://doi.org/10.1111/1365-2435.12710</w:t>
        </w:r>
      </w:hyperlink>
    </w:p>
    <w:bookmarkEnd w:id="154"/>
    <w:bookmarkStart w:id="156" w:name="ref-tylianakis2008"/>
    <w:p>
      <w:pPr>
        <w:pStyle w:val="Bibliography"/>
      </w:pPr>
      <w:r>
        <w:t xml:space="preserve">Tylianakis, J. M., Didham, R. K., Bascompte, J., &amp; Wardle, D. A. (2008). Global change and species interactions in terrestrial ecosystems.</w:t>
      </w:r>
      <w:r>
        <w:t xml:space="preserve"> </w:t>
      </w:r>
      <w:r>
        <w:rPr>
          <w:i/>
          <w:iCs/>
        </w:rPr>
        <w:t xml:space="preserve">Ecology Letters</w:t>
      </w:r>
      <w:r>
        <w:t xml:space="preserve">,</w:t>
      </w:r>
      <w:r>
        <w:t xml:space="preserve"> </w:t>
      </w:r>
      <w:r>
        <w:rPr>
          <w:i/>
          <w:iCs/>
        </w:rPr>
        <w:t xml:space="preserve">11</w:t>
      </w:r>
      <w:r>
        <w:t xml:space="preserve">(12), 1351–1363.</w:t>
      </w:r>
      <w:r>
        <w:t xml:space="preserve"> </w:t>
      </w:r>
      <w:hyperlink r:id="rId155">
        <w:r>
          <w:rPr>
            <w:rStyle w:val="Hyperlink"/>
          </w:rPr>
          <w:t xml:space="preserve">https://doi.org/10.1111/j.1461-0248.2008.01250.x</w:t>
        </w:r>
      </w:hyperlink>
    </w:p>
    <w:bookmarkEnd w:id="156"/>
    <w:bookmarkStart w:id="158"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57">
        <w:r>
          <w:rPr>
            <w:rStyle w:val="Hyperlink"/>
          </w:rPr>
          <w:t xml:space="preserve">https://doi.org/10.1146/annurev-ecolsys-110316-022821</w:t>
        </w:r>
      </w:hyperlink>
    </w:p>
    <w:bookmarkEnd w:id="158"/>
    <w:bookmarkStart w:id="160"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59">
        <w:r>
          <w:rPr>
            <w:rStyle w:val="Hyperlink"/>
          </w:rPr>
          <w:t xml:space="preserve">https://doi.org/10.1140/epjb/e2004-00122-1</w:t>
        </w:r>
      </w:hyperlink>
    </w:p>
    <w:bookmarkEnd w:id="160"/>
    <w:bookmarkStart w:id="162"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61">
        <w:r>
          <w:rPr>
            <w:rStyle w:val="Hyperlink"/>
          </w:rPr>
          <w:t xml:space="preserve">https://doi.org/10.1038/35004572</w:t>
        </w:r>
      </w:hyperlink>
    </w:p>
    <w:bookmarkEnd w:id="162"/>
    <w:bookmarkStart w:id="164"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63">
        <w:r>
          <w:rPr>
            <w:rStyle w:val="Hyperlink"/>
          </w:rPr>
          <w:t xml:space="preserve">https://doi.org/10.1111/j.1365-2656.2008.01362.x</w:t>
        </w:r>
      </w:hyperlink>
    </w:p>
    <w:bookmarkEnd w:id="164"/>
    <w:bookmarkStart w:id="166"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65">
        <w:r>
          <w:rPr>
            <w:rStyle w:val="Hyperlink"/>
          </w:rPr>
          <w:t xml:space="preserve">https://doi.org/10.1073/pnas.1408471111</w:t>
        </w:r>
      </w:hyperlink>
    </w:p>
    <w:bookmarkEnd w:id="166"/>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structure conditions ecological inference in food web reconstruction</dc:title>
  <dc:creator>Tanya Strydom; Baran Karapunar; Andrew P. Beckerman; Alexander Dunhill</dc:creator>
  <cp:keywords>Ecological networks, Biotic interactions, Community assembly, Environmental gradients, Interaction turnover, Trophic organisation, Ecosystem resilience, Macroecology</cp:keywords>
  <dcterms:created xsi:type="dcterms:W3CDTF">2026-03-02T11:00:12Z</dcterms:created>
  <dcterms:modified xsi:type="dcterms:W3CDTF">2026-03-02T11:00:12Z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late Pliensbachian–late Toarcian, ~183 Ma).Major taxa studiedMarine animal communities.MethodsWe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models.ResultsReconstruction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2026-03-02</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