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 for Reconstructing Paleo Food Webs</w:t>
      </w:r>
    </w:p>
    <w:p>
      <w:pPr>
        <w:pStyle w:val="Author"/>
      </w:pPr>
      <w:r>
        <w:t xml:space="preserve">Tanya Strydom</w:t>
      </w:r>
    </w:p>
    <w:p>
      <w:pPr>
        <w:pStyle w:val="Author"/>
      </w:pPr>
      <w:r>
        <w:t xml:space="preserve">Andrew P. Beckerman</w:t>
      </w:r>
    </w:p>
    <w:p>
      <w:pPr>
        <w:pStyle w:val="Date"/>
      </w:pPr>
      <w:r>
        <w:t xml:space="preserve">2024-10-11</w:t>
      </w:r>
    </w:p>
    <w:p>
      <w:pPr>
        <w:pStyle w:val="AbstractTitle"/>
      </w:pPr>
      <w:r>
        <w:t xml:space="preserve">Abstract</w:t>
      </w:r>
    </w:p>
    <w:p>
      <w:pPr>
        <w:pStyle w:val="Abstract"/>
      </w:pPr>
      <w:r>
        <w:t xml:space="preserve">TODO.</w:t>
      </w:r>
    </w:p>
    <w:bookmarkStart w:id="20" w:name="why-build-paleo-food-webs"/>
    <w:p>
      <w:pPr>
        <w:pStyle w:val="Heading1"/>
      </w:pPr>
      <w:r>
        <w:t xml:space="preserve">1. Why build paleo food webs?</w:t>
      </w:r>
    </w:p>
    <w:p>
      <w:pPr>
        <w:numPr>
          <w:ilvl w:val="0"/>
          <w:numId w:val="1001"/>
        </w:numPr>
      </w:pPr>
      <w:r>
        <w:t xml:space="preserve">Because its interesting?</w:t>
      </w:r>
    </w:p>
    <w:p>
      <w:pPr>
        <w:numPr>
          <w:ilvl w:val="0"/>
          <w:numId w:val="1001"/>
        </w:numPr>
      </w:pPr>
      <w:r>
        <w:t xml:space="preserve">Value in using hindcasting to aid in forecasting.</w:t>
      </w:r>
      <w:r>
        <w:t xml:space="preserve"> </w:t>
      </w:r>
      <w:r>
        <w:rPr>
          <w:i/>
          <w:iCs/>
        </w:rPr>
        <w:t xml:space="preserve">e.g.,</w:t>
      </w:r>
      <w:r>
        <w:t xml:space="preserve"> </w:t>
      </w:r>
      <w:r>
        <w:t xml:space="preserve">the Toarcian ms</w:t>
      </w:r>
      <w:r>
        <w:t xml:space="preserve"> </w:t>
      </w:r>
      <w:r>
        <w:t xml:space="preserve">[1]</w:t>
      </w:r>
      <w:r>
        <w:t xml:space="preserve"> </w:t>
      </w:r>
      <w:r>
        <w:t xml:space="preserve">shows how we can use these paleo communities to understand trophic-level responses to extinctions.</w:t>
      </w:r>
    </w:p>
    <w:bookmarkEnd w:id="20"/>
    <w:bookmarkStart w:id="21" w:name="how-do-we-do-it"/>
    <w:p>
      <w:pPr>
        <w:pStyle w:val="Heading1"/>
      </w:pPr>
      <w:r>
        <w:t xml:space="preserve">2. How do we do it?</w:t>
      </w:r>
    </w:p>
    <w:p>
      <w:pPr>
        <w:numPr>
          <w:ilvl w:val="0"/>
          <w:numId w:val="1002"/>
        </w:numPr>
      </w:pPr>
      <w:r>
        <w:t xml:space="preserve">There is an evolving body of work that focuses on developing tools specifically for the task of predicting food webs.</w:t>
      </w:r>
    </w:p>
    <w:p>
      <w:pPr>
        <w:numPr>
          <w:ilvl w:val="0"/>
          <w:numId w:val="1002"/>
        </w:numPr>
      </w:pPr>
      <w:r>
        <w:t xml:space="preserve">There are a handful that have been developed specifically in the context of paleo settings</w:t>
      </w:r>
      <w:r>
        <w:t xml:space="preserve"> </w:t>
      </w:r>
      <w:r>
        <w:rPr>
          <w:i/>
          <w:iCs/>
        </w:rPr>
        <w:t xml:space="preserve">e.g.,</w:t>
      </w:r>
      <w:r>
        <w:t xml:space="preserve"> </w:t>
      </w:r>
      <w:r>
        <w:t xml:space="preserve">TODO but we can also talk about those that might have been developed/tested in contemporary settings but still have applicability in paleo ones.</w:t>
      </w:r>
    </w:p>
    <w:p>
      <w:pPr>
        <w:numPr>
          <w:ilvl w:val="0"/>
          <w:numId w:val="1002"/>
        </w:numPr>
      </w:pPr>
      <w:r>
        <w:t xml:space="preserve">Different underlying theory though</w:t>
      </w:r>
    </w:p>
    <w:p>
      <w:pPr>
        <w:pStyle w:val="Compact"/>
        <w:numPr>
          <w:ilvl w:val="1"/>
          <w:numId w:val="1003"/>
        </w:numPr>
      </w:pPr>
      <w:r>
        <w:t xml:space="preserve">Focus here on the idea of different</w:t>
      </w:r>
      <w:r>
        <w:t xml:space="preserve"> </w:t>
      </w:r>
      <w:r>
        <w:t xml:space="preserve">‘currencies’</w:t>
      </w:r>
      <w:r>
        <w:t xml:space="preserve"> </w:t>
      </w:r>
      <w:r>
        <w:t xml:space="preserve">but also aggregations - energy vs compatibility.</w:t>
      </w:r>
    </w:p>
    <w:p>
      <w:pPr>
        <w:numPr>
          <w:ilvl w:val="0"/>
          <w:numId w:val="1002"/>
        </w:numPr>
      </w:pPr>
      <w:r>
        <w:t xml:space="preserve">Insert brief overview of the different methods as they pertain to approach (so the T4T triangle)</w:t>
      </w:r>
    </w:p>
    <w:p>
      <w:pPr>
        <w:numPr>
          <w:ilvl w:val="0"/>
          <w:numId w:val="1002"/>
        </w:numPr>
      </w:pPr>
      <w:r>
        <w:t xml:space="preserve">Challenges we face (even in contemporary settings)?</w:t>
      </w:r>
    </w:p>
    <w:p>
      <w:pPr>
        <w:pStyle w:val="Compact"/>
        <w:numPr>
          <w:ilvl w:val="1"/>
          <w:numId w:val="1004"/>
        </w:numPr>
      </w:pPr>
      <w:r>
        <w:t xml:space="preserve">keep high level - I think the argument here should fall more in the data trade offs…</w:t>
      </w:r>
    </w:p>
    <w:bookmarkEnd w:id="21"/>
    <w:bookmarkStart w:id="22" w:name="understanding-how-networks-are-different"/>
    <w:p>
      <w:pPr>
        <w:pStyle w:val="Heading1"/>
      </w:pPr>
      <w:r>
        <w:t xml:space="preserve">3. Understanding how networks are different</w:t>
      </w:r>
    </w:p>
    <w:p>
      <w:pPr>
        <w:pStyle w:val="FirstParagraph"/>
      </w:pPr>
      <w:r>
        <w:t xml:space="preserve">It is important to be aware that networks can be configured in different ways depending on how the interactions are defined (Strydom, in prep). Basically we have metawebs, which represent</w:t>
      </w:r>
      <w:r>
        <w:t xml:space="preserve"> </w:t>
      </w:r>
      <w:r>
        <w:rPr>
          <w:i/>
          <w:iCs/>
        </w:rPr>
        <w:t xml:space="preserve">potential</w:t>
      </w:r>
      <w:r>
        <w:t xml:space="preserve"> </w:t>
      </w:r>
      <w:r>
        <w:t xml:space="preserve">interactions, and realised networks, which represent the subset of potential that are realised as a result of community and environmental context.</w:t>
      </w:r>
    </w:p>
    <w:bookmarkEnd w:id="22"/>
    <w:bookmarkStart w:id="23" w:name="X7e6994b87426e53fa590e08928b85e6939fe484"/>
    <w:p>
      <w:pPr>
        <w:pStyle w:val="Heading1"/>
      </w:pPr>
      <w:r>
        <w:t xml:space="preserve">4. Challenges specific to paleo communities/networks</w:t>
      </w:r>
    </w:p>
    <w:p>
      <w:pPr>
        <w:pStyle w:val="FirstParagraph"/>
      </w:pPr>
      <w:r>
        <w:t xml:space="preserve">Although there are a suite of tools and methods that have been developed to predict species interactions and networks they will not all be suitable for the prediction of paleo communities. Some of these include the fact that the fossil record is incomplete/preservation is biased [REF] which means that we have an incomplete picture of the entire community. Fossils are 2D and only represent specific</w:t>
      </w:r>
      <w:r>
        <w:t xml:space="preserve"> </w:t>
      </w:r>
      <w:r>
        <w:t xml:space="preserve">‘parts’</w:t>
      </w:r>
      <w:r>
        <w:t xml:space="preserve"> </w:t>
      </w:r>
      <w:r>
        <w:t xml:space="preserve">of an individual (hard and bone-y bits), this means we don’t have a complete picture of the physical traits of species</w:t>
      </w:r>
      <w:r>
        <w:t xml:space="preserve"> </w:t>
      </w:r>
      <w:r>
        <w:rPr>
          <w:i/>
          <w:iCs/>
        </w:rPr>
        <w:t xml:space="preserve">e.g.,</w:t>
      </w:r>
      <w:r>
        <w:t xml:space="preserve"> </w:t>
      </w:r>
      <w:r>
        <w:t xml:space="preserve">no body mass (but yes size), behaviours, or ability to construct well resolved phylogenetic trees the deeper we go back in time. Also owing to the patchy nature of fossils one often has to aggregate over large spatial scales, and also fossils are preserved in 2D so no</w:t>
      </w:r>
      <w:r>
        <w:t xml:space="preserve"> </w:t>
      </w:r>
      <w:r>
        <w:rPr>
          <w:i/>
          <w:iCs/>
        </w:rPr>
        <w:t xml:space="preserve">real</w:t>
      </w:r>
      <w:r>
        <w:t xml:space="preserve"> </w:t>
      </w:r>
      <w:r>
        <w:t xml:space="preserve">idea of spatial arrangements, compounded that fossils aren’t necessarily conserved/found</w:t>
      </w:r>
      <w:r>
        <w:t xml:space="preserve"> </w:t>
      </w:r>
      <w:r>
        <w:t xml:space="preserve">‘in situ’</w:t>
      </w:r>
      <w:r>
        <w:t xml:space="preserve"> </w:t>
      </w:r>
      <w:r>
        <w:t xml:space="preserve">but can be moved (</w:t>
      </w:r>
      <w:r>
        <w:rPr>
          <w:i/>
          <w:iCs/>
        </w:rPr>
        <w:t xml:space="preserve">e.g.,</w:t>
      </w:r>
      <w:r>
        <w:t xml:space="preserve"> </w:t>
      </w:r>
      <w:r>
        <w:t xml:space="preserve">alluvial deposits). Methodologically speaking some tools that</w:t>
      </w:r>
      <w:r>
        <w:t xml:space="preserve"> </w:t>
      </w:r>
      <w:r>
        <w:t xml:space="preserve">‘learn’</w:t>
      </w:r>
      <w:r>
        <w:t xml:space="preserve"> </w:t>
      </w:r>
      <w:r>
        <w:t xml:space="preserve">from contemporary communities (</w:t>
      </w:r>
      <w:r>
        <w:rPr>
          <w:i/>
          <w:iCs/>
        </w:rPr>
        <w:t xml:space="preserve">e.g.,</w:t>
      </w:r>
      <w:r>
        <w:t xml:space="preserve"> </w:t>
      </w:r>
      <w:r>
        <w:t xml:space="preserve">Strydom, Caron) will become</w:t>
      </w:r>
      <w:r>
        <w:t xml:space="preserve"> </w:t>
      </w:r>
      <w:r>
        <w:t xml:space="preserve">‘worse’</w:t>
      </w:r>
      <w:r>
        <w:t xml:space="preserve"> </w:t>
      </w:r>
      <w:r>
        <w:t xml:space="preserve">the further one goes back in time since species then look very different from now but can still be useful for</w:t>
      </w:r>
      <w:r>
        <w:t xml:space="preserve"> </w:t>
      </w:r>
      <w:r>
        <w:t xml:space="preserve">‘recent’</w:t>
      </w:r>
      <w:r>
        <w:t xml:space="preserve"> </w:t>
      </w:r>
      <w:r>
        <w:t xml:space="preserve">communities (</w:t>
      </w:r>
      <w:r>
        <w:rPr>
          <w:i/>
          <w:iCs/>
        </w:rPr>
        <w:t xml:space="preserve">e.g.,</w:t>
      </w:r>
      <w:r>
        <w:t xml:space="preserve"> </w:t>
      </w:r>
      <w:r>
        <w:t xml:space="preserve">fricke).</w:t>
      </w:r>
    </w:p>
    <w:bookmarkEnd w:id="23"/>
    <w:bookmarkStart w:id="24" w:name="dataset-overview"/>
    <w:p>
      <w:pPr>
        <w:pStyle w:val="Heading1"/>
      </w:pPr>
      <w:r>
        <w:t xml:space="preserve">5. Dataset Overview</w:t>
      </w:r>
    </w:p>
    <w:p>
      <w:pPr>
        <w:numPr>
          <w:ilvl w:val="0"/>
          <w:numId w:val="1005"/>
        </w:numPr>
      </w:pPr>
      <w:r>
        <w:t xml:space="preserve">Species</w:t>
      </w:r>
    </w:p>
    <w:p>
      <w:pPr>
        <w:numPr>
          <w:ilvl w:val="0"/>
          <w:numId w:val="1005"/>
        </w:numPr>
      </w:pPr>
      <w:r>
        <w:t xml:space="preserve">Time/space</w:t>
      </w:r>
    </w:p>
    <w:p>
      <w:pPr>
        <w:numPr>
          <w:ilvl w:val="0"/>
          <w:numId w:val="1005"/>
        </w:numPr>
      </w:pPr>
      <w:r>
        <w:t xml:space="preserve">And probably some other paleo things that will be relevant…</w:t>
      </w:r>
    </w:p>
    <w:bookmarkEnd w:id="24"/>
    <w:bookmarkStart w:id="27" w:name="methods-to-use"/>
    <w:p>
      <w:pPr>
        <w:pStyle w:val="Heading1"/>
      </w:pPr>
      <w:r>
        <w:t xml:space="preserve">6. Methods to use</w:t>
      </w:r>
    </w:p>
    <w:p>
      <w:pPr>
        <w:pStyle w:val="FirstParagraph"/>
      </w:pPr>
      <w:r>
        <w:rPr>
          <w:b/>
          <w:bCs/>
        </w:rPr>
        <w:t xml:space="preserve">Paleo food web inference model</w:t>
      </w:r>
      <w:r>
        <w:t xml:space="preserve"> </w:t>
      </w:r>
      <w:r>
        <w:t xml:space="preserve">(PFIM;</w:t>
      </w:r>
      <w:r>
        <w:t xml:space="preserve"> </w:t>
      </w:r>
      <w:r>
        <w:t xml:space="preserve">[2]</w:t>
      </w:r>
      <w:r>
        <w:t xml:space="preserve">): uses a series of rules for a set of trait categories (such as habitat and body size) to determine if an interaction can feasibly occur between a species pair. If all conditions are met for the different rule classes then an interaction is deemed to be feasible. The original work put forward in</w:t>
      </w:r>
      <w:r>
        <w:t xml:space="preserve"> </w:t>
      </w:r>
      <w:r>
        <w:t xml:space="preserve">[2]</w:t>
      </w:r>
      <w:r>
        <w:t xml:space="preserve"> </w:t>
      </w:r>
      <w:r>
        <w:t xml:space="preserve">also includes a</w:t>
      </w:r>
      <w:r>
        <w:t xml:space="preserve"> </w:t>
      </w:r>
      <w:r>
        <w:t xml:space="preserve">‘downsampling’</w:t>
      </w:r>
      <w:r>
        <w:t xml:space="preserve"> </w:t>
      </w:r>
      <w:r>
        <w:t xml:space="preserve">step developed by</w:t>
      </w:r>
      <w:r>
        <w:t xml:space="preserve"> </w:t>
      </w:r>
      <w:r>
        <w:t xml:space="preserve">[3]</w:t>
      </w:r>
      <w:r>
        <w:t xml:space="preserve"> </w:t>
      </w:r>
      <w:r>
        <w:t xml:space="preserve">that uses a power law, defined by the link distribution, to</w:t>
      </w:r>
      <w:r>
        <w:t xml:space="preserve"> </w:t>
      </w:r>
      <w:r>
        <w:t xml:space="preserve">‘prune’</w:t>
      </w:r>
      <w:r>
        <w:t xml:space="preserve"> </w:t>
      </w:r>
      <w:r>
        <w:t xml:space="preserve">down some of the links.</w:t>
      </w:r>
    </w:p>
    <w:p>
      <w:pPr>
        <w:pStyle w:val="BodyText"/>
      </w:pPr>
      <w:r>
        <w:rPr>
          <w:b/>
          <w:bCs/>
        </w:rPr>
        <w:t xml:space="preserve">Allometric diet breadth model</w:t>
      </w:r>
      <w:r>
        <w:t xml:space="preserve"> </w:t>
      </w:r>
      <w:r>
        <w:t xml:space="preserve">(ADBM;</w:t>
      </w:r>
      <w:r>
        <w:t xml:space="preserve"> </w:t>
      </w:r>
      <w:r>
        <w:t xml:space="preserve">[4]</w:t>
      </w:r>
      <w:r>
        <w:t xml:space="preserve">): The ADBM is rooted in feeding theory and allocates the links between species based on energetics, which predicts the diet of a consumer based on energy intake. This means that the model is focused on predicting not only the number of links in a network but also the arrangement of these links based on the diet breadth of a species, where the diet (</w:t>
      </w:r>
      <m:oMath>
        <m:r>
          <m:t>K</m:t>
        </m:r>
      </m:oMath>
      <w:r>
        <w:t xml:space="preserve">) is defined as follows:</w:t>
      </w:r>
    </w:p>
    <w:p>
      <w:pPr>
        <w:pStyle w:val="BodyText"/>
      </w:pPr>
      <w:bookmarkStart w:id="25" w:name="eq-adbm"/>
      <m:oMathPara>
        <m:oMathParaPr>
          <m:jc m:val="center"/>
        </m:oMathParaPr>
        <m:oMath>
          <m:r>
            <m:t>K</m:t>
          </m:r>
          <m:r>
            <m:rPr>
              <m:sty m:val="p"/>
            </m:rPr>
            <m:t>=</m:t>
          </m:r>
          <m:f>
            <m:fPr>
              <m:type m:val="bar"/>
            </m:fPr>
            <m:num>
              <m:nary>
                <m:naryPr>
                  <m:chr m:val="∑"/>
                  <m:limLoc m:val="undOvr"/>
                  <m:subHide m:val="off"/>
                  <m:supHide m:val="off"/>
                </m:naryPr>
                <m:sub>
                  <m:r>
                    <m:t>i</m:t>
                  </m:r>
                  <m:r>
                    <m:rPr>
                      <m:sty m:val="p"/>
                    </m:rPr>
                    <m:t>=</m:t>
                  </m:r>
                  <m:r>
                    <m:t>1</m:t>
                  </m:r>
                </m:sub>
                <m:sup>
                  <m:r>
                    <m:t>k</m:t>
                  </m:r>
                </m:sup>
                <m:e>
                  <m:sSub>
                    <m:e>
                      <m:r>
                        <m:t>λ</m:t>
                      </m:r>
                    </m:e>
                    <m:sub>
                      <m:r>
                        <m:t>i</m:t>
                      </m:r>
                      <m:r>
                        <m:t>j</m:t>
                      </m:r>
                    </m:sub>
                  </m:sSub>
                </m:e>
              </m:nary>
              <m:sSub>
                <m:e>
                  <m:r>
                    <m:t>E</m:t>
                  </m:r>
                </m:e>
                <m:sub>
                  <m:r>
                    <m:t>i</m:t>
                  </m:r>
                </m:sub>
              </m:sSub>
            </m:num>
            <m:den>
              <m:r>
                <m:t>1</m:t>
              </m:r>
              <m:r>
                <m:rPr>
                  <m:sty m:val="p"/>
                </m:rPr>
                <m:t>+</m:t>
              </m:r>
              <m:nary>
                <m:naryPr>
                  <m:chr m:val="∑"/>
                  <m:limLoc m:val="undOvr"/>
                  <m:subHide m:val="off"/>
                  <m:supHide m:val="off"/>
                </m:naryPr>
                <m:sub>
                  <m:r>
                    <m:t>i</m:t>
                  </m:r>
                  <m:r>
                    <m:rPr>
                      <m:sty m:val="p"/>
                    </m:rPr>
                    <m:t>=</m:t>
                  </m:r>
                  <m:r>
                    <m:t>1</m:t>
                  </m:r>
                </m:sub>
                <m:sup>
                  <m:r>
                    <m:t>k</m:t>
                  </m:r>
                </m:sup>
                <m:e>
                  <m:sSub>
                    <m:e>
                      <m:r>
                        <m:t>λ</m:t>
                      </m:r>
                    </m:e>
                    <m:sub>
                      <m:r>
                        <m:t>i</m:t>
                      </m:r>
                      <m:r>
                        <m:t>j</m:t>
                      </m:r>
                    </m:sub>
                  </m:sSub>
                </m:e>
              </m:nary>
              <m:sSub>
                <m:e>
                  <m:r>
                    <m:t>H</m:t>
                  </m:r>
                </m:e>
                <m:sub>
                  <m:r>
                    <m:t>i</m:t>
                  </m:r>
                  <m:r>
                    <m:t>j</m:t>
                  </m:r>
                </m:sub>
              </m:sSub>
            </m:den>
          </m:f>
          <m:r>
            <m:t>  </m:t>
          </m:r>
          <m:d>
            <m:dPr>
              <m:begChr m:val="("/>
              <m:endChr m:val=")"/>
              <m:sepChr m:val=""/>
              <m:grow/>
            </m:dPr>
            <m:e>
              <m:r>
                <m:t>1</m:t>
              </m:r>
            </m:e>
          </m:d>
        </m:oMath>
      </m:oMathPara>
      <w:bookmarkEnd w:id="25"/>
    </w:p>
    <w:p>
      <w:pPr>
        <w:pStyle w:val="FirstParagraph"/>
      </w:pPr>
      <w:r>
        <w:t xml:space="preserve">where</w:t>
      </w:r>
      <w:r>
        <w:t xml:space="preserve"> </w:t>
      </w:r>
      <m:oMath>
        <m:sSub>
          <m:e>
            <m:r>
              <m:t>λ</m:t>
            </m:r>
          </m:e>
          <m:sub>
            <m:r>
              <m:t>i</m:t>
            </m:r>
            <m:r>
              <m:t>j</m:t>
            </m:r>
          </m:sub>
        </m:sSub>
      </m:oMath>
      <w:r>
        <w:t xml:space="preserve"> </w:t>
      </w:r>
      <w:r>
        <w:t xml:space="preserve">is the handling time, which is the product of the attack rate</w:t>
      </w:r>
      <w:r>
        <w:t xml:space="preserve"> </w:t>
      </w:r>
      <m:oMath>
        <m:sSub>
          <m:e>
            <m:r>
              <m:t>A</m:t>
            </m:r>
          </m:e>
          <m:sub>
            <m:r>
              <m:t>i</m:t>
            </m:r>
          </m:sub>
        </m:sSub>
      </m:oMath>
      <w:r>
        <w:t xml:space="preserve"> </w:t>
      </w:r>
      <w:r>
        <w:t xml:space="preserve">and resource density</w:t>
      </w:r>
      <w:r>
        <w:t xml:space="preserve"> </w:t>
      </w:r>
      <m:oMath>
        <m:sSub>
          <m:e>
            <m:r>
              <m:t>N</m:t>
            </m:r>
          </m:e>
          <m:sub>
            <m:r>
              <m:t>i</m:t>
            </m:r>
          </m:sub>
        </m:sSub>
      </m:oMath>
      <w:r>
        <w:t xml:space="preserve">,</w:t>
      </w:r>
      <w:r>
        <w:t xml:space="preserve"> </w:t>
      </w:r>
      <m:oMath>
        <m:sSub>
          <m:e>
            <m:r>
              <m:t>E</m:t>
            </m:r>
          </m:e>
          <m:sub>
            <m:r>
              <m:t>i</m:t>
            </m:r>
          </m:sub>
        </m:sSub>
      </m:oMath>
      <w:r>
        <w:t xml:space="preserve"> </w:t>
      </w:r>
      <w:r>
        <w:t xml:space="preserve">is the energy content of the resource and</w:t>
      </w:r>
      <w:r>
        <w:t xml:space="preserve"> </w:t>
      </w:r>
      <m:oMath>
        <m:sSub>
          <m:e>
            <m:r>
              <m:t>H</m:t>
            </m:r>
          </m:e>
          <m:sub>
            <m:r>
              <m:t>i</m:t>
            </m:r>
            <m:r>
              <m:t>j</m:t>
            </m:r>
          </m:sub>
        </m:sSub>
      </m:oMath>
      <w:r>
        <w:t xml:space="preserve"> </w:t>
      </w:r>
      <w:r>
        <w:t xml:space="preserve">is the ratio handling time, with the relationship being dependent on the ratio of predator and prey bodymass as follows:</w:t>
      </w:r>
    </w:p>
    <w:p>
      <w:pPr>
        <w:pStyle w:val="BodyText"/>
      </w:pPr>
      <m:oMathPara>
        <m:oMathParaPr>
          <m:jc m:val="center"/>
        </m:oMathParaPr>
        <m:oMath>
          <m:sSub>
            <m:e>
              <m:r>
                <m:t>H</m:t>
              </m:r>
            </m:e>
            <m:sub>
              <m:r>
                <m:t>i</m:t>
              </m:r>
              <m:r>
                <m:t>j</m:t>
              </m:r>
            </m:sub>
          </m:sSub>
          <m:r>
            <m:rPr>
              <m:sty m:val="p"/>
            </m:rPr>
            <m:t>=</m:t>
          </m:r>
          <m:f>
            <m:fPr>
              <m:type m:val="bar"/>
            </m:fPr>
            <m:num>
              <m:r>
                <m:t>h</m:t>
              </m:r>
            </m:num>
            <m:den>
              <m:r>
                <m:t>b</m:t>
              </m:r>
              <m:r>
                <m:rPr>
                  <m:sty m:val="p"/>
                </m:rPr>
                <m:t>−</m:t>
              </m:r>
              <m:f>
                <m:fPr>
                  <m:type m:val="bar"/>
                </m:fPr>
                <m:num>
                  <m:sSub>
                    <m:e>
                      <m:r>
                        <m:t>M</m:t>
                      </m:r>
                    </m:e>
                    <m:sub>
                      <m:r>
                        <m:t>i</m:t>
                      </m:r>
                    </m:sub>
                  </m:sSub>
                </m:num>
                <m:den>
                  <m:sSub>
                    <m:e>
                      <m:r>
                        <m:t>M</m:t>
                      </m:r>
                    </m:e>
                    <m:sub>
                      <m:r>
                        <m:t>j</m:t>
                      </m:r>
                    </m:sub>
                  </m:sSub>
                </m:den>
              </m:f>
            </m:den>
          </m:f>
          <m:r>
            <m:t>i</m:t>
          </m:r>
          <m:r>
            <m:t>f</m:t>
          </m:r>
          <m:f>
            <m:fPr>
              <m:type m:val="bar"/>
            </m:fPr>
            <m:num>
              <m:sSub>
                <m:e>
                  <m:r>
                    <m:t>M</m:t>
                  </m:r>
                </m:e>
                <m:sub>
                  <m:r>
                    <m:t>i</m:t>
                  </m:r>
                </m:sub>
              </m:sSub>
            </m:num>
            <m:den>
              <m:sSub>
                <m:e>
                  <m:r>
                    <m:t>M</m:t>
                  </m:r>
                </m:e>
                <m:sub>
                  <m:r>
                    <m:t>j</m:t>
                  </m:r>
                </m:sub>
              </m:sSub>
            </m:den>
          </m:f>
          <m:r>
            <m:rPr>
              <m:sty m:val="p"/>
            </m:rPr>
            <m:t>&lt;</m:t>
          </m:r>
          <m:r>
            <m:t>b</m:t>
          </m:r>
        </m:oMath>
      </m:oMathPara>
    </w:p>
    <w:p>
      <w:pPr>
        <w:pStyle w:val="FirstParagraph"/>
      </w:pPr>
      <w:r>
        <w:t xml:space="preserve">or</w:t>
      </w:r>
    </w:p>
    <w:p>
      <w:pPr>
        <w:pStyle w:val="BodyText"/>
      </w:pPr>
      <m:oMathPara>
        <m:oMathParaPr>
          <m:jc m:val="center"/>
        </m:oMathParaPr>
        <m:oMath>
          <m:sSub>
            <m:e>
              <m:r>
                <m:t>H</m:t>
              </m:r>
            </m:e>
            <m:sub>
              <m:r>
                <m:t>i</m:t>
              </m:r>
              <m:r>
                <m:t>j</m:t>
              </m:r>
            </m:sub>
          </m:sSub>
          <m:r>
            <m:rPr>
              <m:sty m:val="p"/>
            </m:rPr>
            <m:t>=</m:t>
          </m:r>
          <m:r>
            <m:rPr>
              <m:sty m:val="p"/>
            </m:rPr>
            <m:t>∞</m:t>
          </m:r>
          <m:r>
            <m:rPr>
              <m:sty m:val="p"/>
            </m:rPr>
            <m:t>≥</m:t>
          </m:r>
          <m:r>
            <m:t>b</m:t>
          </m:r>
        </m:oMath>
      </m:oMathPara>
    </w:p>
    <w:p>
      <w:pPr>
        <w:pStyle w:val="FirstParagraph"/>
      </w:pPr>
      <w:r>
        <w:t xml:space="preserve">Refer to</w:t>
      </w:r>
      <w:r>
        <w:t xml:space="preserve"> </w:t>
      </w:r>
      <w:r>
        <w:t xml:space="preserve">[4]</w:t>
      </w:r>
      <w:r>
        <w:t xml:space="preserve"> </w:t>
      </w:r>
      <w:r>
        <w:t xml:space="preserve">for more details as to how these different terms are parametrised.</w:t>
      </w:r>
    </w:p>
    <w:p>
      <w:pPr>
        <w:pStyle w:val="BodyText"/>
      </w:pPr>
      <w:r>
        <w:rPr>
          <w:b/>
          <w:bCs/>
        </w:rPr>
        <w:t xml:space="preserve">Body size ratio model</w:t>
      </w:r>
      <w:r>
        <w:t xml:space="preserve"> </w:t>
      </w:r>
      <w:r>
        <w:t xml:space="preserve">[5]</w:t>
      </w:r>
      <w:r>
        <w:t xml:space="preserve">: Determines feeding interactions using the ratio between consumer and resource body sizes - which supposedly stems from niche theory (still trying to reconcile that myself). The probability of a link existing between a consumer and resource (in its most basic form) is defined as follows:</w:t>
      </w:r>
    </w:p>
    <w:p>
      <w:pPr>
        <w:pStyle w:val="BodyText"/>
      </w:pPr>
      <m:oMathPara>
        <m:oMathParaPr>
          <m:jc m:val="center"/>
        </m:oMathParaPr>
        <m:oMath>
          <m:sSub>
            <m:e>
              <m:r>
                <m:t>P</m:t>
              </m:r>
            </m:e>
            <m:sub>
              <m:r>
                <m:t>i</m:t>
              </m:r>
              <m:r>
                <m:t>j</m:t>
              </m:r>
            </m:sub>
          </m:sSub>
          <m:r>
            <m:rPr>
              <m:sty m:val="p"/>
            </m:rPr>
            <m:t>=</m:t>
          </m:r>
          <m:f>
            <m:fPr>
              <m:type m:val="bar"/>
            </m:fPr>
            <m:num>
              <m:r>
                <m:t>p</m:t>
              </m:r>
            </m:num>
            <m:den>
              <m:r>
                <m:t>1</m:t>
              </m:r>
              <m:r>
                <m:rPr>
                  <m:sty m:val="p"/>
                </m:rPr>
                <m:t>+</m:t>
              </m:r>
              <m:r>
                <m:t>p</m:t>
              </m:r>
            </m:den>
          </m:f>
        </m:oMath>
      </m:oMathPara>
    </w:p>
    <w:p>
      <w:pPr>
        <w:pStyle w:val="FirstParagraph"/>
      </w:pPr>
      <w:r>
        <w:t xml:space="preserve">where</w:t>
      </w:r>
    </w:p>
    <w:p>
      <w:pPr>
        <w:pStyle w:val="BodyText"/>
      </w:pPr>
      <w:bookmarkStart w:id="26" w:name="eq-bodymass"/>
      <m:oMathPara>
        <m:oMathParaPr>
          <m:jc m:val="center"/>
        </m:oMathParaPr>
        <m:oMath>
          <m:r>
            <m:t>p</m:t>
          </m:r>
          <m:r>
            <m:rPr>
              <m:sty m:val="p"/>
            </m:rPr>
            <m:t>=</m:t>
          </m:r>
          <m:r>
            <m:t>e</m:t>
          </m:r>
          <m:r>
            <m:t>x</m:t>
          </m:r>
          <m:r>
            <m:t>p</m:t>
          </m:r>
          <m:d>
            <m:dPr>
              <m:begChr m:val="["/>
              <m:endChr m:val="]"/>
              <m:sepChr m:val=""/>
              <m:grow/>
            </m:dPr>
            <m:e>
              <m:r>
                <m:t>α</m:t>
              </m:r>
              <m:r>
                <m:rPr>
                  <m:sty m:val="p"/>
                </m:rPr>
                <m:t>+</m:t>
              </m:r>
              <m:r>
                <m:t>β</m:t>
              </m:r>
              <m:r>
                <m:t>l</m:t>
              </m:r>
              <m:r>
                <m:t>o</m:t>
              </m:r>
              <m:r>
                <m:t>g</m:t>
              </m:r>
              <m:d>
                <m:dPr>
                  <m:begChr m:val="("/>
                  <m:endChr m:val=")"/>
                  <m:sepChr m:val=""/>
                  <m:grow/>
                </m:dPr>
                <m:e>
                  <m:f>
                    <m:fPr>
                      <m:type m:val="bar"/>
                    </m:fPr>
                    <m:num>
                      <m:sSub>
                        <m:e>
                          <m:r>
                            <m:t>M</m:t>
                          </m:r>
                        </m:e>
                        <m:sub>
                          <m:r>
                            <m:t>i</m:t>
                          </m:r>
                        </m:sub>
                      </m:sSub>
                    </m:num>
                    <m:den>
                      <m:sSub>
                        <m:e>
                          <m:r>
                            <m:t>M</m:t>
                          </m:r>
                        </m:e>
                        <m:sub>
                          <m:r>
                            <m:t>j</m:t>
                          </m:r>
                        </m:sub>
                      </m:sSub>
                    </m:den>
                  </m:f>
                </m:e>
              </m:d>
              <m:r>
                <m:rPr>
                  <m:sty m:val="p"/>
                </m:rPr>
                <m:t>+</m:t>
              </m:r>
              <m:r>
                <m:t>γ</m:t>
              </m:r>
              <m:r>
                <m:t>l</m:t>
              </m:r>
              <m:r>
                <m:t>o</m:t>
              </m:r>
              <m:sSup>
                <m:e>
                  <m:r>
                    <m:t>g</m:t>
                  </m:r>
                </m:e>
                <m:sup>
                  <m:r>
                    <m:t>2</m:t>
                  </m:r>
                </m:sup>
              </m:sSup>
              <m:d>
                <m:dPr>
                  <m:begChr m:val="("/>
                  <m:endChr m:val=")"/>
                  <m:sepChr m:val=""/>
                  <m:grow/>
                </m:dPr>
                <m:e>
                  <m:f>
                    <m:fPr>
                      <m:type m:val="bar"/>
                    </m:fPr>
                    <m:num>
                      <m:sSub>
                        <m:e>
                          <m:r>
                            <m:t>M</m:t>
                          </m:r>
                        </m:e>
                        <m:sub>
                          <m:r>
                            <m:t>i</m:t>
                          </m:r>
                        </m:sub>
                      </m:sSub>
                    </m:num>
                    <m:den>
                      <m:sSub>
                        <m:e>
                          <m:r>
                            <m:t>M</m:t>
                          </m:r>
                        </m:e>
                        <m:sub>
                          <m:r>
                            <m:t>j</m:t>
                          </m:r>
                        </m:sub>
                      </m:sSub>
                    </m:den>
                  </m:f>
                </m:e>
              </m:d>
            </m:e>
          </m:d>
          <m:r>
            <m:t>  </m:t>
          </m:r>
          <m:d>
            <m:dPr>
              <m:begChr m:val="("/>
              <m:endChr m:val=")"/>
              <m:sepChr m:val=""/>
              <m:grow/>
            </m:dPr>
            <m:e>
              <m:r>
                <m:t>2</m:t>
              </m:r>
            </m:e>
          </m:d>
        </m:oMath>
      </m:oMathPara>
      <w:bookmarkEnd w:id="26"/>
    </w:p>
    <w:p>
      <w:pPr>
        <w:pStyle w:val="FirstParagraph"/>
      </w:pPr>
      <w:r>
        <w:t xml:space="preserve">The original latent-trait model developed by</w:t>
      </w:r>
      <w:r>
        <w:t xml:space="preserve"> </w:t>
      </w:r>
      <w:r>
        <w:t xml:space="preserve">[5]</w:t>
      </w:r>
      <w:r>
        <w:t xml:space="preserve"> </w:t>
      </w:r>
      <w:r>
        <w:t xml:space="preserve">also included an additional latent trait term</w:t>
      </w:r>
      <w:r>
        <w:t xml:space="preserve"> </w:t>
      </w:r>
      <m:oMath>
        <m:sSub>
          <m:e>
            <m:r>
              <m:t>v</m:t>
            </m:r>
          </m:e>
          <m:sub>
            <m:r>
              <m:t>i</m:t>
            </m:r>
          </m:sub>
        </m:sSub>
        <m:r>
          <m:t>δ</m:t>
        </m:r>
        <m:sSub>
          <m:e>
            <m:r>
              <m:t>f</m:t>
            </m:r>
          </m:e>
          <m:sub>
            <m:r>
              <m:t>j</m:t>
            </m:r>
          </m:sub>
        </m:sSub>
      </m:oMath>
      <w:r>
        <w:t xml:space="preserve"> </w:t>
      </w:r>
      <w:r>
        <w:t xml:space="preserve">however for simplicity we will use</w:t>
      </w:r>
      <w:r>
        <w:t xml:space="preserve"> </w:t>
      </w:r>
      <w:hyperlink w:anchor="eq-bodymass">
        <w:r>
          <w:rPr>
            <w:rStyle w:val="Hyperlink"/>
          </w:rPr>
          <w:t xml:space="preserve">Equation 2</w:t>
        </w:r>
      </w:hyperlink>
      <w:r>
        <w:t xml:space="preserve"> </w:t>
      </w:r>
      <w:r>
        <w:t xml:space="preserve">as per</w:t>
      </w:r>
      <w:r>
        <w:t xml:space="preserve"> </w:t>
      </w:r>
      <w:r>
        <w:t xml:space="preserve">[6]</w:t>
      </w:r>
      <w:r>
        <w:t xml:space="preserve"> </w:t>
      </w:r>
      <w:r>
        <w:t xml:space="preserve">Based on</w:t>
      </w:r>
      <w:r>
        <w:t xml:space="preserve"> </w:t>
      </w:r>
      <w:r>
        <w:t xml:space="preserve">[5]</w:t>
      </w:r>
      <w:r>
        <w:t xml:space="preserve"> </w:t>
      </w:r>
      <w:r>
        <w:t xml:space="preserve">it is possible to estimate the parameters</w:t>
      </w:r>
      <w:r>
        <w:t xml:space="preserve"> </w:t>
      </w:r>
      <m:oMath>
        <m:r>
          <m:t>α</m:t>
        </m:r>
      </m:oMath>
      <w:r>
        <w:t xml:space="preserve">,</w:t>
      </w:r>
      <w:r>
        <w:t xml:space="preserve"> </w:t>
      </w:r>
      <m:oMath>
        <m:r>
          <m:t>δ</m:t>
        </m:r>
      </m:oMath>
      <w:r>
        <w:t xml:space="preserve">, and</w:t>
      </w:r>
      <w:r>
        <w:t xml:space="preserve"> </w:t>
      </w:r>
      <m:oMath>
        <m:r>
          <m:t>γ</m:t>
        </m:r>
      </m:oMath>
      <w:r>
        <w:t xml:space="preserve"> </w:t>
      </w:r>
      <w:r>
        <w:t xml:space="preserve">using a GLM but we will use the parameters from</w:t>
      </w:r>
      <w:r>
        <w:t xml:space="preserve"> </w:t>
      </w:r>
      <w:r>
        <w:t xml:space="preserve">[6]</w:t>
      </w:r>
      <w:r>
        <w:t xml:space="preserve">, which was</w:t>
      </w:r>
      <w:r>
        <w:t xml:space="preserve"> </w:t>
      </w:r>
      <w:r>
        <w:t xml:space="preserve">‘trained’</w:t>
      </w:r>
      <w:r>
        <w:t xml:space="preserve"> </w:t>
      </w:r>
      <w:r>
        <w:t xml:space="preserve">on the Serengeti food web data and are as follows:</w:t>
      </w:r>
      <w:r>
        <w:t xml:space="preserve"> </w:t>
      </w:r>
      <m:oMath>
        <m:r>
          <m:t>α</m:t>
        </m:r>
        <m:r>
          <m:rPr>
            <m:sty m:val="p"/>
          </m:rPr>
          <m:t>=</m:t>
        </m:r>
        <m:r>
          <m:t>1.41</m:t>
        </m:r>
      </m:oMath>
      <w:r>
        <w:t xml:space="preserve">,</w:t>
      </w:r>
      <w:r>
        <w:t xml:space="preserve"> </w:t>
      </w:r>
      <m:oMath>
        <m:r>
          <m:t>δ</m:t>
        </m:r>
        <m:r>
          <m:rPr>
            <m:sty m:val="p"/>
          </m:rPr>
          <m:t>=</m:t>
        </m:r>
        <m:r>
          <m:t>3.75</m:t>
        </m:r>
      </m:oMath>
      <w:r>
        <w:t xml:space="preserve">, and</w:t>
      </w:r>
      <w:r>
        <w:t xml:space="preserve"> </w:t>
      </w:r>
      <m:oMath>
        <m:r>
          <m:t>γ</m:t>
        </m:r>
        <m:r>
          <m:rPr>
            <m:sty m:val="p"/>
          </m:rPr>
          <m:t>=</m:t>
        </m:r>
        <m:r>
          <m:t>1.87</m:t>
        </m:r>
      </m:oMath>
      <w:r>
        <w:t xml:space="preserve">.</w:t>
      </w:r>
    </w:p>
    <w:p>
      <w:pPr>
        <w:pStyle w:val="BodyText"/>
      </w:pPr>
      <w:r>
        <w:rPr>
          <w:b/>
          <w:bCs/>
        </w:rPr>
        <w:t xml:space="preserve">Niche model</w:t>
      </w:r>
      <w:r>
        <w:t xml:space="preserve"> </w:t>
      </w:r>
      <w:r>
        <w:t xml:space="preserve">[7]</w:t>
      </w:r>
      <w:r>
        <w:t xml:space="preserve">: The niche model introduces the idea that species interactions are based on the</w:t>
      </w:r>
      <w:r>
        <w:t xml:space="preserve"> </w:t>
      </w:r>
      <w:r>
        <w:t xml:space="preserve">‘feeding niche’</w:t>
      </w:r>
      <w:r>
        <w:t xml:space="preserve"> </w:t>
      </w:r>
      <w:r>
        <w:t xml:space="preserve">of a species. Broadly, all species are randomly assigned a</w:t>
      </w:r>
      <w:r>
        <w:t xml:space="preserve"> </w:t>
      </w:r>
      <w:r>
        <w:t xml:space="preserve">‘feeding niche’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‘complexity’</w:t>
      </w:r>
      <w:r>
        <w:t xml:space="preserve"> </w:t>
      </w:r>
      <w:r>
        <w:t xml:space="preserve">of the niche model does not improve on its ability to generate a more ecologically</w:t>
      </w:r>
      <w:r>
        <w:t xml:space="preserve"> </w:t>
      </w:r>
      <w:r>
        <w:t xml:space="preserve">‘correct’</w:t>
      </w:r>
      <w:r>
        <w:t xml:space="preserve"> </w:t>
      </w:r>
      <w:r>
        <w:t xml:space="preserve">network</w:t>
      </w:r>
      <w:r>
        <w:t xml:space="preserve"> </w:t>
      </w:r>
      <w:r>
        <w:t xml:space="preserve">[8]</w:t>
      </w:r>
      <w:r>
        <w:t xml:space="preserve">.</w:t>
      </w:r>
    </w:p>
    <w:bookmarkEnd w:id="27"/>
    <w:bookmarkStart w:id="34" w:name="results"/>
    <w:p>
      <w:pPr>
        <w:pStyle w:val="Heading1"/>
      </w:pPr>
      <w:r>
        <w:t xml:space="preserve">7. Results</w:t>
      </w:r>
    </w:p>
    <w:bookmarkStart w:id="32" w:name="comparing-predicted-networks"/>
    <w:p>
      <w:pPr>
        <w:pStyle w:val="Heading2"/>
      </w:pPr>
      <w:r>
        <w:t xml:space="preserve">7.1 Comparing predicted networks</w:t>
      </w:r>
    </w:p>
    <w:tbl>
      <w:tblPr>
        <w:tblStyle w:val="Table"/>
        <w:tblW w:type="pct" w:w="5000"/>
        <w:tblLayout w:type="fixed"/>
        <w:tblLook w:firstRow="0" w:lastRow="0" w:firstColumn="0" w:lastColumn="0" w:noHBand="0" w:noVBand="0" w:val="0000"/>
      </w:tblPr>
      <w:tblGrid>
        <w:gridCol w:w="7920"/>
      </w:tblGrid>
      <w:tr>
        <w:tc>
          <w:tcPr/>
          <w:bookmarkStart w:id="31" w:name="fig-summary"/>
          <w:p>
            <w:pPr>
              <w:pStyle w:val="Compact"/>
              <w:jc w:val="center"/>
            </w:pPr>
            <w:r>
              <w:drawing>
                <wp:inline>
                  <wp:extent cx="5334000" cy="2963333"/>
                  <wp:effectExtent b="0" l="0" r="0" t="0"/>
                  <wp:docPr descr="" title="" id="29" name="Picture"/>
                  <a:graphic>
                    <a:graphicData uri="http://schemas.openxmlformats.org/drawingml/2006/picture">
                      <pic:pic>
                        <pic:nvPicPr>
                          <pic:cNvPr descr="figures/summary.png" id="30" name="Picture"/>
                          <pic:cNvPicPr>
                            <a:picLocks noChangeArrowheads="1" noChangeAspect="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stuff</w:t>
            </w:r>
          </w:p>
          <w:bookmarkEnd w:id="31"/>
        </w:tc>
      </w:tr>
    </w:tbl>
    <w:bookmarkEnd w:id="32"/>
    <w:bookmarkStart w:id="33" w:name="comparing-inference"/>
    <w:p>
      <w:pPr>
        <w:pStyle w:val="Heading2"/>
      </w:pPr>
      <w:r>
        <w:t xml:space="preserve">7.2 Comparing inference</w:t>
      </w:r>
    </w:p>
    <w:bookmarkEnd w:id="33"/>
    <w:bookmarkEnd w:id="34"/>
    <w:bookmarkStart w:id="52" w:name="references"/>
    <w:p>
      <w:pPr>
        <w:pStyle w:val="Heading1"/>
      </w:pPr>
      <w:r>
        <w:t xml:space="preserve">References</w:t>
      </w:r>
    </w:p>
    <w:bookmarkStart w:id="51" w:name="refs"/>
    <w:bookmarkStart w:id="36"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35">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36"/>
    <w:bookmarkStart w:id="38" w:name="ref-shaw2024"/>
    <w:p>
      <w:pPr>
        <w:pStyle w:val="Bibliography"/>
      </w:pPr>
      <w:r>
        <w:t xml:space="preserve">2.</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37">
        <w:r>
          <w:rPr>
            <w:rStyle w:val="Hyperlink"/>
          </w:rPr>
          <w:t xml:space="preserve">A framework for reconstructing ancient food webs using functional trait data</w:t>
        </w:r>
      </w:hyperlink>
      <w:r>
        <w:t xml:space="preserve">bioRxiv, 2024.01.30.578036</w:t>
      </w:r>
    </w:p>
    <w:bookmarkEnd w:id="38"/>
    <w:bookmarkStart w:id="40" w:name="ref-roopnarine2006"/>
    <w:p>
      <w:pPr>
        <w:pStyle w:val="Bibliography"/>
      </w:pPr>
      <w:r>
        <w:t xml:space="preserve">3.</w:t>
      </w:r>
      <w:r>
        <w:t xml:space="preserve"> </w:t>
      </w:r>
      <w:r>
        <w:t xml:space="preserve">	</w:t>
      </w:r>
      <w:r>
        <w:t xml:space="preserve">Roopnarine, P.D. (2006)</w:t>
      </w:r>
      <w:r>
        <w:t xml:space="preserve"> </w:t>
      </w:r>
      <w:hyperlink r:id="rId39">
        <w:r>
          <w:rPr>
            <w:rStyle w:val="Hyperlink"/>
          </w:rPr>
          <w:t xml:space="preserve">Extinction cascades and catastrophe in ancient food webs</w:t>
        </w:r>
      </w:hyperlink>
      <w:r>
        <w:t xml:space="preserve">.</w:t>
      </w:r>
      <w:r>
        <w:t xml:space="preserve"> </w:t>
      </w:r>
      <w:r>
        <w:rPr>
          <w:i/>
          <w:iCs/>
        </w:rPr>
        <w:t xml:space="preserve">Paleobiology</w:t>
      </w:r>
      <w:r>
        <w:t xml:space="preserve"> </w:t>
      </w:r>
      <w:r>
        <w:t xml:space="preserve">32, 1–19</w:t>
      </w:r>
    </w:p>
    <w:bookmarkEnd w:id="40"/>
    <w:bookmarkStart w:id="42" w:name="ref-petchey2008"/>
    <w:p>
      <w:pPr>
        <w:pStyle w:val="Bibliography"/>
      </w:pPr>
      <w:r>
        <w:t xml:space="preserve">4.</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41">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42"/>
    <w:bookmarkStart w:id="44" w:name="ref-rohr2010"/>
    <w:p>
      <w:pPr>
        <w:pStyle w:val="Bibliography"/>
      </w:pPr>
      <w:r>
        <w:t xml:space="preserve">5.</w:t>
      </w:r>
      <w:r>
        <w:t xml:space="preserve"> </w:t>
      </w:r>
      <w:r>
        <w:t xml:space="preserve">	</w:t>
      </w:r>
      <w:r>
        <w:t xml:space="preserve">Rohr, R.</w:t>
      </w:r>
      <w:r>
        <w:t xml:space="preserve"> </w:t>
      </w:r>
      <w:r>
        <w:rPr>
          <w:i/>
          <w:iCs/>
        </w:rPr>
        <w:t xml:space="preserve">et al.</w:t>
      </w:r>
      <w:r>
        <w:t xml:space="preserve"> </w:t>
      </w:r>
      <w:r>
        <w:t xml:space="preserve">(2010)</w:t>
      </w:r>
      <w:r>
        <w:t xml:space="preserve"> </w:t>
      </w:r>
      <w:hyperlink r:id="rId43">
        <w:r>
          <w:rPr>
            <w:rStyle w:val="Hyperlink"/>
          </w:rPr>
          <w:t xml:space="preserve">Modeling food webs: Exploring unexplained structure using latent traits.</w:t>
        </w:r>
      </w:hyperlink>
      <w:r>
        <w:t xml:space="preserve"> </w:t>
      </w:r>
      <w:r>
        <w:rPr>
          <w:i/>
          <w:iCs/>
        </w:rPr>
        <w:t xml:space="preserve">The American Naturalist</w:t>
      </w:r>
      <w:r>
        <w:t xml:space="preserve"> </w:t>
      </w:r>
      <w:r>
        <w:t xml:space="preserve">176, 170–177</w:t>
      </w:r>
    </w:p>
    <w:bookmarkEnd w:id="44"/>
    <w:bookmarkStart w:id="46" w:name="ref-yeakel2014"/>
    <w:p>
      <w:pPr>
        <w:pStyle w:val="Bibliography"/>
      </w:pPr>
      <w:r>
        <w:t xml:space="preserve">6.</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45">
        <w:r>
          <w:rPr>
            <w:rStyle w:val="Hyperlink"/>
          </w:rPr>
          <w:t xml:space="preserve">Collapse of an ecological network in ancient egypt</w:t>
        </w:r>
      </w:hyperlink>
      <w:r>
        <w:t xml:space="preserve">.</w:t>
      </w:r>
      <w:r>
        <w:t xml:space="preserve"> </w:t>
      </w:r>
      <w:r>
        <w:rPr>
          <w:i/>
          <w:iCs/>
        </w:rPr>
        <w:t xml:space="preserve">PNAS</w:t>
      </w:r>
      <w:r>
        <w:t xml:space="preserve"> </w:t>
      </w:r>
      <w:r>
        <w:t xml:space="preserve">111, 14472–14477</w:t>
      </w:r>
    </w:p>
    <w:bookmarkEnd w:id="46"/>
    <w:bookmarkStart w:id="48" w:name="ref-williams2000"/>
    <w:p>
      <w:pPr>
        <w:pStyle w:val="Bibliography"/>
      </w:pPr>
      <w:r>
        <w:t xml:space="preserve">7.</w:t>
      </w:r>
      <w:r>
        <w:t xml:space="preserve"> </w:t>
      </w:r>
      <w:r>
        <w:t xml:space="preserve">	</w:t>
      </w:r>
      <w:r>
        <w:t xml:space="preserve">Williams, R.J. and Martinez, N.D. (2000)</w:t>
      </w:r>
      <w:r>
        <w:t xml:space="preserve"> </w:t>
      </w:r>
      <w:hyperlink r:id="rId4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48"/>
    <w:bookmarkStart w:id="50" w:name="ref-williams2008"/>
    <w:p>
      <w:pPr>
        <w:pStyle w:val="Bibliography"/>
      </w:pPr>
      <w:r>
        <w:t xml:space="preserve">8.</w:t>
      </w:r>
      <w:r>
        <w:t xml:space="preserve"> </w:t>
      </w:r>
      <w:r>
        <w:t xml:space="preserve">	</w:t>
      </w:r>
      <w:r>
        <w:t xml:space="preserve">Williams, R.J. and Martinez, N.D. (2008)</w:t>
      </w:r>
      <w:r>
        <w:t xml:space="preserve"> </w:t>
      </w:r>
      <w:hyperlink r:id="rId49">
        <w:r>
          <w:rPr>
            <w:rStyle w:val="Hyperlink"/>
          </w:rPr>
          <w:t xml:space="preserve">Success and its limits among structural models of complex food webs</w:t>
        </w:r>
      </w:hyperlink>
      <w:r>
        <w:t xml:space="preserve">.</w:t>
      </w:r>
      <w:r>
        <w:t xml:space="preserve"> </w:t>
      </w:r>
      <w:r>
        <w:rPr>
          <w:i/>
          <w:iCs/>
        </w:rPr>
        <w:t xml:space="preserve">The Journal of Animal Ecology</w:t>
      </w:r>
      <w:r>
        <w:t xml:space="preserve"> </w:t>
      </w:r>
      <w:r>
        <w:t xml:space="preserve">77, 512–519</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Reconstructing Paleo Food Webs</dc:title>
  <dc:creator>Tanya Strydom; Andrew P. Beckerman</dc:creator>
  <cp:keywords>food web, network construction, scientific ignorance</cp:keywords>
  <dcterms:created xsi:type="dcterms:W3CDTF">2024-10-11T12:32:58Z</dcterms:created>
  <dcterms:modified xsi:type="dcterms:W3CDTF">2024-10-11T12:32:58Z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2024-10-11</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