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6.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2025-05-04</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45" w:name="methods"/>
    <w:p>
      <w:pPr>
        <w:pStyle w:val="Heading1"/>
      </w:pPr>
      <w:r>
        <w:t xml:space="preserve">5. Methods</w:t>
      </w:r>
    </w:p>
    <w:bookmarkStart w:id="26" w:name="dataset-overview"/>
    <w:p>
      <w:pPr>
        <w:pStyle w:val="Heading2"/>
      </w:pPr>
      <w:r>
        <w:t xml:space="preserve">5.1 Dataset Overview</w:t>
      </w:r>
    </w:p>
    <w:bookmarkStart w:id="24" w:name="species-occurrence"/>
    <w:p>
      <w:pPr>
        <w:pStyle w:val="Heading3"/>
      </w:pPr>
      <w:r>
        <w:t xml:space="preserve">5.1.1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24"/>
    <w:bookmarkStart w:id="25" w:name="defining-modes-of-life-traits"/>
    <w:p>
      <w:pPr>
        <w:pStyle w:val="Heading3"/>
      </w:pPr>
      <w:r>
        <w:t xml:space="preserve">5.1.2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35" w:name="models"/>
    <w:p>
      <w:pPr>
        <w:pStyle w:val="Heading2"/>
      </w:pPr>
      <w:r>
        <w:t xml:space="preserve">5.2 Models</w:t>
      </w:r>
    </w:p>
    <w:p>
      <w:pPr>
        <w:pStyle w:val="FirstParagraph"/>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[7]</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[9]</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[10]</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[11]</w:t>
                  </w:r>
                </w:p>
              </w:tc>
            </w:tr>
          </w:tbl>
          <w:bookmarkEnd w:id="27"/>
          <w:p/>
        </w:tc>
      </w:tr>
    </w:tbl>
    <w:bookmarkStart w:id="28" w:name="random-model"/>
    <w:p>
      <w:pPr>
        <w:pStyle w:val="Heading3"/>
      </w:pPr>
      <w:r>
        <w:t xml:space="preserve">5.2.1 Random model</w:t>
      </w:r>
    </w:p>
    <w:p>
      <w:pPr>
        <w:pStyle w:val="FirstParagraph"/>
      </w:pPr>
      <w:r>
        <w:t xml:space="preserve">The Erdős–Rényi random graph model</w:t>
      </w:r>
      <w:r>
        <w:t xml:space="preserve"> </w:t>
      </w:r>
      <w:r>
        <w:t xml:space="preserve">[6]</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w:t>
      </w:r>
    </w:p>
    <w:bookmarkEnd w:id="28"/>
    <w:bookmarkStart w:id="29" w:name="niche-model"/>
    <w:p>
      <w:pPr>
        <w:pStyle w:val="Heading3"/>
      </w:pPr>
      <w:r>
        <w:t xml:space="preserve">5.2.2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[7]</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9"/>
    <w:bookmarkStart w:id="30" w:name="allometric-diet-breadth-model"/>
    <w:p>
      <w:pPr>
        <w:pStyle w:val="Heading3"/>
      </w:pPr>
      <w:r>
        <w:t xml:space="preserve">5.2.3 Allometric diet breadth model</w:t>
      </w:r>
    </w:p>
    <w:p>
      <w:pPr>
        <w:pStyle w:val="FirstParagraph"/>
      </w:pPr>
      <w:r>
        <w:t xml:space="preserve">The Allometric diet breadth model (ADBM;</w:t>
      </w:r>
      <w:r>
        <w:t xml:space="preserve"> </w:t>
      </w:r>
      <w:r>
        <w:t xml:space="preserve">[8]</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[8]</w:t>
      </w:r>
      <w:r>
        <w:t xml:space="preserve"> </w:t>
      </w:r>
      <w:r>
        <w:t xml:space="preserve">for more details as to how these different terms are parametrised.</w:t>
      </w:r>
    </w:p>
    <w:bookmarkEnd w:id="30"/>
    <w:bookmarkStart w:id="31" w:name="l-matrix"/>
    <w:p>
      <w:pPr>
        <w:pStyle w:val="Heading3"/>
      </w:pPr>
      <w:r>
        <w:t xml:space="preserve">5.2.4 L matrix</w:t>
      </w:r>
    </w:p>
    <w:p>
      <w:pPr>
        <w:pStyle w:val="FirstParagraph"/>
      </w:pPr>
      <w:r>
        <w:t xml:space="preserve">For now we can link to the ATNr package</w:t>
      </w:r>
      <w:r>
        <w:t xml:space="preserve"> </w:t>
      </w:r>
      <w:r>
        <w:t xml:space="preserve">[13]</w:t>
      </w:r>
      <w:r>
        <w:t xml:space="preserve"> </w:t>
      </w:r>
      <w:r>
        <w:t xml:space="preserve">until I can find a more suitable manuscript that breaks down this construction method.</w:t>
      </w:r>
      <w:r>
        <w:t xml:space="preserve"> </w:t>
      </w:r>
      <w:r>
        <w:t xml:space="preserve">[9]</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1"/>
    <w:bookmarkStart w:id="32" w:name="paleo-food-web-inference-model"/>
    <w:p>
      <w:pPr>
        <w:pStyle w:val="Heading3"/>
      </w:pPr>
      <w:r>
        <w:t xml:space="preserve">5.2.5 Paleo food web inference model</w:t>
      </w:r>
    </w:p>
    <w:p>
      <w:pPr>
        <w:pStyle w:val="FirstParagraph"/>
      </w:pPr>
      <w:r>
        <w:t xml:space="preserve">The Paleo food web inference model (PFIM;</w:t>
      </w:r>
      <w:r>
        <w:t xml:space="preserve"> </w:t>
      </w:r>
      <w:r>
        <w:t xml:space="preserve">[10]</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[10]</w:t>
      </w:r>
      <w:r>
        <w:t xml:space="preserve"> </w:t>
      </w:r>
      <w:r>
        <w:t xml:space="preserve">also includes a</w:t>
      </w:r>
      <w:r>
        <w:t xml:space="preserve"> </w:t>
      </w:r>
      <w:r>
        <w:t xml:space="preserve">‘downsampling’</w:t>
      </w:r>
      <w:r>
        <w:t xml:space="preserve"> </w:t>
      </w:r>
      <w:r>
        <w:t xml:space="preserve">step developed by</w:t>
      </w:r>
      <w:r>
        <w:t xml:space="preserve"> </w:t>
      </w:r>
      <w:r>
        <w:t xml:space="preserve">[14]</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2"/>
    <w:bookmarkStart w:id="34" w:name="body-size-ratio-model"/>
    <w:p>
      <w:pPr>
        <w:pStyle w:val="Heading3"/>
      </w:pPr>
      <w:r>
        <w:t xml:space="preserve">5.2.6 Body size ratio model</w:t>
      </w:r>
    </w:p>
    <w:p>
      <w:pPr>
        <w:pStyle w:val="FirstParagraph"/>
      </w:pPr>
      <w:r>
        <w:t xml:space="preserve">The body size ratio model</w:t>
      </w:r>
      <w:r>
        <w:t xml:space="preserve"> </w:t>
      </w:r>
      <w:r>
        <w:t xml:space="preserve">[11]</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3"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3"/>
    </w:p>
    <w:p>
      <w:pPr>
        <w:pStyle w:val="FirstParagraph"/>
      </w:pPr>
      <w:r>
        <w:t xml:space="preserve">The original latent-trait model developed by</w:t>
      </w:r>
      <w:r>
        <w:t xml:space="preserve"> </w:t>
      </w:r>
      <w:r>
        <w:t xml:space="preserve">[11]</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[11]</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4"/>
    <w:bookmarkEnd w:id="35"/>
    <w:bookmarkStart w:id="42" w:name="assessing-model-performance"/>
    <w:p>
      <w:pPr>
        <w:pStyle w:val="Heading2"/>
      </w:pPr>
      <w:r>
        <w:t xml:space="preserve">5.3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6"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[7]</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pP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6"/>
          <w:p/>
        </w:tc>
      </w:tr>
    </w:tbl>
    <w:bookmarkStart w:id="37" w:name="macro-network-properties"/>
    <w:p>
      <w:pPr>
        <w:pStyle w:val="Heading3"/>
      </w:pPr>
      <w:r>
        <w:t xml:space="preserve">5.3.1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7"/>
    <w:bookmarkStart w:id="38" w:name="meso-network-properties"/>
    <w:p>
      <w:pPr>
        <w:pStyle w:val="Heading3"/>
      </w:pPr>
      <w:r>
        <w:t xml:space="preserve">5.3.2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8"/>
    <w:bookmarkStart w:id="39" w:name="micro-network-properties"/>
    <w:p>
      <w:pPr>
        <w:pStyle w:val="Heading3"/>
      </w:pPr>
      <w:r>
        <w:t xml:space="preserve">5.3.3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7,8]</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9"/>
    <w:bookmarkStart w:id="40" w:name="interactions"/>
    <w:p>
      <w:pPr>
        <w:pStyle w:val="Heading3"/>
      </w:pPr>
      <w:r>
        <w:t xml:space="preserve">5.3.4 Interactions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0"/>
    <w:bookmarkStart w:id="41" w:name="robustness"/>
    <w:p>
      <w:pPr>
        <w:pStyle w:val="Heading3"/>
      </w:pPr>
      <w:r>
        <w:t xml:space="preserve">5.3.5 Robustness</w:t>
      </w:r>
    </w:p>
    <w:p>
      <w:pPr>
        <w:pStyle w:val="FirstParagraph"/>
      </w:pPr>
      <m:oMath>
        <m:sSub>
          <m:e>
            <m:r>
              <m:t>R</m:t>
            </m:r>
          </m:e>
          <m:sub>
            <m:r>
              <m:t>50</m:t>
            </m:r>
          </m:sub>
        </m:sSub>
      </m:oMath>
      <w:r>
        <w:t xml:space="preserve"> </w:t>
      </w:r>
      <w:r>
        <w:t xml:space="preserve">see</w:t>
      </w:r>
      <w:r>
        <w:t xml:space="preserve"> </w:t>
      </w:r>
      <w:r>
        <w:t xml:space="preserve">[28]</w:t>
      </w:r>
    </w:p>
    <w:bookmarkEnd w:id="41"/>
    <w:bookmarkEnd w:id="42"/>
    <w:bookmarkStart w:id="44" w:name="constructing-networks"/>
    <w:p>
      <w:pPr>
        <w:pStyle w:val="Heading2"/>
      </w:pPr>
      <w:r>
        <w:t xml:space="preserve">5.4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Start w:id="43" w:name="network-extinctions"/>
    <w:p>
      <w:pPr>
        <w:pStyle w:val="Heading3"/>
      </w:pPr>
      <w:r>
        <w:t xml:space="preserve">5.4.1 Network extinctions</w:t>
      </w:r>
    </w:p>
    <w:bookmarkEnd w:id="43"/>
    <w:bookmarkEnd w:id="44"/>
    <w:bookmarkEnd w:id="45"/>
    <w:bookmarkStart w:id="60" w:name="results"/>
    <w:p>
      <w:pPr>
        <w:pStyle w:val="Heading1"/>
      </w:pPr>
      <w:r>
        <w:t xml:space="preserve">6. Results</w:t>
      </w:r>
    </w:p>
    <w:bookmarkStart w:id="50" w:name="comparing-predicted-networks"/>
    <w:p>
      <w:pPr>
        <w:pStyle w:val="Heading2"/>
      </w:pPr>
      <w:r>
        <w:t xml:space="preserve">6.1 Comparing predicted networks</w:t>
      </w:r>
    </w:p>
    <w:tbl>
      <w:tblPr>
        <w:tblStyle w:val="Table"/>
        <w:tblW w:type="pct" w:w="5000"/>
        <w:tblLayout w:type="fixed"/>
        <w:tblLook w:firstRow="0" w:lastRow="0" w:firstColumn="0" w:lastColumn="0" w:noHBand="0" w:noVBand="0" w:val="0000"/>
      </w:tblPr>
      <w:tblGrid>
        <w:gridCol w:w="7920"/>
      </w:tblGrid>
      <w:tr>
        <w:tc>
          <w:tcPr/>
          <w:bookmarkStart w:id="49" w:name="fig-summary"/>
          <w:p>
            <w:pPr>
              <w:pStyle w:val="Compact"/>
              <w:jc w:val="center"/>
            </w:pPr>
            <w:r>
              <w:drawing>
                <wp:inline>
                  <wp:extent cx="5334000" cy="8297333"/>
                  <wp:effectExtent b="0" l="0" r="0" t="0"/>
                  <wp:docPr descr="" title="" id="47" name="Picture"/>
                  <a:graphic>
                    <a:graphicData uri="http://schemas.openxmlformats.org/drawingml/2006/picture">
                      <pic:pic>
                        <pic:nvPicPr>
                          <pic:cNvPr descr="figures/summary.png" id="48" name="Picture"/>
                          <pic:cNvPicPr>
                            <a:picLocks noChangeArrowheads="1" noChangeAspect="1"/>
                          </pic:cNvPicPr>
                        </pic:nvPicPr>
                        <pic:blipFill>
                          <a:blip r:embed="rId46"/>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49"/>
        </w:tc>
      </w:tr>
    </w:tbl>
    <w:bookmarkEnd w:id="50"/>
    <w:bookmarkStart w:id="51" w:name="comparing-inference"/>
    <w:p>
      <w:pPr>
        <w:pStyle w:val="Heading2"/>
      </w:pPr>
      <w:r>
        <w:t xml:space="preserve">6.2 Comparing inference</w:t>
      </w:r>
    </w:p>
    <w:bookmarkEnd w:id="51"/>
    <w:bookmarkStart w:id="59" w:name="extinctions"/>
    <w:p>
      <w:pPr>
        <w:pStyle w:val="Heading2"/>
      </w:pPr>
      <w:r>
        <w:t xml:space="preserve">6.3 Extinctions</w:t>
      </w:r>
    </w:p>
    <w:tbl>
      <w:tblPr>
        <w:tblStyle w:val="Table"/>
        <w:tblW w:type="pct" w:w="5000"/>
        <w:tblLayout w:type="fixed"/>
        <w:tblLook w:firstRow="0" w:lastRow="0" w:firstColumn="0" w:lastColumn="0" w:noHBand="0" w:noVBand="0" w:val="0000"/>
      </w:tblPr>
      <w:tblGrid>
        <w:gridCol w:w="7920"/>
      </w:tblGrid>
      <w:tr>
        <w:tc>
          <w:tcPr/>
          <w:bookmarkStart w:id="55" w:name="fig-extinction"/>
          <w:p>
            <w:pPr>
              <w:pStyle w:val="Compact"/>
              <w:jc w:val="center"/>
            </w:pPr>
            <w:r>
              <w:drawing>
                <wp:inline>
                  <wp:extent cx="5334000" cy="10668000"/>
                  <wp:effectExtent b="0" l="0" r="0" t="0"/>
                  <wp:docPr descr="" title="" id="53" name="Picture"/>
                  <a:graphic>
                    <a:graphicData uri="http://schemas.openxmlformats.org/drawingml/2006/picture">
                      <pic:pic>
                        <pic:nvPicPr>
                          <pic:cNvPr descr="figures/extinction.png" id="54" name="Picture"/>
                          <pic:cNvPicPr>
                            <a:picLocks noChangeArrowheads="1" noChangeAspect="1"/>
                          </pic:cNvPicPr>
                        </pic:nvPicPr>
                        <pic:blipFill>
                          <a:blip r:embed="rId52"/>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5"/>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7" name="Picture"/>
            <a:graphic>
              <a:graphicData uri="http://schemas.openxmlformats.org/drawingml/2006/picture">
                <pic:pic>
                  <pic:nvPicPr>
                    <pic:cNvPr descr="figures/extinction_all_results.png" id="58" name="Picture"/>
                    <pic:cNvPicPr>
                      <a:picLocks noChangeArrowheads="1" noChangeAspect="1"/>
                    </pic:cNvPicPr>
                  </pic:nvPicPr>
                  <pic:blipFill>
                    <a:blip r:embed="rId56"/>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9"/>
    <w:bookmarkEnd w:id="60"/>
    <w:bookmarkStart w:id="117" w:name="references"/>
    <w:p>
      <w:pPr>
        <w:pStyle w:val="Heading1"/>
      </w:pPr>
      <w:r>
        <w:t xml:space="preserve">References</w:t>
      </w:r>
    </w:p>
    <w:bookmarkStart w:id="116" w:name="refs"/>
    <w:bookmarkStart w:id="62"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1">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2"/>
    <w:bookmarkStart w:id="64"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4"/>
    <w:bookmarkStart w:id="66"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5">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6"/>
    <w:bookmarkStart w:id="68"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7">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8"/>
    <w:bookmarkStart w:id="70"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9">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70"/>
    <w:bookmarkStart w:id="72" w:name="ref-erdos1959"/>
    <w:p>
      <w:pPr>
        <w:pStyle w:val="Bibliography"/>
      </w:pPr>
      <w:r>
        <w:t xml:space="preserve">6.</w:t>
      </w:r>
      <w:r>
        <w:t xml:space="preserve"> </w:t>
      </w:r>
      <w:r>
        <w:t xml:space="preserve">	</w:t>
      </w:r>
      <w:r>
        <w:t xml:space="preserve">Erdős, P. and Rényi, A. (1959)</w:t>
      </w:r>
      <w:r>
        <w:t xml:space="preserve"> </w:t>
      </w:r>
      <w:hyperlink r:id="rId7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2"/>
    <w:bookmarkStart w:id="74" w:name="ref-williams2008"/>
    <w:p>
      <w:pPr>
        <w:pStyle w:val="Bibliography"/>
      </w:pPr>
      <w:r>
        <w:t xml:space="preserve">7.</w:t>
      </w:r>
      <w:r>
        <w:t xml:space="preserve"> </w:t>
      </w:r>
      <w:r>
        <w:t xml:space="preserve">	</w:t>
      </w:r>
      <w:r>
        <w:t xml:space="preserve">Williams, R.J. and Martinez, N.D. (2008)</w:t>
      </w:r>
      <w:r>
        <w:t xml:space="preserve"> </w:t>
      </w:r>
      <w:hyperlink r:id="rId7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4"/>
    <w:bookmarkStart w:id="76" w:name="ref-petchey2008"/>
    <w:p>
      <w:pPr>
        <w:pStyle w:val="Bibliography"/>
      </w:pPr>
      <w:r>
        <w:t xml:space="preserve">8.</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6"/>
    <w:bookmarkStart w:id="78" w:name="ref-schneider2016"/>
    <w:p>
      <w:pPr>
        <w:pStyle w:val="Bibliography"/>
      </w:pPr>
      <w:r>
        <w:t xml:space="preserve">9.</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8"/>
    <w:bookmarkStart w:id="80" w:name="ref-shaw2024"/>
    <w:p>
      <w:pPr>
        <w:pStyle w:val="Bibliography"/>
      </w:pPr>
      <w:r>
        <w:t xml:space="preserve">10.</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9">
        <w:r>
          <w:rPr>
            <w:rStyle w:val="Hyperlink"/>
          </w:rPr>
          <w:t xml:space="preserve">A framework for reconstructing ancient food webs using functional trait data</w:t>
        </w:r>
      </w:hyperlink>
      <w:r>
        <w:t xml:space="preserve">bioRxiv, 2024.01.30.578036</w:t>
      </w:r>
    </w:p>
    <w:bookmarkEnd w:id="80"/>
    <w:bookmarkStart w:id="82" w:name="ref-rohr2010"/>
    <w:p>
      <w:pPr>
        <w:pStyle w:val="Bibliography"/>
      </w:pPr>
      <w:r>
        <w:t xml:space="preserve">11.</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1">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2"/>
    <w:bookmarkStart w:id="84" w:name="ref-williams2000"/>
    <w:p>
      <w:pPr>
        <w:pStyle w:val="Bibliography"/>
      </w:pPr>
      <w:r>
        <w:t xml:space="preserve">12.</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gauzens2023"/>
    <w:p>
      <w:pPr>
        <w:pStyle w:val="Bibliography"/>
      </w:pPr>
      <w:r>
        <w:t xml:space="preserve">13.</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5">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6"/>
    <w:bookmarkStart w:id="88" w:name="ref-roopnarine2006"/>
    <w:p>
      <w:pPr>
        <w:pStyle w:val="Bibliography"/>
      </w:pPr>
      <w:r>
        <w:t xml:space="preserve">14.</w:t>
      </w:r>
      <w:r>
        <w:t xml:space="preserve"> </w:t>
      </w:r>
      <w:r>
        <w:t xml:space="preserve">	</w:t>
      </w:r>
      <w:r>
        <w:t xml:space="preserve">Roopnarine, P.D. (2006)</w:t>
      </w:r>
      <w:r>
        <w:t xml:space="preserve"> </w:t>
      </w:r>
      <w:hyperlink r:id="rId87">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8"/>
    <w:bookmarkStart w:id="89"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89"/>
    <w:bookmarkStart w:id="91"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1"/>
    <w:bookmarkStart w:id="93"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2">
        <w:r>
          <w:rPr>
            <w:rStyle w:val="Hyperlink"/>
          </w:rPr>
          <w:t xml:space="preserve">10.1111/brv.12433</w:t>
        </w:r>
      </w:hyperlink>
    </w:p>
    <w:bookmarkEnd w:id="93"/>
    <w:bookmarkStart w:id="95"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4">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5"/>
    <w:bookmarkStart w:id="97" w:name="ref-williams2004"/>
    <w:p>
      <w:pPr>
        <w:pStyle w:val="Bibliography"/>
      </w:pPr>
      <w:r>
        <w:t xml:space="preserve">19.</w:t>
      </w:r>
      <w:r>
        <w:t xml:space="preserve"> </w:t>
      </w:r>
      <w:r>
        <w:t xml:space="preserve">	</w:t>
      </w:r>
      <w:r>
        <w:t xml:space="preserve">Williams, R.J. and Martinez, N.D. (2004)</w:t>
      </w:r>
      <w:r>
        <w:t xml:space="preserve"> </w:t>
      </w:r>
      <w:hyperlink r:id="rId96">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97"/>
    <w:bookmarkStart w:id="99"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98">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99"/>
    <w:bookmarkStart w:id="101"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0">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1"/>
    <w:bookmarkStart w:id="103"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2">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3"/>
    <w:bookmarkStart w:id="105"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4">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5"/>
    <w:bookmarkStart w:id="107" w:name="ref-martinez1992"/>
    <w:p>
      <w:pPr>
        <w:pStyle w:val="Bibliography"/>
      </w:pPr>
      <w:r>
        <w:t xml:space="preserve">24.</w:t>
      </w:r>
      <w:r>
        <w:t xml:space="preserve"> </w:t>
      </w:r>
      <w:r>
        <w:t xml:space="preserve">	</w:t>
      </w:r>
      <w:r>
        <w:t xml:space="preserve">Martinez, N.D. (1992)</w:t>
      </w:r>
      <w:r>
        <w:t xml:space="preserve"> </w:t>
      </w:r>
      <w:hyperlink r:id="rId106">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07"/>
    <w:bookmarkStart w:id="109"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09"/>
    <w:bookmarkStart w:id="111" w:name="ref-schoener1989"/>
    <w:p>
      <w:pPr>
        <w:pStyle w:val="Bibliography"/>
      </w:pPr>
      <w:r>
        <w:t xml:space="preserve">26.</w:t>
      </w:r>
      <w:r>
        <w:t xml:space="preserve"> </w:t>
      </w:r>
      <w:r>
        <w:t xml:space="preserve">	</w:t>
      </w:r>
      <w:r>
        <w:t xml:space="preserve">Schoener, T.W. (1989)</w:t>
      </w:r>
      <w:r>
        <w:t xml:space="preserve"> </w:t>
      </w:r>
      <w:hyperlink r:id="rId11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1"/>
    <w:bookmarkStart w:id="113"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3"/>
    <w:bookmarkStart w:id="115"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5"/>
    <w:bookmarkEnd w:id="116"/>
    <w:bookmarkEnd w:id="11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6" Target="media/rId46.png" /><Relationship Type="http://schemas.openxmlformats.org/officeDocument/2006/relationships/hyperlink" Id="rId106"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77" Target="https://doi.org/10.1038/ncomms12718" TargetMode="External" /><Relationship Type="http://schemas.openxmlformats.org/officeDocument/2006/relationships/hyperlink" Id="rId98" Target="https://doi.org/10.1038/ncomms2422" TargetMode="External" /><Relationship Type="http://schemas.openxmlformats.org/officeDocument/2006/relationships/hyperlink" Id="rId61" Target="https://doi.org/10.1038/s41467-024-53000-2" TargetMode="External" /><Relationship Type="http://schemas.openxmlformats.org/officeDocument/2006/relationships/hyperlink" Id="rId75" Target="https://doi.org/10.1073/pnas.0710672105" TargetMode="External" /><Relationship Type="http://schemas.openxmlformats.org/officeDocument/2006/relationships/hyperlink" Id="rId90" Target="https://doi.org/10.1073/pnas.1408471111" TargetMode="External" /><Relationship Type="http://schemas.openxmlformats.org/officeDocument/2006/relationships/hyperlink" Id="rId81" Target="https://doi.org/10.1086/653667" TargetMode="External" /><Relationship Type="http://schemas.openxmlformats.org/officeDocument/2006/relationships/hyperlink" Id="rId104" Target="https://doi.org/10.1098/rspb.2007.0571" TargetMode="External" /><Relationship Type="http://schemas.openxmlformats.org/officeDocument/2006/relationships/hyperlink" Id="rId108" Target="https://doi.org/10.1098/rstb.2021.0063" TargetMode="External" /><Relationship Type="http://schemas.openxmlformats.org/officeDocument/2006/relationships/hyperlink" Id="rId79" Target="https://doi.org/10.1101/2024.01.30.578036" TargetMode="External" /><Relationship Type="http://schemas.openxmlformats.org/officeDocument/2006/relationships/hyperlink" Id="rId85" Target="https://doi.org/10.1111/2041-210X.14212" TargetMode="External" /><Relationship Type="http://schemas.openxmlformats.org/officeDocument/2006/relationships/hyperlink" Id="rId63" Target="https://doi.org/10.1111/2041-210X.14228" TargetMode="External" /><Relationship Type="http://schemas.openxmlformats.org/officeDocument/2006/relationships/hyperlink" Id="rId92" Target="https://doi.org/10.1111/brv.12433" TargetMode="External" /><Relationship Type="http://schemas.openxmlformats.org/officeDocument/2006/relationships/hyperlink" Id="rId65" Target="https://doi.org/10.1111/ele.13966" TargetMode="External" /><Relationship Type="http://schemas.openxmlformats.org/officeDocument/2006/relationships/hyperlink" Id="rId73" Target="https://doi.org/10.1111/j.1365-2656.2008.01362.x" TargetMode="External" /><Relationship Type="http://schemas.openxmlformats.org/officeDocument/2006/relationships/hyperlink" Id="rId69" Target="https://doi.org/10.1111/j.1475-4983.2006.00611.x" TargetMode="External" /><Relationship Type="http://schemas.openxmlformats.org/officeDocument/2006/relationships/hyperlink" Id="rId112" Target="https://doi.org/10.1111/j.2041-210x.2011.00174.x" TargetMode="External" /><Relationship Type="http://schemas.openxmlformats.org/officeDocument/2006/relationships/hyperlink" Id="rId114" Target="https://doi.org/10.1111/oik.01588" TargetMode="External" /><Relationship Type="http://schemas.openxmlformats.org/officeDocument/2006/relationships/hyperlink" Id="rId94" Target="https://doi.org/10.1126/science.1156269" TargetMode="External" /><Relationship Type="http://schemas.openxmlformats.org/officeDocument/2006/relationships/hyperlink" Id="rId102" Target="https://doi.org/10.1126/science.298.5594.824" TargetMode="External" /><Relationship Type="http://schemas.openxmlformats.org/officeDocument/2006/relationships/hyperlink" Id="rId67" Target="https://doi.org/10.1126/science.abn4012" TargetMode="External" /><Relationship Type="http://schemas.openxmlformats.org/officeDocument/2006/relationships/hyperlink" Id="rId96" Target="https://doi.org/10.1140/epjb/e2004-00122-1" TargetMode="External" /><Relationship Type="http://schemas.openxmlformats.org/officeDocument/2006/relationships/hyperlink" Id="rId110" Target="https://doi.org/10.2307/1938088" TargetMode="External" /><Relationship Type="http://schemas.openxmlformats.org/officeDocument/2006/relationships/hyperlink" Id="rId100" Target="https://doi.org/10.3389/fevo.2021.623141" TargetMode="External" /><Relationship Type="http://schemas.openxmlformats.org/officeDocument/2006/relationships/hyperlink" Id="rId71" Target="https://doi.org/10.5486/pmd.1959.6.3-4.12" TargetMode="External" /><Relationship Type="http://schemas.openxmlformats.org/officeDocument/2006/relationships/hyperlink" Id="rId87"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6"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77" Target="https://doi.org/10.1038/ncomms12718" TargetMode="External" /><Relationship Type="http://schemas.openxmlformats.org/officeDocument/2006/relationships/hyperlink" Id="rId98" Target="https://doi.org/10.1038/ncomms2422" TargetMode="External" /><Relationship Type="http://schemas.openxmlformats.org/officeDocument/2006/relationships/hyperlink" Id="rId61" Target="https://doi.org/10.1038/s41467-024-53000-2" TargetMode="External" /><Relationship Type="http://schemas.openxmlformats.org/officeDocument/2006/relationships/hyperlink" Id="rId75" Target="https://doi.org/10.1073/pnas.0710672105" TargetMode="External" /><Relationship Type="http://schemas.openxmlformats.org/officeDocument/2006/relationships/hyperlink" Id="rId90" Target="https://doi.org/10.1073/pnas.1408471111" TargetMode="External" /><Relationship Type="http://schemas.openxmlformats.org/officeDocument/2006/relationships/hyperlink" Id="rId81" Target="https://doi.org/10.1086/653667" TargetMode="External" /><Relationship Type="http://schemas.openxmlformats.org/officeDocument/2006/relationships/hyperlink" Id="rId104" Target="https://doi.org/10.1098/rspb.2007.0571" TargetMode="External" /><Relationship Type="http://schemas.openxmlformats.org/officeDocument/2006/relationships/hyperlink" Id="rId108" Target="https://doi.org/10.1098/rstb.2021.0063" TargetMode="External" /><Relationship Type="http://schemas.openxmlformats.org/officeDocument/2006/relationships/hyperlink" Id="rId79" Target="https://doi.org/10.1101/2024.01.30.578036" TargetMode="External" /><Relationship Type="http://schemas.openxmlformats.org/officeDocument/2006/relationships/hyperlink" Id="rId85" Target="https://doi.org/10.1111/2041-210X.14212" TargetMode="External" /><Relationship Type="http://schemas.openxmlformats.org/officeDocument/2006/relationships/hyperlink" Id="rId63" Target="https://doi.org/10.1111/2041-210X.14228" TargetMode="External" /><Relationship Type="http://schemas.openxmlformats.org/officeDocument/2006/relationships/hyperlink" Id="rId92" Target="https://doi.org/10.1111/brv.12433" TargetMode="External" /><Relationship Type="http://schemas.openxmlformats.org/officeDocument/2006/relationships/hyperlink" Id="rId65" Target="https://doi.org/10.1111/ele.13966" TargetMode="External" /><Relationship Type="http://schemas.openxmlformats.org/officeDocument/2006/relationships/hyperlink" Id="rId73" Target="https://doi.org/10.1111/j.1365-2656.2008.01362.x" TargetMode="External" /><Relationship Type="http://schemas.openxmlformats.org/officeDocument/2006/relationships/hyperlink" Id="rId69" Target="https://doi.org/10.1111/j.1475-4983.2006.00611.x" TargetMode="External" /><Relationship Type="http://schemas.openxmlformats.org/officeDocument/2006/relationships/hyperlink" Id="rId112" Target="https://doi.org/10.1111/j.2041-210x.2011.00174.x" TargetMode="External" /><Relationship Type="http://schemas.openxmlformats.org/officeDocument/2006/relationships/hyperlink" Id="rId114" Target="https://doi.org/10.1111/oik.01588" TargetMode="External" /><Relationship Type="http://schemas.openxmlformats.org/officeDocument/2006/relationships/hyperlink" Id="rId94" Target="https://doi.org/10.1126/science.1156269" TargetMode="External" /><Relationship Type="http://schemas.openxmlformats.org/officeDocument/2006/relationships/hyperlink" Id="rId102" Target="https://doi.org/10.1126/science.298.5594.824" TargetMode="External" /><Relationship Type="http://schemas.openxmlformats.org/officeDocument/2006/relationships/hyperlink" Id="rId67" Target="https://doi.org/10.1126/science.abn4012" TargetMode="External" /><Relationship Type="http://schemas.openxmlformats.org/officeDocument/2006/relationships/hyperlink" Id="rId96" Target="https://doi.org/10.1140/epjb/e2004-00122-1" TargetMode="External" /><Relationship Type="http://schemas.openxmlformats.org/officeDocument/2006/relationships/hyperlink" Id="rId110" Target="https://doi.org/10.2307/1938088" TargetMode="External" /><Relationship Type="http://schemas.openxmlformats.org/officeDocument/2006/relationships/hyperlink" Id="rId100" Target="https://doi.org/10.3389/fevo.2021.623141" TargetMode="External" /><Relationship Type="http://schemas.openxmlformats.org/officeDocument/2006/relationships/hyperlink" Id="rId71" Target="https://doi.org/10.5486/pmd.1959.6.3-4.12" TargetMode="External" /><Relationship Type="http://schemas.openxmlformats.org/officeDocument/2006/relationships/hyperlink" Id="rId87"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2025-05-04T17:30:58Z</dcterms:created>
  <dcterms:modified xsi:type="dcterms:W3CDTF">2025-05-04T17:30:58Z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2025-05-04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