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46.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2024-10-25</w:t>
      </w:r>
    </w:p>
    <w:p>
      <w:pPr>
        <w:pStyle w:val="AbstractTitle"/>
      </w:pPr>
      <w:r>
        <w:t xml:space="preserve">Abstract</w:t>
      </w:r>
    </w:p>
    <w:p>
      <w:pPr>
        <w:pStyle w:val="Abstract"/>
      </w:pPr>
      <w:r>
        <w:t xml:space="preserve">TODO.</w:t>
      </w:r>
    </w:p>
    <w:bookmarkStart w:id="20" w:name="why-build-paleo-food-webs"/>
    <w:p>
      <w:pPr>
        <w:pStyle w:val="Heading1"/>
      </w:pPr>
      <w:r>
        <w:t xml:space="preserve">1. Why build paleo food webs?</w:t>
      </w:r>
    </w:p>
    <w:p>
      <w:pPr>
        <w:numPr>
          <w:ilvl w:val="0"/>
          <w:numId w:val="1001"/>
        </w:numPr>
      </w:pPr>
      <w:r>
        <w:t xml:space="preserve">Because its interesting?</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and realised networks, which represent the subset of potential that are realised as a result of community and environmental context.</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24" w:name="dataset-overview"/>
    <w:p>
      <w:pPr>
        <w:pStyle w:val="Heading1"/>
      </w:pPr>
      <w:r>
        <w:t xml:space="preserve">5. Dataset Overview</w:t>
      </w:r>
    </w:p>
    <w:p>
      <w:pPr>
        <w:numPr>
          <w:ilvl w:val="0"/>
          <w:numId w:val="1005"/>
        </w:numPr>
      </w:pPr>
      <w:r>
        <w:t xml:space="preserve">Species</w:t>
      </w:r>
    </w:p>
    <w:p>
      <w:pPr>
        <w:numPr>
          <w:ilvl w:val="0"/>
          <w:numId w:val="1005"/>
        </w:numPr>
      </w:pPr>
      <w:r>
        <w:t xml:space="preserve">Time/space</w:t>
      </w:r>
    </w:p>
    <w:p>
      <w:pPr>
        <w:numPr>
          <w:ilvl w:val="0"/>
          <w:numId w:val="1005"/>
        </w:numPr>
      </w:pPr>
      <w:r>
        <w:t xml:space="preserve">And probably some other paleo things that will be relevant…</w:t>
      </w:r>
    </w:p>
    <w:bookmarkEnd w:id="24"/>
    <w:bookmarkStart w:id="35" w:name="methods"/>
    <w:p>
      <w:pPr>
        <w:pStyle w:val="Heading1"/>
      </w:pPr>
      <w:r>
        <w:t xml:space="preserve">6. Methods</w:t>
      </w:r>
    </w:p>
    <w:bookmarkStart w:id="33" w:name="models"/>
    <w:p>
      <w:pPr>
        <w:pStyle w:val="Heading2"/>
      </w:pPr>
      <w:r>
        <w:t xml:space="preserve">6.1 Models</w:t>
      </w:r>
    </w:p>
    <w:tbl>
      <w:tblPr>
        <w:tblStyle w:val="Table"/>
        <w:tblW w:type="pct" w:w="5000"/>
        <w:tblLayout w:type="fixed"/>
        <w:tblLook w:firstRow="0" w:lastRow="0" w:firstColumn="0" w:lastColumn="0" w:noHBand="0" w:noVBand="0" w:val="0000"/>
      </w:tblPr>
      <w:tblGrid>
        <w:gridCol w:w="7920"/>
      </w:tblGrid>
      <w:tr>
        <w:tc>
          <w:tcPr/>
          <w:bookmarkStart w:id="25" w:name="tbl-models"/>
          <w:p>
            <w:pPr>
              <w:jc w:val="center"/>
            </w:pPr>
            <w:pPr>
              <w:jc w:val="star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2027"/>
              <w:gridCol w:w="2280"/>
              <w:gridCol w:w="3611"/>
            </w:tblGrid>
            <w:tr>
              <w:trPr>
                <w:tblHeader w:val="on"/>
              </w:trPr>
              <w:tc>
                <w:tcPr/>
                <w:p>
                  <w:pPr>
                    <w:pStyle w:val="Compact"/>
                    <w:jc w:val="center"/>
                  </w:pPr>
                  <w:r>
                    <w:t xml:space="preserve">Model</w:t>
                  </w:r>
                </w:p>
              </w:tc>
              <w:tc>
                <w:tcPr/>
                <w:p>
                  <w:pPr>
                    <w:pStyle w:val="Compact"/>
                    <w:jc w:val="center"/>
                  </w:pPr>
                  <w:r>
                    <w:t xml:space="preserve">Predicts</w:t>
                  </w:r>
                </w:p>
              </w:tc>
              <w:tc>
                <w:tcPr/>
                <w:p>
                  <w:pPr>
                    <w:pStyle w:val="Compact"/>
                    <w:jc w:val="center"/>
                  </w:pPr>
                  <w:r>
                    <w:t xml:space="preserve">Notes</w:t>
                  </w:r>
                </w:p>
              </w:tc>
            </w:tr>
            <w:tr>
              <w:tc>
                <w:tcPr/>
                <w:p>
                  <w:pPr>
                    <w:pStyle w:val="Compact"/>
                    <w:jc w:val="center"/>
                  </w:pPr>
                  <w:r>
                    <w:t xml:space="preserve">Allometric diet breadth model</w:t>
                  </w:r>
                </w:p>
              </w:tc>
              <w:tc>
                <w:tcPr/>
                <w:p>
                  <w:pPr>
                    <w:pStyle w:val="Compact"/>
                    <w:jc w:val="center"/>
                  </w:pPr>
                  <w:r>
                    <w:t xml:space="preserve">Realised network</w:t>
                  </w:r>
                </w:p>
              </w:tc>
              <w:tc>
                <w:tcPr/>
                <w:p>
                  <w:pPr>
                    <w:pStyle w:val="Compact"/>
                  </w:pPr>
                </w:p>
              </w:tc>
            </w:tr>
            <w:tr>
              <w:tc>
                <w:tcPr/>
                <w:p>
                  <w:pPr>
                    <w:pStyle w:val="Compact"/>
                    <w:jc w:val="center"/>
                  </w:pPr>
                  <w:r>
                    <w:t xml:space="preserve">Body size ratio model</w:t>
                  </w:r>
                </w:p>
              </w:tc>
              <w:tc>
                <w:tcPr/>
                <w:p>
                  <w:pPr>
                    <w:pStyle w:val="Compact"/>
                    <w:jc w:val="center"/>
                  </w:pPr>
                  <w:r>
                    <w:t xml:space="preserve">Metaweb (?)</w:t>
                  </w:r>
                </w:p>
              </w:tc>
              <w:tc>
                <w:tcPr/>
                <w:p>
                  <w:pPr>
                    <w:pStyle w:val="Compact"/>
                  </w:pPr>
                </w:p>
              </w:tc>
            </w:tr>
            <w:tr>
              <w:tc>
                <w:tcPr/>
                <w:p>
                  <w:pPr>
                    <w:pStyle w:val="Compact"/>
                    <w:jc w:val="center"/>
                  </w:pPr>
                  <w:r>
                    <w:t xml:space="preserve">Niche model</w:t>
                  </w:r>
                </w:p>
              </w:tc>
              <w:tc>
                <w:tcPr/>
                <w:p>
                  <w:pPr>
                    <w:pStyle w:val="Compact"/>
                    <w:jc w:val="center"/>
                  </w:pPr>
                  <w:r>
                    <w:t xml:space="preserve">Structural network</w:t>
                  </w:r>
                </w:p>
              </w:tc>
              <w:tc>
                <w:tcPr/>
                <w:p>
                  <w:pPr>
                    <w:pStyle w:val="Compact"/>
                    <w:jc w:val="center"/>
                  </w:pPr>
                  <w:r>
                    <w:t xml:space="preserve">Is not species specific - cannot apply species metadata</w:t>
                  </w:r>
                </w:p>
              </w:tc>
            </w:tr>
            <w:tr>
              <w:tc>
                <w:tcPr/>
                <w:p>
                  <w:pPr>
                    <w:pStyle w:val="Compact"/>
                    <w:jc w:val="center"/>
                  </w:pPr>
                  <w:r>
                    <w:t xml:space="preserve">Paleo food web inference model</w:t>
                  </w:r>
                </w:p>
              </w:tc>
              <w:tc>
                <w:tcPr/>
                <w:p>
                  <w:pPr>
                    <w:pStyle w:val="Compact"/>
                    <w:jc w:val="center"/>
                  </w:pPr>
                  <w:r>
                    <w:t xml:space="preserve">Realised network (if downsampling)</w:t>
                  </w:r>
                </w:p>
              </w:tc>
              <w:tc>
                <w:tcPr/>
                <w:p>
                  <w:pPr>
                    <w:pStyle w:val="Compact"/>
                  </w:pPr>
                </w:p>
              </w:tc>
            </w:tr>
          </w:tbl>
          <w:bookmarkEnd w:id="25"/>
          <w:p/>
        </w:tc>
      </w:tr>
    </w:tbl>
    <w:bookmarkStart w:id="27" w:name="paleo-food-web-inference-model"/>
    <w:p>
      <w:pPr>
        <w:pStyle w:val="Heading3"/>
      </w:pPr>
      <w:r>
        <w:t xml:space="preserve">6.1.1 Paleo food web inference model</w:t>
      </w:r>
    </w:p>
    <w:p>
      <w:pPr>
        <w:pStyle w:val="FirstParagraph"/>
      </w:pPr>
      <w:r>
        <w:t xml:space="preserve">The Paleo food web inference model (PFIM;</w:t>
      </w:r>
      <w:r>
        <w:t xml:space="preserve"> </w:t>
      </w:r>
      <w:r>
        <w:t xml:space="preserve">[5]</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[5]</w:t>
      </w:r>
      <w:r>
        <w:t xml:space="preserve"> </w:t>
      </w:r>
      <w:r>
        <w:t xml:space="preserve">also includes a</w:t>
      </w:r>
      <w:r>
        <w:t xml:space="preserve"> </w:t>
      </w:r>
      <w:r>
        <w:t xml:space="preserve">‘downsampling’</w:t>
      </w:r>
      <w:r>
        <w:t xml:space="preserve"> </w:t>
      </w:r>
      <w:r>
        <w:t xml:space="preserve">step developed by</w:t>
      </w:r>
      <w:r>
        <w:t xml:space="preserve"> </w:t>
      </w:r>
      <w:r>
        <w:t xml:space="preserve">[6]</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[7]</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Start w:id="26" w:name="X52c2b1ceae55ca46c0e64a186c37ffa72194672"/>
    <w:p>
      <w:pPr>
        <w:pStyle w:val="Heading4"/>
      </w:pPr>
      <w:r>
        <w:t xml:space="preserve">6.1.1.1 Defining organism ecologies, feeding interactions and trophic guilds</w:t>
      </w:r>
    </w:p>
    <w:p>
      <w:pPr>
        <w:pStyle w:val="BlockText"/>
      </w:pPr>
      <w:r>
        <w:t xml:space="preserve">This is currently verbatim from the Dunhill ms…</w:t>
      </w:r>
    </w:p>
    <w:p>
      <w:pPr>
        <w:pStyle w:val="FirstParagraph"/>
      </w:pPr>
      <w:r>
        <w:t xml:space="preserve">Modes of life were defined for each fossil species based on the ecological traits defined in the Bambach ecospace model</w:t>
      </w:r>
      <w:r>
        <w:t xml:space="preserve"> </w:t>
      </w:r>
      <w:r>
        <w:t xml:space="preserve">[8]</w:t>
      </w:r>
      <w:r>
        <w:t xml:space="preserve">. Ecological traits were assigned based on interpretations from the published literature which are largely based on functional morphology and information from extant relatives. Information on the body size of each species was also recorded by summarising mean specimen sizes from the section into a categorical classification. The following ecological characteristics were recorded for each fossil species;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Size categories are defined by the longest axis of the fossil, estimates of tracemaker size from trace fossils based on literature accounts, or by extrapolating the total length for belemnites from the preserved guard using established approaches78,79.</w:t>
      </w:r>
    </w:p>
    <w:bookmarkEnd w:id="26"/>
    <w:bookmarkEnd w:id="27"/>
    <w:bookmarkStart w:id="29" w:name="allometric-diet-breadth-model"/>
    <w:p>
      <w:pPr>
        <w:pStyle w:val="Heading3"/>
      </w:pPr>
      <w:r>
        <w:t xml:space="preserve">6.1.2 Allometric diet breadth model</w:t>
      </w:r>
    </w:p>
    <w:p>
      <w:pPr>
        <w:pStyle w:val="FirstParagraph"/>
      </w:pPr>
      <w:r>
        <w:t xml:space="preserve">The Allometric diet breadth model (ADBM;</w:t>
      </w:r>
      <w:r>
        <w:t xml:space="preserve"> </w:t>
      </w:r>
      <w:r>
        <w:t xml:space="preserve">[9]</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w:bookmarkStart w:id="28" w:name="eq-adbm"/>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r>
            <m:t>  </m:t>
          </m:r>
          <m:d>
            <m:dPr>
              <m:begChr m:val="("/>
              <m:endChr m:val=")"/>
              <m:sepChr m:val=""/>
              <m:grow/>
            </m:dPr>
            <m:e>
              <m:r>
                <m:t>1</m:t>
              </m:r>
            </m:e>
          </m:d>
        </m:oMath>
      </m:oMathPara>
      <w:bookmarkEnd w:id="28"/>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[9]</w:t>
      </w:r>
      <w:r>
        <w:t xml:space="preserve"> </w:t>
      </w:r>
      <w:r>
        <w:t xml:space="preserve">for more details as to how these different terms are parametrised.</w:t>
      </w:r>
    </w:p>
    <w:bookmarkEnd w:id="29"/>
    <w:bookmarkStart w:id="31" w:name="body-size-ratio-model"/>
    <w:p>
      <w:pPr>
        <w:pStyle w:val="Heading3"/>
      </w:pPr>
      <w:r>
        <w:t xml:space="preserve">6.1.3 Body size ratio model</w:t>
      </w:r>
    </w:p>
    <w:p>
      <w:pPr>
        <w:pStyle w:val="FirstParagraph"/>
      </w:pPr>
      <w:r>
        <w:t xml:space="preserve">The body size ratio model</w:t>
      </w:r>
      <w:r>
        <w:t xml:space="preserve"> </w:t>
      </w:r>
      <w:r>
        <w:t xml:space="preserve">[10]</w:t>
      </w:r>
      <w:r>
        <w:t xml:space="preserve"> </w:t>
      </w:r>
      <w:r>
        <w:t xml:space="preserve">determines feeding interactions using the ratio between consumer and resource body sizes - which supposedly stems from niche theory (still trying to reconcile that myself).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0" w:name="eq-bodymass"/>
      <m:oMathPara>
        <m:oMathParaPr>
          <m:jc m:val="center"/>
        </m:oMathParaPr>
        <m:oMath>
          <m:r>
            <m:t>p</m:t>
          </m:r>
          <m:r>
            <m:rPr>
              <m:sty m:val="p"/>
            </m:rPr>
            <m:t>=</m:t>
          </m:r>
          <m:r>
            <m:t>e</m:t>
          </m:r>
          <m:r>
            <m:t>x</m:t>
          </m:r>
          <m:r>
            <m:t>p</m:t>
          </m:r>
          <m:d>
            <m:dPr>
              <m:begChr m:val="["/>
              <m:endChr m:val="]"/>
              <m:sepChr m:val=""/>
              <m:grow/>
            </m:dPr>
            <m:e>
              <m:r>
                <m:t>α</m:t>
              </m:r>
              <m:r>
                <m:rPr>
                  <m:sty m:val="p"/>
                </m:rPr>
                <m:t>+</m:t>
              </m:r>
              <m:r>
                <m:t>β</m:t>
              </m:r>
              <m:r>
                <m:t>l</m:t>
              </m:r>
              <m:r>
                <m:t>o</m:t>
              </m:r>
              <m:r>
                <m:t>g</m:t>
              </m:r>
              <m:d>
                <m:dPr>
                  <m:begChr m:val="("/>
                  <m:endChr m:val=")"/>
                  <m:sep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endChr m:val=")"/>
                  <m:sepChr m:val=""/>
                  <m:grow/>
                </m:dPr>
                <m:e>
                  <m:f>
                    <m:fPr>
                      <m:type m:val="bar"/>
                    </m:fPr>
                    <m:num>
                      <m:sSub>
                        <m:e>
                          <m:r>
                            <m:t>M</m:t>
                          </m:r>
                        </m:e>
                        <m:sub>
                          <m:r>
                            <m:t>i</m:t>
                          </m:r>
                        </m:sub>
                      </m:sSub>
                    </m:num>
                    <m:den>
                      <m:sSub>
                        <m:e>
                          <m:r>
                            <m:t>M</m:t>
                          </m:r>
                        </m:e>
                        <m:sub>
                          <m:r>
                            <m:t>j</m:t>
                          </m:r>
                        </m:sub>
                      </m:sSub>
                    </m:den>
                  </m:f>
                </m:e>
              </m:d>
            </m:e>
          </m:d>
          <m:r>
            <m:t>  </m:t>
          </m:r>
          <m:d>
            <m:dPr>
              <m:begChr m:val="("/>
              <m:endChr m:val=")"/>
              <m:sepChr m:val=""/>
              <m:grow/>
            </m:dPr>
            <m:e>
              <m:r>
                <m:t>2</m:t>
              </m:r>
            </m:e>
          </m:d>
        </m:oMath>
      </m:oMathPara>
      <w:bookmarkEnd w:id="30"/>
    </w:p>
    <w:p>
      <w:pPr>
        <w:pStyle w:val="FirstParagraph"/>
      </w:pPr>
      <w:r>
        <w:t xml:space="preserve">The original latent-trait model developed by</w:t>
      </w:r>
      <w:r>
        <w:t xml:space="preserve"> </w:t>
      </w:r>
      <w:r>
        <w:t xml:space="preserve">[10]</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2</w:t>
        </w:r>
      </w:hyperlink>
      <w:r>
        <w:t xml:space="preserve"> </w:t>
      </w:r>
      <w:r>
        <w:t xml:space="preserve">as per</w:t>
      </w:r>
      <w:r>
        <w:t xml:space="preserve"> </w:t>
      </w:r>
      <w:r>
        <w:t xml:space="preserve">[11]</w:t>
      </w:r>
      <w:r>
        <w:t xml:space="preserve"> </w:t>
      </w:r>
      <w:r>
        <w:t xml:space="preserve">Based on</w:t>
      </w:r>
      <w:r>
        <w:t xml:space="preserve"> </w:t>
      </w:r>
      <w:r>
        <w:t xml:space="preserve">[10]</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[11]</w:t>
      </w:r>
      <w:r>
        <w:t xml:space="preserve">, which was</w:t>
      </w:r>
      <w:r>
        <w:t xml:space="preserve"> </w:t>
      </w:r>
      <w:r>
        <w:t xml:space="preserve">‘trained’</w:t>
      </w:r>
      <w:r>
        <w:t xml:space="preserve"> </w:t>
      </w:r>
      <w:r>
        <w:t xml:space="preserve">on the Serengeti food web data and are as follows:</w:t>
      </w:r>
      <w:r>
        <w:t xml:space="preserve"> </w:t>
      </w:r>
      <m:oMath>
        <m:r>
          <m:t>α</m:t>
        </m:r>
        <m:r>
          <m:rPr>
            <m:sty m:val="p"/>
          </m:rPr>
          <m:t>=</m:t>
        </m:r>
        <m:r>
          <m:t>1.41</m:t>
        </m:r>
      </m:oMath>
      <w:r>
        <w:t xml:space="preserve">,</w:t>
      </w:r>
      <w:r>
        <w:t xml:space="preserve"> </w:t>
      </w:r>
      <m:oMath>
        <m:r>
          <m:t>δ</m:t>
        </m:r>
        <m:r>
          <m:rPr>
            <m:sty m:val="p"/>
          </m:rPr>
          <m:t>=</m:t>
        </m:r>
        <m:r>
          <m:t>3.75</m:t>
        </m:r>
      </m:oMath>
      <w:r>
        <w:t xml:space="preserve">, and</w:t>
      </w:r>
      <w:r>
        <w:t xml:space="preserve"> </w:t>
      </w:r>
      <m:oMath>
        <m:r>
          <m:t>γ</m:t>
        </m:r>
        <m:r>
          <m:rPr>
            <m:sty m:val="p"/>
          </m:rPr>
          <m:t>=</m:t>
        </m:r>
        <m:r>
          <m:t>1.87</m:t>
        </m:r>
      </m:oMath>
      <w:r>
        <w:t xml:space="preserve">.</w:t>
      </w:r>
    </w:p>
    <w:bookmarkEnd w:id="31"/>
    <w:bookmarkStart w:id="32" w:name="niche-model"/>
    <w:p>
      <w:pPr>
        <w:pStyle w:val="Heading3"/>
      </w:pPr>
      <w:r>
        <w:t xml:space="preserve">6.1.4 Niche model</w:t>
      </w:r>
    </w:p>
    <w:p>
      <w:pPr>
        <w:pStyle w:val="FirstParagraph"/>
      </w:pPr>
      <w:r>
        <w:t xml:space="preserve">The niche model</w:t>
      </w:r>
      <w:r>
        <w:t xml:space="preserve"> </w:t>
      </w:r>
      <w:r>
        <w:t xml:space="preserve">[12]</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[13]</w:t>
      </w:r>
      <w:r>
        <w:t xml:space="preserve">.</w:t>
      </w:r>
    </w:p>
    <w:bookmarkEnd w:id="32"/>
    <w:bookmarkEnd w:id="33"/>
    <w:bookmarkStart w:id="34" w:name="assessing-model-performance"/>
    <w:p>
      <w:pPr>
        <w:pStyle w:val="Heading2"/>
      </w:pPr>
      <w:r>
        <w:t xml:space="preserve">6.2 Assessing model performance</w:t>
      </w:r>
    </w:p>
    <w:p>
      <w:pPr>
        <w:pStyle w:val="FirstParagraph"/>
      </w:pPr>
      <w:r>
        <w:t xml:space="preserve">blah blah</w:t>
      </w:r>
    </w:p>
    <w:bookmarkEnd w:id="34"/>
    <w:bookmarkEnd w:id="35"/>
    <w:bookmarkStart w:id="50" w:name="results"/>
    <w:p>
      <w:pPr>
        <w:pStyle w:val="Heading1"/>
      </w:pPr>
      <w:r>
        <w:t xml:space="preserve">7. Results</w:t>
      </w:r>
    </w:p>
    <w:bookmarkStart w:id="40" w:name="comparing-predicted-networks"/>
    <w:p>
      <w:pPr>
        <w:pStyle w:val="Heading2"/>
      </w:pPr>
      <w:r>
        <w:t xml:space="preserve">7.1 Comparing predicted networks</w:t>
      </w:r>
    </w:p>
    <w:tbl>
      <w:tblPr>
        <w:tblStyle w:val="Table"/>
        <w:tblW w:type="pct" w:w="5000"/>
        <w:tblLayout w:type="fixed"/>
        <w:tblLook w:firstRow="0" w:lastRow="0" w:firstColumn="0" w:lastColumn="0" w:noHBand="0" w:noVBand="0" w:val="0000"/>
      </w:tblPr>
      <w:tblGrid>
        <w:gridCol w:w="7920"/>
      </w:tblGrid>
      <w:tr>
        <w:tc>
          <w:tcPr/>
          <w:bookmarkStart w:id="39" w:name="fig-summary"/>
          <w:p>
            <w:pPr>
              <w:pStyle w:val="Compact"/>
              <w:jc w:val="center"/>
            </w:pPr>
            <w:r>
              <w:drawing>
                <wp:inline>
                  <wp:extent cx="5334000" cy="2963333"/>
                  <wp:effectExtent b="0" l="0" r="0" t="0"/>
                  <wp:docPr descr="" title="" id="37" name="Picture"/>
                  <a:graphic>
                    <a:graphicData uri="http://schemas.openxmlformats.org/drawingml/2006/picture">
                      <pic:pic>
                        <pic:nvPicPr>
                          <pic:cNvPr descr="figures/summary.png" id="38" name="Picture"/>
                          <pic:cNvPicPr>
                            <a:picLocks noChangeArrowheads="1" noChangeAspect="1"/>
                          </pic:cNvPicPr>
                        </pic:nvPicPr>
                        <pic:blipFill>
                          <a:blip r:embed="rId36"/>
                          <a:stretch>
                            <a:fillRect/>
                          </a:stretch>
                        </pic:blipFill>
                        <pic:spPr bwMode="auto">
                          <a:xfrm>
                            <a:off x="0" y="0"/>
                            <a:ext cx="5334000" cy="2963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stuff</w:t>
            </w:r>
          </w:p>
          <w:bookmarkEnd w:id="39"/>
        </w:tc>
      </w:tr>
    </w:tbl>
    <w:bookmarkEnd w:id="40"/>
    <w:bookmarkStart w:id="41" w:name="comparing-inference"/>
    <w:p>
      <w:pPr>
        <w:pStyle w:val="Heading2"/>
      </w:pPr>
      <w:r>
        <w:t xml:space="preserve">7.2 Comparing inference</w:t>
      </w:r>
    </w:p>
    <w:bookmarkEnd w:id="41"/>
    <w:bookmarkStart w:id="49" w:name="extinctions"/>
    <w:p>
      <w:pPr>
        <w:pStyle w:val="Heading2"/>
      </w:pPr>
      <w:r>
        <w:t xml:space="preserve">7.3 Extinctions</w:t>
      </w:r>
    </w:p>
    <w:tbl>
      <w:tblPr>
        <w:tblStyle w:val="Table"/>
        <w:tblW w:type="pct" w:w="5000"/>
        <w:tblLayout w:type="fixed"/>
        <w:tblLook w:firstRow="0" w:lastRow="0" w:firstColumn="0" w:lastColumn="0" w:noHBand="0" w:noVBand="0" w:val="0000"/>
      </w:tblPr>
      <w:tblGrid>
        <w:gridCol w:w="7920"/>
      </w:tblGrid>
      <w:tr>
        <w:tc>
          <w:tcPr/>
          <w:bookmarkStart w:id="45" w:name="fig-extinction"/>
          <w:p>
            <w:pPr>
              <w:pStyle w:val="Compact"/>
              <w:jc w:val="center"/>
            </w:pPr>
            <w:r>
              <w:drawing>
                <wp:inline>
                  <wp:extent cx="5334000" cy="3556000"/>
                  <wp:effectExtent b="0" l="0" r="0" t="0"/>
                  <wp:docPr descr="" title="" id="43" name="Picture"/>
                  <a:graphic>
                    <a:graphicData uri="http://schemas.openxmlformats.org/drawingml/2006/picture">
                      <pic:pic>
                        <pic:nvPicPr>
                          <pic:cNvPr descr="figures/extinction.png" id="44"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Dashed line indicates the (mean) extinction simulation results (post value, start values are those estimated by the relevant model)</w:t>
            </w:r>
          </w:p>
          <w:bookmarkEnd w:id="45"/>
        </w:tc>
      </w:tr>
    </w:tbl>
    <w:p>
      <w:pPr>
        <w:pStyle w:val="CaptionedFigure"/>
      </w:pPr>
      <w:r>
        <w:drawing>
          <wp:inline>
            <wp:extent cx="5334000" cy="2963333"/>
            <wp:effectExtent b="0" l="0" r="0" t="0"/>
            <wp:docPr descr="Dark line indicates ‘real’ extinction simulation results the lighter lines show each model individually, which is also denoted by the linetype" title="" id="47" name="Picture"/>
            <a:graphic>
              <a:graphicData uri="http://schemas.openxmlformats.org/drawingml/2006/picture">
                <pic:pic>
                  <pic:nvPicPr>
                    <pic:cNvPr descr="figures/extinction_all_results.png" id="48" name="Picture"/>
                    <pic:cNvPicPr>
                      <a:picLocks noChangeArrowheads="1" noChangeAspect="1"/>
                    </pic:cNvPicPr>
                  </pic:nvPicPr>
                  <pic:blipFill>
                    <a:blip r:embed="rId46"/>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r>
        <w:t xml:space="preserve">Dark line indicates</w:t>
      </w:r>
      <w:r>
        <w:t xml:space="preserve"> </w:t>
      </w:r>
      <w:r>
        <w:t xml:space="preserve">‘real’</w:t>
      </w:r>
      <w:r>
        <w:t xml:space="preserve"> </w:t>
      </w:r>
      <w:r>
        <w:t xml:space="preserve">extinction simulation results the lighter lines show each model individually, which is also denoted by the linetype</w:t>
      </w:r>
    </w:p>
    <w:bookmarkEnd w:id="49"/>
    <w:bookmarkEnd w:id="50"/>
    <w:bookmarkStart w:id="77" w:name="references"/>
    <w:p>
      <w:pPr>
        <w:pStyle w:val="Heading1"/>
      </w:pPr>
      <w:r>
        <w:t xml:space="preserve">References</w:t>
      </w:r>
    </w:p>
    <w:bookmarkStart w:id="76" w:name="refs"/>
    <w:bookmarkStart w:id="52"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51">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52"/>
    <w:bookmarkStart w:id="54"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53">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54"/>
    <w:bookmarkStart w:id="56"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55">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56"/>
    <w:bookmarkStart w:id="58"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57">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58"/>
    <w:bookmarkStart w:id="60" w:name="ref-shaw2024"/>
    <w:p>
      <w:pPr>
        <w:pStyle w:val="Bibliography"/>
      </w:pPr>
      <w:r>
        <w:t xml:space="preserve">5.</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59">
        <w:r>
          <w:rPr>
            <w:rStyle w:val="Hyperlink"/>
          </w:rPr>
          <w:t xml:space="preserve">A framework for reconstructing ancient food webs using functional trait data</w:t>
        </w:r>
      </w:hyperlink>
      <w:r>
        <w:t xml:space="preserve">bioRxiv, 2024.01.30.578036</w:t>
      </w:r>
    </w:p>
    <w:bookmarkEnd w:id="60"/>
    <w:bookmarkStart w:id="62" w:name="ref-roopnarine2006"/>
    <w:p>
      <w:pPr>
        <w:pStyle w:val="Bibliography"/>
      </w:pPr>
      <w:r>
        <w:t xml:space="preserve">6.</w:t>
      </w:r>
      <w:r>
        <w:t xml:space="preserve"> </w:t>
      </w:r>
      <w:r>
        <w:t xml:space="preserve">	</w:t>
      </w:r>
      <w:r>
        <w:t xml:space="preserve">Roopnarine, P.D. (2006)</w:t>
      </w:r>
      <w:r>
        <w:t xml:space="preserve"> </w:t>
      </w:r>
      <w:hyperlink r:id="rId61">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62"/>
    <w:bookmarkStart w:id="63" w:name="ref-roopnarine2017"/>
    <w:p>
      <w:pPr>
        <w:pStyle w:val="Bibliography"/>
      </w:pPr>
      <w:r>
        <w:t xml:space="preserve">7.</w:t>
      </w:r>
      <w:r>
        <w:t xml:space="preserve"> </w:t>
      </w:r>
      <w:r>
        <w:t xml:space="preserve">	</w:t>
      </w:r>
      <w:r>
        <w:t xml:space="preserve">Roopnarine, P.D. (2017) Ecological Modelling of Paleocommunity Food Webspp. 201–226, University of Chicago Press</w:t>
      </w:r>
    </w:p>
    <w:bookmarkEnd w:id="63"/>
    <w:bookmarkStart w:id="65" w:name="ref-bambach2007"/>
    <w:p>
      <w:pPr>
        <w:pStyle w:val="Bibliography"/>
      </w:pPr>
      <w:r>
        <w:t xml:space="preserve">8.</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64">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65"/>
    <w:bookmarkStart w:id="67" w:name="ref-petchey2008"/>
    <w:p>
      <w:pPr>
        <w:pStyle w:val="Bibliography"/>
      </w:pPr>
      <w:r>
        <w:t xml:space="preserve">9.</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66">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67"/>
    <w:bookmarkStart w:id="69" w:name="ref-rohr2010"/>
    <w:p>
      <w:pPr>
        <w:pStyle w:val="Bibliography"/>
      </w:pPr>
      <w:r>
        <w:t xml:space="preserve">10.</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68">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69"/>
    <w:bookmarkStart w:id="71" w:name="ref-yeakel2014"/>
    <w:p>
      <w:pPr>
        <w:pStyle w:val="Bibliography"/>
      </w:pPr>
      <w:r>
        <w:t xml:space="preserve">11.</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70">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71"/>
    <w:bookmarkStart w:id="73" w:name="ref-williams2000"/>
    <w:p>
      <w:pPr>
        <w:pStyle w:val="Bibliography"/>
      </w:pPr>
      <w:r>
        <w:t xml:space="preserve">12.</w:t>
      </w:r>
      <w:r>
        <w:t xml:space="preserve"> </w:t>
      </w:r>
      <w:r>
        <w:t xml:space="preserve">	</w:t>
      </w:r>
      <w:r>
        <w:t xml:space="preserve">Williams, R.J. and Martinez, N.D. (2000)</w:t>
      </w:r>
      <w:r>
        <w:t xml:space="preserve"> </w:t>
      </w:r>
      <w:hyperlink r:id="rId72">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73"/>
    <w:bookmarkStart w:id="75" w:name="ref-williams2008"/>
    <w:p>
      <w:pPr>
        <w:pStyle w:val="Bibliography"/>
      </w:pPr>
      <w:r>
        <w:t xml:space="preserve">13.</w:t>
      </w:r>
      <w:r>
        <w:t xml:space="preserve"> </w:t>
      </w:r>
      <w:r>
        <w:t xml:space="preserve">	</w:t>
      </w:r>
      <w:r>
        <w:t xml:space="preserve">Williams, R.J. and Martinez, N.D. (2008)</w:t>
      </w:r>
      <w:r>
        <w:t xml:space="preserve"> </w:t>
      </w:r>
      <w:hyperlink r:id="rId74">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75"/>
    <w:bookmarkEnd w:id="76"/>
    <w:bookmarkEnd w:id="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36" Target="media/rId36.png" /><Relationship Type="http://schemas.openxmlformats.org/officeDocument/2006/relationships/hyperlink" Id="rId72" Target="https://doi.org/10.1038/35004572" TargetMode="External" /><Relationship Type="http://schemas.openxmlformats.org/officeDocument/2006/relationships/hyperlink" Id="rId51" Target="https://doi.org/10.1038/s41467-024-53000-2" TargetMode="External" /><Relationship Type="http://schemas.openxmlformats.org/officeDocument/2006/relationships/hyperlink" Id="rId66" Target="https://doi.org/10.1073/pnas.0710672105" TargetMode="External" /><Relationship Type="http://schemas.openxmlformats.org/officeDocument/2006/relationships/hyperlink" Id="rId70" Target="https://doi.org/10.1073/pnas.1408471111" TargetMode="External" /><Relationship Type="http://schemas.openxmlformats.org/officeDocument/2006/relationships/hyperlink" Id="rId68" Target="https://doi.org/10.1086/653667" TargetMode="External" /><Relationship Type="http://schemas.openxmlformats.org/officeDocument/2006/relationships/hyperlink" Id="rId59" Target="https://doi.org/10.1101/2024.01.30.578036" TargetMode="External" /><Relationship Type="http://schemas.openxmlformats.org/officeDocument/2006/relationships/hyperlink" Id="rId53" Target="https://doi.org/10.1111/2041-210X.14228" TargetMode="External" /><Relationship Type="http://schemas.openxmlformats.org/officeDocument/2006/relationships/hyperlink" Id="rId55" Target="https://doi.org/10.1111/ele.13966" TargetMode="External" /><Relationship Type="http://schemas.openxmlformats.org/officeDocument/2006/relationships/hyperlink" Id="rId74" Target="https://doi.org/10.1111/j.1365-2656.2008.01362.x" TargetMode="External" /><Relationship Type="http://schemas.openxmlformats.org/officeDocument/2006/relationships/hyperlink" Id="rId64" Target="https://doi.org/10.1111/j.1475-4983.2006.00611.x" TargetMode="External" /><Relationship Type="http://schemas.openxmlformats.org/officeDocument/2006/relationships/hyperlink" Id="rId57" Target="https://doi.org/10.1126/science.abn4012" TargetMode="External" /><Relationship Type="http://schemas.openxmlformats.org/officeDocument/2006/relationships/hyperlink" Id="rId61"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72" Target="https://doi.org/10.1038/35004572" TargetMode="External" /><Relationship Type="http://schemas.openxmlformats.org/officeDocument/2006/relationships/hyperlink" Id="rId51" Target="https://doi.org/10.1038/s41467-024-53000-2" TargetMode="External" /><Relationship Type="http://schemas.openxmlformats.org/officeDocument/2006/relationships/hyperlink" Id="rId66" Target="https://doi.org/10.1073/pnas.0710672105" TargetMode="External" /><Relationship Type="http://schemas.openxmlformats.org/officeDocument/2006/relationships/hyperlink" Id="rId70" Target="https://doi.org/10.1073/pnas.1408471111" TargetMode="External" /><Relationship Type="http://schemas.openxmlformats.org/officeDocument/2006/relationships/hyperlink" Id="rId68" Target="https://doi.org/10.1086/653667" TargetMode="External" /><Relationship Type="http://schemas.openxmlformats.org/officeDocument/2006/relationships/hyperlink" Id="rId59" Target="https://doi.org/10.1101/2024.01.30.578036" TargetMode="External" /><Relationship Type="http://schemas.openxmlformats.org/officeDocument/2006/relationships/hyperlink" Id="rId53" Target="https://doi.org/10.1111/2041-210X.14228" TargetMode="External" /><Relationship Type="http://schemas.openxmlformats.org/officeDocument/2006/relationships/hyperlink" Id="rId55" Target="https://doi.org/10.1111/ele.13966" TargetMode="External" /><Relationship Type="http://schemas.openxmlformats.org/officeDocument/2006/relationships/hyperlink" Id="rId74" Target="https://doi.org/10.1111/j.1365-2656.2008.01362.x" TargetMode="External" /><Relationship Type="http://schemas.openxmlformats.org/officeDocument/2006/relationships/hyperlink" Id="rId64" Target="https://doi.org/10.1111/j.1475-4983.2006.00611.x" TargetMode="External" /><Relationship Type="http://schemas.openxmlformats.org/officeDocument/2006/relationships/hyperlink" Id="rId57" Target="https://doi.org/10.1126/science.abn4012" TargetMode="External" /><Relationship Type="http://schemas.openxmlformats.org/officeDocument/2006/relationships/hyperlink" Id="rId61"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2024-10-25T10:40:13Z</dcterms:created>
  <dcterms:modified xsi:type="dcterms:W3CDTF">2024-10-25T10:40:13Z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TODO.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2024-10-25</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