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2025-04-24</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42" w:name="methods"/>
    <w:p>
      <w:pPr>
        <w:pStyle w:val="Heading1"/>
      </w:pPr>
      <w:r>
        <w:t xml:space="preserve">5. Methods</w:t>
      </w:r>
    </w:p>
    <w:bookmarkStart w:id="26" w:name="dataset-overview"/>
    <w:p>
      <w:pPr>
        <w:pStyle w:val="Heading2"/>
      </w:pPr>
      <w:r>
        <w:t xml:space="preserve">5.1 Dataset Overview</w:t>
      </w:r>
    </w:p>
    <w:bookmarkStart w:id="24" w:name="species-occurrence"/>
    <w:p>
      <w:pPr>
        <w:pStyle w:val="Heading3"/>
      </w:pPr>
      <w:r>
        <w:t xml:space="preserve">5.1.1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24"/>
    <w:bookmarkStart w:id="25" w:name="defining-modes-of-life-traits"/>
    <w:p>
      <w:pPr>
        <w:pStyle w:val="Heading3"/>
      </w:pPr>
      <w:r>
        <w:t xml:space="preserve">5.1.2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35" w:name="models"/>
    <w:p>
      <w:pPr>
        <w:pStyle w:val="Heading2"/>
      </w:pPr>
      <w:r>
        <w:t xml:space="preserve">5.2 Models</w:t>
      </w:r>
    </w:p>
    <w:p>
      <w:pPr>
        <w:pStyle w:val="FirstParagraph"/>
      </w:pPr>
      <w:r>
        <w:t xml:space="preserve">Here we present six different models (@tbl-models)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w:t>
                  </w:r>
                  <w:r>
                    <w:rPr>
                      <w:b/>
                      <w:bCs/>
                    </w:rPr>
                    <w:t xml:space="preserve">williamsSuccessItsLimits2008?</w:t>
                  </w:r>
                  <w:r>
                    <w:t xml:space="preserve">]</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7"/>
          <w:p/>
        </w:tc>
      </w:tr>
    </w:tbl>
    <w:bookmarkStart w:id="28" w:name="random-model"/>
    <w:p>
      <w:pPr>
        <w:pStyle w:val="Heading3"/>
      </w:pPr>
      <w:r>
        <w:t xml:space="preserve">5.2.1 Random model</w:t>
      </w:r>
    </w:p>
    <w:p>
      <w:pPr>
        <w:pStyle w:val="FirstParagraph"/>
      </w:pPr>
      <w:r>
        <w:t xml:space="preserve">The Erdős–Rényi random graph model</w:t>
      </w:r>
      <w:r>
        <w:t xml:space="preserve"> </w:t>
      </w:r>
      <w:r>
        <w:t xml:space="preserve">[6]</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w:t>
      </w:r>
    </w:p>
    <w:bookmarkEnd w:id="28"/>
    <w:bookmarkStart w:id="29" w:name="niche-model"/>
    <w:p>
      <w:pPr>
        <w:pStyle w:val="Heading3"/>
      </w:pPr>
      <w:r>
        <w:t xml:space="preserve">5.2.2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[12]</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9"/>
    <w:bookmarkStart w:id="30" w:name="allometric-diet-breadth-model"/>
    <w:p>
      <w:pPr>
        <w:pStyle w:val="Heading3"/>
      </w:pPr>
      <w:r>
        <w:t xml:space="preserve">5.2.3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30"/>
    <w:bookmarkStart w:id="31" w:name="l-matrix"/>
    <w:p>
      <w:pPr>
        <w:pStyle w:val="Heading3"/>
      </w:pPr>
      <w:r>
        <w:t xml:space="preserve">5.2.4 L matrix</w:t>
      </w:r>
    </w:p>
    <w:p>
      <w:pPr>
        <w:pStyle w:val="FirstParagraph"/>
      </w:pPr>
      <w:r>
        <w:t xml:space="preserve">For now we can link to the ATNr package</w:t>
      </w:r>
      <w:r>
        <w:t xml:space="preserve"> </w:t>
      </w:r>
      <w:r>
        <w:t xml:space="preserve">[13]</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1"/>
    <w:bookmarkStart w:id="32" w:name="paleo-food-web-inference-model"/>
    <w:p>
      <w:pPr>
        <w:pStyle w:val="Heading3"/>
      </w:pPr>
      <w:r>
        <w:t xml:space="preserve">5.2.5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[14]</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2"/>
    <w:bookmarkStart w:id="34" w:name="body-size-ratio-model"/>
    <w:p>
      <w:pPr>
        <w:pStyle w:val="Heading3"/>
      </w:pPr>
      <w:r>
        <w:t xml:space="preserve">5.2.6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3"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3"/>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4"/>
    <w:bookmarkEnd w:id="35"/>
    <w:bookmarkStart w:id="41" w:name="assessing-model-performance"/>
    <w:p>
      <w:pPr>
        <w:pStyle w:val="Heading2"/>
      </w:pPr>
      <w:r>
        <w:t xml:space="preserve">5.3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bookmarkStart w:id="36" w:name="macro-network-properties"/>
    <w:p>
      <w:pPr>
        <w:pStyle w:val="Heading3"/>
      </w:pPr>
      <w:r>
        <w:t xml:space="preserve">5.3.1 Macro network properties</w:t>
      </w:r>
    </w:p>
    <w:p>
      <w:pPr>
        <w:pStyle w:val="FirstParagraph"/>
      </w:pPr>
      <w:r>
        <w:rPr>
          <w:b/>
          <w:bCs/>
        </w:rPr>
        <w:t xml:space="preserve">Connectance</w:t>
      </w:r>
      <w:r>
        <w:t xml:space="preserve"> </w:t>
      </w:r>
      <w:r>
        <w:t xml:space="preserve">[19]</w:t>
      </w:r>
      <w:r>
        <w:t xml:space="preserve"> </w:t>
      </w:r>
      <w:r>
        <w:t xml:space="preserve">has been shown to be the feature of networks that underpin a series of other properties and function</w:t>
      </w:r>
      <w:r>
        <w:t xml:space="preserve"> </w:t>
      </w:r>
      <w:r>
        <w:t xml:space="preserve">[20]</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6"/>
    <w:bookmarkStart w:id="37" w:name="meso-network-properties"/>
    <w:p>
      <w:pPr>
        <w:pStyle w:val="Heading3"/>
      </w:pPr>
      <w:r>
        <w:t xml:space="preserve">5.3.2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7"/>
    <w:bookmarkStart w:id="38" w:name="micro-network-properties"/>
    <w:p>
      <w:pPr>
        <w:pStyle w:val="Heading3"/>
      </w:pPr>
      <w:r>
        <w:t xml:space="preserve">5.3.3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[24]</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[7,</w:t>
      </w:r>
      <w:r>
        <w:rPr>
          <w:i/>
          <w:iCs/>
        </w:rPr>
        <w:t xml:space="preserve">e.g.,</w:t>
      </w:r>
      <w:r>
        <w:t xml:space="preserve"> </w:t>
      </w:r>
      <w:r>
        <w:t xml:space="preserve">12]</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[25]</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8"/>
    <w:bookmarkStart w:id="39" w:name="interactions"/>
    <w:p>
      <w:pPr>
        <w:pStyle w:val="Heading3"/>
      </w:pPr>
      <w:r>
        <w:t xml:space="preserve">5.3.4 Interactions</w:t>
      </w:r>
    </w:p>
    <w:p>
      <w:pPr>
        <w:pStyle w:val="FirstParagraph"/>
      </w:pPr>
      <w:r>
        <w:rPr>
          <w:b/>
          <w:bCs/>
        </w:rPr>
        <w:t xml:space="preserve">Interaction turnover</w:t>
      </w:r>
      <w:r>
        <w:t xml:space="preserve"> </w:t>
      </w:r>
      <w:r>
        <w:t xml:space="preserve">[25]</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39"/>
    <w:bookmarkStart w:id="40" w:name="robustness"/>
    <w:p>
      <w:pPr>
        <w:pStyle w:val="Heading3"/>
      </w:pPr>
      <w:r>
        <w:t xml:space="preserve">5.3.5 Robustness</w:t>
      </w:r>
    </w:p>
    <w:p>
      <w:pPr>
        <w:pStyle w:val="FirstParagraph"/>
      </w:pPr>
      <m:oMath>
        <m:sSub>
          <m:e>
            <m:r>
              <m:t>R</m:t>
            </m:r>
          </m:e>
          <m:sub>
            <m:r>
              <m:t>50</m:t>
            </m:r>
          </m:sub>
        </m:sSub>
      </m:oMath>
      <w:r>
        <w:t xml:space="preserve"> </w:t>
      </w:r>
      <w:r>
        <w:t xml:space="preserve">see</w:t>
      </w:r>
      <w:r>
        <w:t xml:space="preserve"> </w:t>
      </w:r>
      <w:r>
        <w:t xml:space="preserve">[26]</w:t>
      </w:r>
    </w:p>
    <w:bookmarkEnd w:id="40"/>
    <w:bookmarkEnd w:id="41"/>
    <w:bookmarkEnd w:id="42"/>
    <w:bookmarkStart w:id="57" w:name="results"/>
    <w:p>
      <w:pPr>
        <w:pStyle w:val="Heading1"/>
      </w:pPr>
      <w:r>
        <w:t xml:space="preserve">6. Results</w:t>
      </w:r>
    </w:p>
    <w:bookmarkStart w:id="47" w:name="comparing-predicted-networks"/>
    <w:p>
      <w:pPr>
        <w:pStyle w:val="Heading2"/>
      </w:pPr>
      <w:r>
        <w:t xml:space="preserve">6.1 Comparing predicted networks</w:t>
      </w:r>
    </w:p>
    <w:tbl>
      <w:tblPr>
        <w:tblStyle w:val="Table"/>
        <w:tblW w:type="pct" w:w="5000"/>
        <w:tblLayout w:type="fixed"/>
        <w:tblLook w:firstRow="0" w:lastRow="0" w:firstColumn="0" w:lastColumn="0" w:noHBand="0" w:noVBand="0" w:val="0000"/>
      </w:tblPr>
      <w:tblGrid>
        <w:gridCol w:w="7920"/>
      </w:tblGrid>
      <w:tr>
        <w:tc>
          <w:tcPr/>
          <w:bookmarkStart w:id="46" w:name="fig-summary"/>
          <w:p>
            <w:pPr>
              <w:pStyle w:val="Compact"/>
              <w:jc w:val="center"/>
            </w:pPr>
            <w:r>
              <w:drawing>
                <wp:inline>
                  <wp:extent cx="5334000" cy="8297333"/>
                  <wp:effectExtent b="0" l="0" r="0" t="0"/>
                  <wp:docPr descr="" title="" id="44" name="Picture"/>
                  <a:graphic>
                    <a:graphicData uri="http://schemas.openxmlformats.org/drawingml/2006/picture">
                      <pic:pic>
                        <pic:nvPicPr>
                          <pic:cNvPr descr="figures/summary.png" id="45" name="Picture"/>
                          <pic:cNvPicPr>
                            <a:picLocks noChangeArrowheads="1" noChangeAspect="1"/>
                          </pic:cNvPicPr>
                        </pic:nvPicPr>
                        <pic:blipFill>
                          <a:blip r:embed="rId43"/>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 For display purposes the counts for the different motifs are log transformed</w:t>
            </w:r>
          </w:p>
          <w:bookmarkEnd w:id="46"/>
        </w:tc>
      </w:tr>
    </w:tbl>
    <w:bookmarkEnd w:id="47"/>
    <w:bookmarkStart w:id="48" w:name="comparing-inference"/>
    <w:p>
      <w:pPr>
        <w:pStyle w:val="Heading2"/>
      </w:pPr>
      <w:r>
        <w:t xml:space="preserve">6.2 Comparing inference</w:t>
      </w:r>
    </w:p>
    <w:bookmarkEnd w:id="48"/>
    <w:bookmarkStart w:id="56" w:name="extinctions"/>
    <w:p>
      <w:pPr>
        <w:pStyle w:val="Heading2"/>
      </w:pPr>
      <w:r>
        <w:t xml:space="preserve">6.3 Extinctions</w:t>
      </w:r>
    </w:p>
    <w:tbl>
      <w:tblPr>
        <w:tblStyle w:val="Table"/>
        <w:tblW w:type="pct" w:w="5000"/>
        <w:tblLayout w:type="fixed"/>
        <w:tblLook w:firstRow="0" w:lastRow="0" w:firstColumn="0" w:lastColumn="0" w:noHBand="0" w:noVBand="0" w:val="0000"/>
      </w:tblPr>
      <w:tblGrid>
        <w:gridCol w:w="7920"/>
      </w:tblGrid>
      <w:tr>
        <w:tc>
          <w:tcPr/>
          <w:bookmarkStart w:id="52" w:name="fig-extinction"/>
          <w:p>
            <w:pPr>
              <w:pStyle w:val="Compact"/>
              <w:jc w:val="center"/>
            </w:pPr>
            <w:r>
              <w:drawing>
                <wp:inline>
                  <wp:extent cx="5334000" cy="10668000"/>
                  <wp:effectExtent b="0" l="0" r="0" t="0"/>
                  <wp:docPr descr="" title="" id="50" name="Picture"/>
                  <a:graphic>
                    <a:graphicData uri="http://schemas.openxmlformats.org/drawingml/2006/picture">
                      <pic:pic>
                        <pic:nvPicPr>
                          <pic:cNvPr descr="figures/extinction.png" id="51" name="Picture"/>
                          <pic:cNvPicPr>
                            <a:picLocks noChangeArrowheads="1" noChangeAspect="1"/>
                          </pic:cNvPicPr>
                        </pic:nvPicPr>
                        <pic:blipFill>
                          <a:blip r:embed="rId49"/>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2"/>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4" name="Picture"/>
            <a:graphic>
              <a:graphicData uri="http://schemas.openxmlformats.org/drawingml/2006/picture">
                <pic:pic>
                  <pic:nvPicPr>
                    <pic:cNvPr descr="figures/extinction_all_results.png" id="55" name="Picture"/>
                    <pic:cNvPicPr>
                      <a:picLocks noChangeArrowheads="1" noChangeAspect="1"/>
                    </pic:cNvPicPr>
                  </pic:nvPicPr>
                  <pic:blipFill>
                    <a:blip r:embed="rId53"/>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6"/>
    <w:bookmarkEnd w:id="57"/>
    <w:bookmarkStart w:id="110" w:name="references"/>
    <w:p>
      <w:pPr>
        <w:pStyle w:val="Heading1"/>
      </w:pPr>
      <w:r>
        <w:t xml:space="preserve">References</w:t>
      </w:r>
    </w:p>
    <w:bookmarkStart w:id="109" w:name="refs"/>
    <w:bookmarkStart w:id="59"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8">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9"/>
    <w:bookmarkStart w:id="61"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0">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1"/>
    <w:bookmarkStart w:id="63"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2">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3"/>
    <w:bookmarkStart w:id="65"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4">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5"/>
    <w:bookmarkStart w:id="67"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7"/>
    <w:bookmarkStart w:id="69" w:name="ref-erdos1959"/>
    <w:p>
      <w:pPr>
        <w:pStyle w:val="Bibliography"/>
      </w:pPr>
      <w:r>
        <w:t xml:space="preserve">6.</w:t>
      </w:r>
      <w:r>
        <w:t xml:space="preserve"> </w:t>
      </w:r>
      <w:r>
        <w:t xml:space="preserve">	</w:t>
      </w:r>
      <w:r>
        <w:t xml:space="preserve">Erdős, P. and Rényi, A. (1959)</w:t>
      </w:r>
      <w:r>
        <w:t xml:space="preserve"> </w:t>
      </w:r>
      <w:hyperlink r:id="rId68">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69"/>
    <w:bookmarkStart w:id="71"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0">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1"/>
    <w:bookmarkStart w:id="73"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2">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3"/>
    <w:bookmarkStart w:id="75"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4">
        <w:r>
          <w:rPr>
            <w:rStyle w:val="Hyperlink"/>
          </w:rPr>
          <w:t xml:space="preserve">A framework for reconstructing ancient food webs using functional trait data</w:t>
        </w:r>
      </w:hyperlink>
      <w:r>
        <w:t xml:space="preserve">bioRxiv, 2024.01.30.578036</w:t>
      </w:r>
    </w:p>
    <w:bookmarkEnd w:id="75"/>
    <w:bookmarkStart w:id="77"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76">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77"/>
    <w:bookmarkStart w:id="79" w:name="ref-williams2000"/>
    <w:p>
      <w:pPr>
        <w:pStyle w:val="Bibliography"/>
      </w:pPr>
      <w:r>
        <w:t xml:space="preserve">11.</w:t>
      </w:r>
      <w:r>
        <w:t xml:space="preserve"> </w:t>
      </w:r>
      <w:r>
        <w:t xml:space="preserve">	</w:t>
      </w:r>
      <w:r>
        <w:t xml:space="preserve">Williams, R.J. and Martinez, N.D. (2000)</w:t>
      </w:r>
      <w:r>
        <w:t xml:space="preserve"> </w:t>
      </w:r>
      <w:hyperlink r:id="rId78">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9"/>
    <w:bookmarkStart w:id="81" w:name="ref-williams2008"/>
    <w:p>
      <w:pPr>
        <w:pStyle w:val="Bibliography"/>
      </w:pPr>
      <w:r>
        <w:t xml:space="preserve">12.</w:t>
      </w:r>
      <w:r>
        <w:t xml:space="preserve"> </w:t>
      </w:r>
      <w:r>
        <w:t xml:space="preserve">	</w:t>
      </w:r>
      <w:r>
        <w:t xml:space="preserve">Williams, R.J. and Martinez, N.D. (2008)</w:t>
      </w:r>
      <w:r>
        <w:t xml:space="preserve"> </w:t>
      </w:r>
      <w:hyperlink r:id="rId80">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1"/>
    <w:bookmarkStart w:id="83" w:name="ref-gauzens2023"/>
    <w:p>
      <w:pPr>
        <w:pStyle w:val="Bibliography"/>
      </w:pPr>
      <w:r>
        <w:t xml:space="preserve">13.</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2">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3"/>
    <w:bookmarkStart w:id="85" w:name="ref-roopnarine2006"/>
    <w:p>
      <w:pPr>
        <w:pStyle w:val="Bibliography"/>
      </w:pPr>
      <w:r>
        <w:t xml:space="preserve">14.</w:t>
      </w:r>
      <w:r>
        <w:t xml:space="preserve"> </w:t>
      </w:r>
      <w:r>
        <w:t xml:space="preserve">	</w:t>
      </w:r>
      <w:r>
        <w:t xml:space="preserve">Roopnarine, P.D. (2006)</w:t>
      </w:r>
      <w:r>
        <w:t xml:space="preserve"> </w:t>
      </w:r>
      <w:hyperlink r:id="rId84">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5"/>
    <w:bookmarkStart w:id="86"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86"/>
    <w:bookmarkStart w:id="88"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87">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88"/>
    <w:bookmarkStart w:id="90"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89">
        <w:r>
          <w:rPr>
            <w:rStyle w:val="Hyperlink"/>
          </w:rPr>
          <w:t xml:space="preserve">10.1111/brv.12433</w:t>
        </w:r>
      </w:hyperlink>
    </w:p>
    <w:bookmarkEnd w:id="90"/>
    <w:bookmarkStart w:id="92"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1">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2"/>
    <w:bookmarkStart w:id="94" w:name="ref-martinez1992"/>
    <w:p>
      <w:pPr>
        <w:pStyle w:val="Bibliography"/>
      </w:pPr>
      <w:r>
        <w:t xml:space="preserve">19.</w:t>
      </w:r>
      <w:r>
        <w:t xml:space="preserve"> </w:t>
      </w:r>
      <w:r>
        <w:t xml:space="preserve">	</w:t>
      </w:r>
      <w:r>
        <w:t xml:space="preserve">Martinez, N.D. (1992)</w:t>
      </w:r>
      <w:r>
        <w:t xml:space="preserve"> </w:t>
      </w:r>
      <w:hyperlink r:id="rId93">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94"/>
    <w:bookmarkStart w:id="96" w:name="ref-strydom2021b"/>
    <w:p>
      <w:pPr>
        <w:pStyle w:val="Bibliography"/>
      </w:pPr>
      <w:r>
        <w:t xml:space="preserve">20.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5">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96"/>
    <w:bookmarkStart w:id="98"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7">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98"/>
    <w:bookmarkStart w:id="100"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99">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0"/>
    <w:bookmarkStart w:id="102"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1">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2"/>
    <w:bookmarkStart w:id="104" w:name="ref-schoener1989"/>
    <w:p>
      <w:pPr>
        <w:pStyle w:val="Bibliography"/>
      </w:pPr>
      <w:r>
        <w:t xml:space="preserve">24.</w:t>
      </w:r>
      <w:r>
        <w:t xml:space="preserve"> </w:t>
      </w:r>
      <w:r>
        <w:t xml:space="preserve">	</w:t>
      </w:r>
      <w:r>
        <w:t xml:space="preserve">Schoener, T.W. (1989)</w:t>
      </w:r>
      <w:r>
        <w:t xml:space="preserve"> </w:t>
      </w:r>
      <w:hyperlink r:id="rId10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04"/>
    <w:bookmarkStart w:id="106" w:name="ref-poisot2012"/>
    <w:p>
      <w:pPr>
        <w:pStyle w:val="Bibliography"/>
      </w:pPr>
      <w:r>
        <w:t xml:space="preserve">25.</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0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06"/>
    <w:bookmarkStart w:id="108" w:name="ref-jonsson2015"/>
    <w:p>
      <w:pPr>
        <w:pStyle w:val="Bibliography"/>
      </w:pPr>
      <w:r>
        <w:t xml:space="preserve">26.</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0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08"/>
    <w:bookmarkEnd w:id="109"/>
    <w:bookmarkEnd w:id="11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hyperlink" Id="rId93" Target="http://www.jstor.org/stable/2462337" TargetMode="External" /><Relationship Type="http://schemas.openxmlformats.org/officeDocument/2006/relationships/hyperlink" Id="rId78" Target="https://doi.org/10.1038/35004572" TargetMode="External" /><Relationship Type="http://schemas.openxmlformats.org/officeDocument/2006/relationships/hyperlink" Id="rId72"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0" Target="https://doi.org/10.1073/pnas.0710672105" TargetMode="External" /><Relationship Type="http://schemas.openxmlformats.org/officeDocument/2006/relationships/hyperlink" Id="rId87" Target="https://doi.org/10.1073/pnas.1408471111" TargetMode="External" /><Relationship Type="http://schemas.openxmlformats.org/officeDocument/2006/relationships/hyperlink" Id="rId76" Target="https://doi.org/10.1086/653667" TargetMode="External" /><Relationship Type="http://schemas.openxmlformats.org/officeDocument/2006/relationships/hyperlink" Id="rId101" Target="https://doi.org/10.1098/rspb.2007.0571" TargetMode="External" /><Relationship Type="http://schemas.openxmlformats.org/officeDocument/2006/relationships/hyperlink" Id="rId95" Target="https://doi.org/10.1098/rstb.2021.0063" TargetMode="External" /><Relationship Type="http://schemas.openxmlformats.org/officeDocument/2006/relationships/hyperlink" Id="rId74" Target="https://doi.org/10.1101/2024.01.30.578036" TargetMode="External" /><Relationship Type="http://schemas.openxmlformats.org/officeDocument/2006/relationships/hyperlink" Id="rId82"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9"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0"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5" Target="https://doi.org/10.1111/j.2041-210x.2011.00174.x" TargetMode="External" /><Relationship Type="http://schemas.openxmlformats.org/officeDocument/2006/relationships/hyperlink" Id="rId107" Target="https://doi.org/10.1111/oik.01588" TargetMode="External" /><Relationship Type="http://schemas.openxmlformats.org/officeDocument/2006/relationships/hyperlink" Id="rId91" Target="https://doi.org/10.1126/science.1156269" TargetMode="External" /><Relationship Type="http://schemas.openxmlformats.org/officeDocument/2006/relationships/hyperlink" Id="rId99"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3" Target="https://doi.org/10.2307/1938088" TargetMode="External" /><Relationship Type="http://schemas.openxmlformats.org/officeDocument/2006/relationships/hyperlink" Id="rId97" Target="https://doi.org/10.3389/fevo.2021.623141" TargetMode="External" /><Relationship Type="http://schemas.openxmlformats.org/officeDocument/2006/relationships/hyperlink" Id="rId68" Target="https://doi.org/10.5486/pmd.1959.6.3-4.12" TargetMode="External" /><Relationship Type="http://schemas.openxmlformats.org/officeDocument/2006/relationships/hyperlink" Id="rId84"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93" Target="http://www.jstor.org/stable/2462337" TargetMode="External" /><Relationship Type="http://schemas.openxmlformats.org/officeDocument/2006/relationships/hyperlink" Id="rId78" Target="https://doi.org/10.1038/35004572" TargetMode="External" /><Relationship Type="http://schemas.openxmlformats.org/officeDocument/2006/relationships/hyperlink" Id="rId72"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0" Target="https://doi.org/10.1073/pnas.0710672105" TargetMode="External" /><Relationship Type="http://schemas.openxmlformats.org/officeDocument/2006/relationships/hyperlink" Id="rId87" Target="https://doi.org/10.1073/pnas.1408471111" TargetMode="External" /><Relationship Type="http://schemas.openxmlformats.org/officeDocument/2006/relationships/hyperlink" Id="rId76" Target="https://doi.org/10.1086/653667" TargetMode="External" /><Relationship Type="http://schemas.openxmlformats.org/officeDocument/2006/relationships/hyperlink" Id="rId101" Target="https://doi.org/10.1098/rspb.2007.0571" TargetMode="External" /><Relationship Type="http://schemas.openxmlformats.org/officeDocument/2006/relationships/hyperlink" Id="rId95" Target="https://doi.org/10.1098/rstb.2021.0063" TargetMode="External" /><Relationship Type="http://schemas.openxmlformats.org/officeDocument/2006/relationships/hyperlink" Id="rId74" Target="https://doi.org/10.1101/2024.01.30.578036" TargetMode="External" /><Relationship Type="http://schemas.openxmlformats.org/officeDocument/2006/relationships/hyperlink" Id="rId82"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9"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0"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5" Target="https://doi.org/10.1111/j.2041-210x.2011.00174.x" TargetMode="External" /><Relationship Type="http://schemas.openxmlformats.org/officeDocument/2006/relationships/hyperlink" Id="rId107" Target="https://doi.org/10.1111/oik.01588" TargetMode="External" /><Relationship Type="http://schemas.openxmlformats.org/officeDocument/2006/relationships/hyperlink" Id="rId91" Target="https://doi.org/10.1126/science.1156269" TargetMode="External" /><Relationship Type="http://schemas.openxmlformats.org/officeDocument/2006/relationships/hyperlink" Id="rId99"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3" Target="https://doi.org/10.2307/1938088" TargetMode="External" /><Relationship Type="http://schemas.openxmlformats.org/officeDocument/2006/relationships/hyperlink" Id="rId97" Target="https://doi.org/10.3389/fevo.2021.623141" TargetMode="External" /><Relationship Type="http://schemas.openxmlformats.org/officeDocument/2006/relationships/hyperlink" Id="rId68" Target="https://doi.org/10.5486/pmd.1959.6.3-4.12" TargetMode="External" /><Relationship Type="http://schemas.openxmlformats.org/officeDocument/2006/relationships/hyperlink" Id="rId84"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2025-04-24T10:27:14Z</dcterms:created>
  <dcterms:modified xsi:type="dcterms:W3CDTF">2025-04-24T10:27:14Z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2025-04-24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