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3.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2025-04-11</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and realised networks, which represent the subset of potential that are realised as a result of community and environmental context.</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26" w:name="dataset-overview"/>
    <w:p>
      <w:pPr>
        <w:pStyle w:val="Heading1"/>
      </w:pPr>
      <w:r>
        <w:t xml:space="preserve">5. Dataset Overview</w:t>
      </w:r>
    </w:p>
    <w:bookmarkStart w:id="24" w:name="species-occurence"/>
    <w:p>
      <w:pPr>
        <w:pStyle w:val="Heading2"/>
      </w:pPr>
      <w:r>
        <w:t xml:space="preserve">5.1 Species occurence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or assemblages, which are treated as communities of interacting organisms; pre-extinction, post-extinction, early recovery, and late recovery.</w:t>
      </w:r>
    </w:p>
    <w:bookmarkEnd w:id="24"/>
    <w:bookmarkStart w:id="25" w:name="defining-modes-of-life-traits"/>
    <w:p>
      <w:pPr>
        <w:pStyle w:val="Heading2"/>
      </w:pPr>
      <w:r>
        <w:t xml:space="preserve">5.2 Defining modes of life (traits)</w:t>
      </w:r>
    </w:p>
    <w:p>
      <w:pPr>
        <w:pStyle w:val="FirstParagraph"/>
      </w:pPr>
      <w:r>
        <w:t xml:space="preserve">We used the modes of life (traits) as identified in</w:t>
      </w:r>
      <w:r>
        <w:t xml:space="preserve"> </w:t>
      </w:r>
      <w:r>
        <w:t xml:space="preserve">[1]</w:t>
      </w:r>
      <w:r>
        <w:t xml:space="preserve">, who defined the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[5]</w:t>
      </w:r>
      <w:r>
        <w:t xml:space="preserve">.It would be very sexy if we could get a figure that looks something like this together…</w:t>
      </w:r>
    </w:p>
    <w:bookmarkEnd w:id="25"/>
    <w:bookmarkEnd w:id="26"/>
    <w:bookmarkStart w:id="42" w:name="methods"/>
    <w:p>
      <w:pPr>
        <w:pStyle w:val="Heading1"/>
      </w:pPr>
      <w:r>
        <w:t xml:space="preserve">6. Methods</w:t>
      </w:r>
    </w:p>
    <w:bookmarkStart w:id="35" w:name="models"/>
    <w:p>
      <w:pPr>
        <w:pStyle w:val="Heading2"/>
      </w:pPr>
      <w:r>
        <w:t xml:space="preserve">6.1 Models</w:t>
      </w:r>
    </w:p>
    <w:tbl>
      <w:tblPr>
        <w:tblStyle w:val="Table"/>
        <w:tblW w:type="pct" w:w="5000"/>
        <w:tblLayout w:type="fixed"/>
        <w:tblLook w:firstRow="0" w:lastRow="0" w:firstColumn="0" w:lastColumn="0" w:noHBand="0" w:noVBand="0" w:val="0000"/>
      </w:tblPr>
      <w:tblGrid>
        <w:gridCol w:w="7920"/>
      </w:tblGrid>
      <w:tr>
        <w:tc>
          <w:tcPr/>
          <w:bookmarkStart w:id="27" w:name="tbl-models"/>
          <w:p>
            <w:pPr>
              <w:jc w:val="center"/>
            </w:pPr>
            <w:pPr>
              <w:jc w:val="star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2090"/>
              <w:gridCol w:w="2310"/>
              <w:gridCol w:w="3520"/>
            </w:tblGrid>
            <w:tr>
              <w:trPr>
                <w:tblHeader w:val="on"/>
              </w:trPr>
              <w:tc>
                <w:tcPr/>
                <w:p>
                  <w:pPr>
                    <w:pStyle w:val="Compact"/>
                    <w:jc w:val="center"/>
                  </w:pPr>
                  <w:r>
                    <w:t xml:space="preserve">Model</w:t>
                  </w:r>
                </w:p>
              </w:tc>
              <w:tc>
                <w:tcPr/>
                <w:p>
                  <w:pPr>
                    <w:pStyle w:val="Compact"/>
                    <w:jc w:val="center"/>
                  </w:pPr>
                  <w:r>
                    <w:t xml:space="preserve">Predicts</w:t>
                  </w:r>
                </w:p>
              </w:tc>
              <w:tc>
                <w:tcPr/>
                <w:p>
                  <w:pPr>
                    <w:pStyle w:val="Compact"/>
                    <w:jc w:val="center"/>
                  </w:pPr>
                  <w:r>
                    <w:t xml:space="preserve">Notes</w:t>
                  </w:r>
                </w:p>
              </w:tc>
            </w:tr>
            <w:tr>
              <w:tc>
                <w:tcPr/>
                <w:p>
                  <w:pPr>
                    <w:pStyle w:val="Compact"/>
                    <w:jc w:val="center"/>
                  </w:pPr>
                  <w:r>
                    <w:t xml:space="preserve">Allometric diet breadth model</w:t>
                  </w:r>
                </w:p>
              </w:tc>
              <w:tc>
                <w:tcPr/>
                <w:p>
                  <w:pPr>
                    <w:pStyle w:val="Compact"/>
                    <w:jc w:val="center"/>
                  </w:pPr>
                  <w:r>
                    <w:t xml:space="preserve">Realised network</w:t>
                  </w:r>
                </w:p>
              </w:tc>
              <w:tc>
                <w:tcPr/>
                <w:p>
                  <w:pPr>
                    <w:pStyle w:val="Compact"/>
                  </w:pPr>
                </w:p>
              </w:tc>
            </w:tr>
            <w:tr>
              <w:tc>
                <w:tcPr/>
                <w:p>
                  <w:pPr>
                    <w:pStyle w:val="Compact"/>
                    <w:jc w:val="center"/>
                  </w:pPr>
                  <w:r>
                    <w:t xml:space="preserve">Body size ratio model</w:t>
                  </w:r>
                </w:p>
              </w:tc>
              <w:tc>
                <w:tcPr/>
                <w:p>
                  <w:pPr>
                    <w:pStyle w:val="Compact"/>
                    <w:jc w:val="center"/>
                  </w:pPr>
                  <w:r>
                    <w:t xml:space="preserve">Metaweb (?)</w:t>
                  </w:r>
                </w:p>
              </w:tc>
              <w:tc>
                <w:tcPr/>
                <w:p>
                  <w:pPr>
                    <w:pStyle w:val="Compact"/>
                  </w:pPr>
                </w:p>
              </w:tc>
            </w:tr>
            <w:tr>
              <w:tc>
                <w:tcPr/>
                <w:p>
                  <w:pPr>
                    <w:pStyle w:val="Compact"/>
                    <w:jc w:val="center"/>
                  </w:pPr>
                  <w:r>
                    <w:t xml:space="preserve">Niche model</w:t>
                  </w:r>
                </w:p>
              </w:tc>
              <w:tc>
                <w:tcPr/>
                <w:p>
                  <w:pPr>
                    <w:pStyle w:val="Compact"/>
                    <w:jc w:val="center"/>
                  </w:pPr>
                  <w:r>
                    <w:t xml:space="preserve">Structural network</w:t>
                  </w:r>
                </w:p>
              </w:tc>
              <w:tc>
                <w:tcPr/>
                <w:p>
                  <w:pPr>
                    <w:pStyle w:val="Compact"/>
                    <w:jc w:val="center"/>
                  </w:pPr>
                  <w:r>
                    <w:t xml:space="preserve">Is not species specific - cannot apply species metadata</w:t>
                  </w:r>
                </w:p>
              </w:tc>
            </w:tr>
            <w:tr>
              <w:tc>
                <w:tcPr/>
                <w:p>
                  <w:pPr>
                    <w:pStyle w:val="Compact"/>
                    <w:jc w:val="center"/>
                  </w:pPr>
                  <w:r>
                    <w:t xml:space="preserve">Paleo food web inference model</w:t>
                  </w:r>
                </w:p>
              </w:tc>
              <w:tc>
                <w:tcPr/>
                <w:p>
                  <w:pPr>
                    <w:pStyle w:val="Compact"/>
                    <w:jc w:val="center"/>
                  </w:pPr>
                  <w:r>
                    <w:t xml:space="preserve">Realised network (if downsampling)</w:t>
                  </w:r>
                </w:p>
              </w:tc>
              <w:tc>
                <w:tcPr/>
                <w:p>
                  <w:pPr>
                    <w:pStyle w:val="Compact"/>
                  </w:pPr>
                </w:p>
              </w:tc>
            </w:tr>
          </w:tbl>
          <w:bookmarkEnd w:id="27"/>
          <w:p/>
        </w:tc>
      </w:tr>
    </w:tbl>
    <w:bookmarkStart w:id="28" w:name="paleo-food-web-inference-model"/>
    <w:p>
      <w:pPr>
        <w:pStyle w:val="Heading3"/>
      </w:pPr>
      <w:r>
        <w:t xml:space="preserve">6.1.1 Paleo food web inference model</w:t>
      </w:r>
    </w:p>
    <w:p>
      <w:pPr>
        <w:pStyle w:val="FirstParagraph"/>
      </w:pPr>
      <w:r>
        <w:t xml:space="preserve">The Paleo food web inference model (PFIM;</w:t>
      </w:r>
      <w:r>
        <w:t xml:space="preserve"> </w:t>
      </w:r>
      <w:r>
        <w:t xml:space="preserve">[6]</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[6]</w:t>
      </w:r>
      <w:r>
        <w:t xml:space="preserve"> </w:t>
      </w:r>
      <w:r>
        <w:t xml:space="preserve">also includes a</w:t>
      </w:r>
      <w:r>
        <w:t xml:space="preserve"> </w:t>
      </w:r>
      <w:r>
        <w:t xml:space="preserve">‘downsampling’</w:t>
      </w:r>
      <w:r>
        <w:t xml:space="preserve"> </w:t>
      </w:r>
      <w:r>
        <w:t xml:space="preserve">step developed by</w:t>
      </w:r>
      <w:r>
        <w:t xml:space="preserve"> </w:t>
      </w:r>
      <w:r>
        <w:t xml:space="preserve">[7]</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[8]</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28"/>
    <w:bookmarkStart w:id="30" w:name="allometric-diet-breadth-model"/>
    <w:p>
      <w:pPr>
        <w:pStyle w:val="Heading3"/>
      </w:pPr>
      <w:r>
        <w:t xml:space="preserve">6.1.2 Allometric diet breadth model</w:t>
      </w:r>
    </w:p>
    <w:p>
      <w:pPr>
        <w:pStyle w:val="FirstParagraph"/>
      </w:pPr>
      <w:r>
        <w:t xml:space="preserve">The Allometric diet breadth model (ADBM;</w:t>
      </w:r>
      <w:r>
        <w:t xml:space="preserve"> </w:t>
      </w:r>
      <w:r>
        <w:t xml:space="preserve">[9]</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w:bookmarkStart w:id="29" w:name="eq-adbm"/>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r>
            <m:t>  </m:t>
          </m:r>
          <m:d>
            <m:dPr>
              <m:begChr m:val="("/>
              <m:sepChr m:val=""/>
              <m:endChr m:val=")"/>
              <m:grow/>
            </m:dPr>
            <m:e>
              <m:r>
                <m:t>1</m:t>
              </m:r>
            </m:e>
          </m:d>
        </m:oMath>
      </m:oMathPara>
      <w:bookmarkEnd w:id="29"/>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[9]</w:t>
      </w:r>
      <w:r>
        <w:t xml:space="preserve"> </w:t>
      </w:r>
      <w:r>
        <w:t xml:space="preserve">for more details as to how these different terms are parametrised.</w:t>
      </w:r>
    </w:p>
    <w:bookmarkEnd w:id="30"/>
    <w:bookmarkStart w:id="32" w:name="body-size-ratio-model"/>
    <w:p>
      <w:pPr>
        <w:pStyle w:val="Heading3"/>
      </w:pPr>
      <w:r>
        <w:t xml:space="preserve">6.1.3 Body size ratio model</w:t>
      </w:r>
    </w:p>
    <w:p>
      <w:pPr>
        <w:pStyle w:val="FirstParagraph"/>
      </w:pPr>
      <w:r>
        <w:t xml:space="preserve">The body size ratio model</w:t>
      </w:r>
      <w:r>
        <w:t xml:space="preserve"> </w:t>
      </w:r>
      <w:r>
        <w:t xml:space="preserve">[10]</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2</m:t>
              </m:r>
            </m:e>
          </m:d>
        </m:oMath>
      </m:oMathPara>
      <w:bookmarkEnd w:id="31"/>
    </w:p>
    <w:p>
      <w:pPr>
        <w:pStyle w:val="FirstParagraph"/>
      </w:pPr>
      <w:r>
        <w:t xml:space="preserve">The original latent-trait model developed by</w:t>
      </w:r>
      <w:r>
        <w:t xml:space="preserve"> </w:t>
      </w:r>
      <w:r>
        <w:t xml:space="preserve">[10]</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2</w:t>
        </w:r>
      </w:hyperlink>
      <w:r>
        <w:t xml:space="preserve"> </w:t>
      </w:r>
      <w:r>
        <w:t xml:space="preserve">as per</w:t>
      </w:r>
      <w:r>
        <w:t xml:space="preserve"> </w:t>
      </w:r>
      <w:r>
        <w:t xml:space="preserve">[11]</w:t>
      </w:r>
      <w:r>
        <w:t xml:space="preserve"> </w:t>
      </w:r>
      <w:r>
        <w:t xml:space="preserve">Based on</w:t>
      </w:r>
      <w:r>
        <w:t xml:space="preserve"> </w:t>
      </w:r>
      <w:r>
        <w:t xml:space="preserve">[10]</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[11]</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Start w:id="33" w:name="l-matrix"/>
    <w:p>
      <w:pPr>
        <w:pStyle w:val="Heading3"/>
      </w:pPr>
      <w:r>
        <w:t xml:space="preserve">6.1.4 L matrix</w:t>
      </w:r>
    </w:p>
    <w:p>
      <w:pPr>
        <w:pStyle w:val="FirstParagraph"/>
      </w:pPr>
      <w:r>
        <w:t xml:space="preserve">For now we can link to thATNr package</w:t>
      </w:r>
      <w:r>
        <w:t xml:space="preserve"> </w:t>
      </w:r>
      <w:r>
        <w:t xml:space="preserve">[12]</w:t>
      </w:r>
      <w:r>
        <w:t xml:space="preserve"> </w:t>
      </w:r>
      <w:r>
        <w:t xml:space="preserve">until I can find a more suitable manuscript that breaks down this construction method.</w:t>
      </w:r>
      <w:r>
        <w:t xml:space="preserve"> </w:t>
      </w:r>
      <w:r>
        <w:t xml:space="preserve">[13]</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33"/>
    <w:bookmarkStart w:id="34" w:name="niche-model"/>
    <w:p>
      <w:pPr>
        <w:pStyle w:val="Heading3"/>
      </w:pPr>
      <w:r>
        <w:t xml:space="preserve">6.1.5 Niche model</w:t>
      </w:r>
    </w:p>
    <w:p>
      <w:pPr>
        <w:pStyle w:val="FirstParagraph"/>
      </w:pPr>
      <w:r>
        <w:t xml:space="preserve">The niche model</w:t>
      </w:r>
      <w:r>
        <w:t xml:space="preserve"> </w:t>
      </w:r>
      <w:r>
        <w:t xml:space="preserve">[14]</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[15]</w:t>
      </w:r>
      <w:r>
        <w:t xml:space="preserve">.</w:t>
      </w:r>
    </w:p>
    <w:bookmarkEnd w:id="34"/>
    <w:bookmarkEnd w:id="35"/>
    <w:bookmarkStart w:id="41" w:name="assessing-model-performance"/>
    <w:p>
      <w:pPr>
        <w:pStyle w:val="Heading2"/>
      </w:pPr>
      <w:r>
        <w:t xml:space="preserve">6.2 Assessing model performance</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[16]</w:t>
      </w:r>
      <w:r>
        <w:t xml:space="preserve"> </w:t>
      </w:r>
      <w:r>
        <w:t xml:space="preserve">we do still lack a clear set of guidelines for assessing how well models recover network structure</w:t>
      </w:r>
      <w:r>
        <w:t xml:space="preserve"> </w:t>
      </w:r>
      <w:r>
        <w:t xml:space="preserve">[17]</w:t>
      </w:r>
      <w:r>
        <w:t xml:space="preserve"> </w:t>
      </w:r>
      <w:r>
        <w:t xml:space="preserve">and it is beneficial to use a small subset of metrics that can clearly be tied to broader aspects of network function or capturing a ecological process.</w:t>
      </w:r>
    </w:p>
    <w:bookmarkStart w:id="36" w:name="macro-network-properties"/>
    <w:p>
      <w:pPr>
        <w:pStyle w:val="Heading3"/>
      </w:pPr>
      <w:r>
        <w:t xml:space="preserve">6.2.1 Macro network properties</w:t>
      </w:r>
    </w:p>
    <w:p>
      <w:pPr>
        <w:pStyle w:val="FirstParagraph"/>
      </w:pPr>
      <w:r>
        <w:rPr>
          <w:b/>
          <w:bCs/>
        </w:rPr>
        <w:t xml:space="preserve">Connectance</w:t>
      </w:r>
      <w:r>
        <w:t xml:space="preserve"> </w:t>
      </w:r>
      <w:r>
        <w:t xml:space="preserve">[18]</w:t>
      </w:r>
      <w:r>
        <w:t xml:space="preserve"> </w:t>
      </w:r>
      <w:r>
        <w:t xml:space="preserve">has been shown to be the feature of networks that underpin a series of other properties and function</w:t>
      </w:r>
      <w:r>
        <w:t xml:space="preserve"> </w:t>
      </w:r>
      <w:r>
        <w:t xml:space="preserve">[19]</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[20]</w:t>
      </w:r>
      <w:r>
        <w:t xml:space="preserve">), we could also look at the rank/rank deficiency of networks which (theoretically) represents the number fo unique interaction strategies in the network</w:t>
      </w:r>
      <w:r>
        <w:t xml:space="preserve"> </w:t>
      </w:r>
      <w:r>
        <w:t xml:space="preserve">[20]</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36"/>
    <w:bookmarkStart w:id="37" w:name="meso-network-properties"/>
    <w:p>
      <w:pPr>
        <w:pStyle w:val="Heading3"/>
      </w:pPr>
      <w:r>
        <w:t xml:space="preserve">6.2.2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[21,22]</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37"/>
    <w:bookmarkStart w:id="38" w:name="micro-network-properties"/>
    <w:p>
      <w:pPr>
        <w:pStyle w:val="Heading3"/>
      </w:pPr>
      <w:r>
        <w:t xml:space="preserve">6.2.3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[23]</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[9,</w:t>
      </w:r>
      <w:r>
        <w:rPr>
          <w:i/>
          <w:iCs/>
        </w:rPr>
        <w:t xml:space="preserve">e.g.,</w:t>
      </w:r>
      <w:r>
        <w:t xml:space="preserve"> </w:t>
      </w:r>
      <w:r>
        <w:t xml:space="preserve">15]</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[24]</w:t>
      </w:r>
    </w:p>
    <w:p>
      <w:pPr>
        <w:pStyle w:val="BlockText"/>
      </w:pPr>
      <w:r>
        <w:rPr>
          <w:b/>
          <w:bCs/>
        </w:rPr>
        <w:t xml:space="preserve">Shape:</w:t>
      </w:r>
      <w:r>
        <w:t xml:space="preserve"> </w:t>
      </w:r>
      <w:r>
        <w:t xml:space="preserve">to determine if the</w:t>
      </w:r>
      <w:r>
        <w:t xml:space="preserve"> </w:t>
      </w:r>
      <w:r>
        <w:t xml:space="preserve">‘shape’</w:t>
      </w:r>
      <w:r>
        <w:t xml:space="preserve"> </w:t>
      </w:r>
      <w:r>
        <w:t xml:space="preserve">of the network is correct we are looking at the ratio of</w:t>
      </w:r>
      <w:r>
        <w:t xml:space="preserve"> </w:t>
      </w:r>
      <w:r>
        <w:t xml:space="preserve">‘top’</w:t>
      </w:r>
      <w:r>
        <w:t xml:space="preserve">:</w:t>
      </w:r>
      <w:r>
        <w:t xml:space="preserve">‘basal’</w:t>
      </w:r>
      <w:r>
        <w:t xml:space="preserve"> </w:t>
      </w:r>
      <w:r>
        <w:t xml:space="preserve">species (where</w:t>
      </w:r>
      <w:r>
        <w:t xml:space="preserve"> </w:t>
      </w:r>
      <w:r>
        <w:t xml:space="preserve">‘top’</w:t>
      </w:r>
      <w:r>
        <w:t xml:space="preserve"> </w:t>
      </w:r>
      <w:r>
        <w:t xml:space="preserve">species are those that have a vulnerability of 0 and</w:t>
      </w:r>
      <w:r>
        <w:t xml:space="preserve"> </w:t>
      </w:r>
      <w:r>
        <w:t xml:space="preserve">‘basal’</w:t>
      </w:r>
      <w:r>
        <w:t xml:space="preserve"> </w:t>
      </w:r>
      <w:r>
        <w:t xml:space="preserve">species have a generality of 0) as well as the distance to base from one of the top species (this will represent the shortest path but a large discrepancy between the real and predicted network would be indicative that the model is not predicting a similar</w:t>
      </w:r>
      <w:r>
        <w:t xml:space="preserve"> </w:t>
      </w:r>
      <w:r>
        <w:t xml:space="preserve">‘shape’</w:t>
      </w:r>
      <w:r>
        <w:t xml:space="preserve">). This will allow is to see if the models construct tall</w:t>
      </w:r>
      <w:r>
        <w:t xml:space="preserve"> </w:t>
      </w:r>
      <w:r>
        <w:t xml:space="preserve">‘pencil’</w:t>
      </w:r>
      <w:r>
        <w:t xml:space="preserve"> </w:t>
      </w:r>
      <w:r>
        <w:t xml:space="preserve">vs flat</w:t>
      </w:r>
      <w:r>
        <w:t xml:space="preserve"> </w:t>
      </w:r>
      <w:r>
        <w:t xml:space="preserve">‘pancake’</w:t>
      </w:r>
      <w:r>
        <w:t xml:space="preserve"> </w:t>
      </w:r>
      <w:r>
        <w:t xml:space="preserve">networks (Beckerman 2024, pers comms). A small (&lt; 1) number will thus be indicative of a</w:t>
      </w:r>
      <w:r>
        <w:t xml:space="preserve"> </w:t>
      </w:r>
      <w:r>
        <w:t xml:space="preserve">‘bottom-heavy’</w:t>
      </w:r>
      <w:r>
        <w:t xml:space="preserve"> </w:t>
      </w:r>
      <w:r>
        <w:t xml:space="preserve">network and the opposite for larger numbers</w:t>
      </w:r>
    </w:p>
    <w:bookmarkEnd w:id="38"/>
    <w:bookmarkStart w:id="39" w:name="interactions"/>
    <w:p>
      <w:pPr>
        <w:pStyle w:val="Heading3"/>
      </w:pPr>
      <w:r>
        <w:t xml:space="preserve">6.2.4 Interactions</w:t>
      </w:r>
    </w:p>
    <w:p>
      <w:pPr>
        <w:pStyle w:val="FirstParagraph"/>
      </w:pPr>
      <w:r>
        <w:rPr>
          <w:b/>
          <w:bCs/>
        </w:rPr>
        <w:t xml:space="preserve">Interaction turnover</w:t>
      </w:r>
      <w:r>
        <w:t xml:space="preserve"> </w:t>
      </w:r>
      <w:r>
        <w:t xml:space="preserve">[24]</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39"/>
    <w:bookmarkStart w:id="40" w:name="robustness"/>
    <w:p>
      <w:pPr>
        <w:pStyle w:val="Heading3"/>
      </w:pPr>
      <w:r>
        <w:t xml:space="preserve">6.2.5 Robustness</w:t>
      </w:r>
    </w:p>
    <w:p>
      <w:pPr>
        <w:pStyle w:val="FirstParagraph"/>
      </w:pPr>
      <m:oMath>
        <m:sSub>
          <m:e>
            <m:r>
              <m:t>R</m:t>
            </m:r>
          </m:e>
          <m:sub>
            <m:r>
              <m:t>50</m:t>
            </m:r>
          </m:sub>
        </m:sSub>
      </m:oMath>
      <w:r>
        <w:t xml:space="preserve"> </w:t>
      </w:r>
      <w:r>
        <w:t xml:space="preserve">see</w:t>
      </w:r>
      <w:r>
        <w:t xml:space="preserve"> </w:t>
      </w:r>
      <w:r>
        <w:t xml:space="preserve">[25]</w:t>
      </w:r>
    </w:p>
    <w:bookmarkEnd w:id="40"/>
    <w:bookmarkEnd w:id="41"/>
    <w:bookmarkEnd w:id="42"/>
    <w:bookmarkStart w:id="57" w:name="results"/>
    <w:p>
      <w:pPr>
        <w:pStyle w:val="Heading1"/>
      </w:pPr>
      <w:r>
        <w:t xml:space="preserve">7. Results</w:t>
      </w:r>
    </w:p>
    <w:bookmarkStart w:id="47" w:name="comparing-predicted-networks"/>
    <w:p>
      <w:pPr>
        <w:pStyle w:val="Heading2"/>
      </w:pPr>
      <w:r>
        <w:t xml:space="preserve">7.1 Comparing predicted networks</w:t>
      </w:r>
    </w:p>
    <w:tbl>
      <w:tblPr>
        <w:tblStyle w:val="Table"/>
        <w:tblW w:type="pct" w:w="5000"/>
        <w:tblLayout w:type="fixed"/>
        <w:tblLook w:firstRow="0" w:lastRow="0" w:firstColumn="0" w:lastColumn="0" w:noHBand="0" w:noVBand="0" w:val="0000"/>
      </w:tblPr>
      <w:tblGrid>
        <w:gridCol w:w="7920"/>
      </w:tblGrid>
      <w:tr>
        <w:tc>
          <w:tcPr/>
          <w:bookmarkStart w:id="46" w:name="fig-summary"/>
          <w:p>
            <w:pPr>
              <w:pStyle w:val="Compact"/>
              <w:jc w:val="center"/>
            </w:pPr>
            <w:r>
              <w:drawing>
                <wp:inline>
                  <wp:extent cx="5334000" cy="8297333"/>
                  <wp:effectExtent b="0" l="0" r="0" t="0"/>
                  <wp:docPr descr="" title="" id="44" name="Picture"/>
                  <a:graphic>
                    <a:graphicData uri="http://schemas.openxmlformats.org/drawingml/2006/picture">
                      <pic:pic>
                        <pic:nvPicPr>
                          <pic:cNvPr descr="figures/summary.png" id="45" name="Picture"/>
                          <pic:cNvPicPr>
                            <a:picLocks noChangeArrowheads="1" noChangeAspect="1"/>
                          </pic:cNvPicPr>
                        </pic:nvPicPr>
                        <pic:blipFill>
                          <a:blip r:embed="rId43"/>
                          <a:stretch>
                            <a:fillRect/>
                          </a:stretch>
                        </pic:blipFill>
                        <pic:spPr bwMode="auto">
                          <a:xfrm>
                            <a:off x="0" y="0"/>
                            <a:ext cx="5334000" cy="8297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stuff… For display purposes the counts for the different motifs are log transformed</w:t>
            </w:r>
          </w:p>
          <w:bookmarkEnd w:id="46"/>
        </w:tc>
      </w:tr>
    </w:tbl>
    <w:bookmarkEnd w:id="47"/>
    <w:bookmarkStart w:id="48" w:name="comparing-inference"/>
    <w:p>
      <w:pPr>
        <w:pStyle w:val="Heading2"/>
      </w:pPr>
      <w:r>
        <w:t xml:space="preserve">7.2 Comparing inference</w:t>
      </w:r>
    </w:p>
    <w:bookmarkEnd w:id="48"/>
    <w:bookmarkStart w:id="56" w:name="extinctions"/>
    <w:p>
      <w:pPr>
        <w:pStyle w:val="Heading2"/>
      </w:pPr>
      <w:r>
        <w:t xml:space="preserve">7.3 Extinctions</w:t>
      </w:r>
    </w:p>
    <w:tbl>
      <w:tblPr>
        <w:tblStyle w:val="Table"/>
        <w:tblW w:type="pct" w:w="5000"/>
        <w:tblLayout w:type="fixed"/>
        <w:tblLook w:firstRow="0" w:lastRow="0" w:firstColumn="0" w:lastColumn="0" w:noHBand="0" w:noVBand="0" w:val="0000"/>
      </w:tblPr>
      <w:tblGrid>
        <w:gridCol w:w="7920"/>
      </w:tblGrid>
      <w:tr>
        <w:tc>
          <w:tcPr/>
          <w:bookmarkStart w:id="52" w:name="fig-extinction"/>
          <w:p>
            <w:pPr>
              <w:pStyle w:val="Compact"/>
              <w:jc w:val="center"/>
            </w:pPr>
            <w:r>
              <w:drawing>
                <wp:inline>
                  <wp:extent cx="5334000" cy="10668000"/>
                  <wp:effectExtent b="0" l="0" r="0" t="0"/>
                  <wp:docPr descr="" title="" id="50" name="Picture"/>
                  <a:graphic>
                    <a:graphicData uri="http://schemas.openxmlformats.org/drawingml/2006/picture">
                      <pic:pic>
                        <pic:nvPicPr>
                          <pic:cNvPr descr="figures/extinction.png" id="51" name="Picture"/>
                          <pic:cNvPicPr>
                            <a:picLocks noChangeArrowheads="1" noChangeAspect="1"/>
                          </pic:cNvPicPr>
                        </pic:nvPicPr>
                        <pic:blipFill>
                          <a:blip r:embed="rId49"/>
                          <a:stretch>
                            <a:fillRect/>
                          </a:stretch>
                        </pic:blipFill>
                        <pic:spPr bwMode="auto">
                          <a:xfrm>
                            <a:off x="0" y="0"/>
                            <a:ext cx="5334000" cy="1066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Dashed line indicates the (mean) extinction simulation results (post value, start values are those estimated by the relevant model). For display purposes the counts for the different motifs are log transformed</w:t>
            </w:r>
          </w:p>
          <w:bookmarkEnd w:id="52"/>
        </w:tc>
      </w:tr>
    </w:tbl>
    <w:p>
      <w:pPr>
        <w:pStyle w:val="CaptionedFigure"/>
      </w:pPr>
      <w:r>
        <w:drawing>
          <wp:inline>
            <wp:extent cx="5334000" cy="8297333"/>
            <wp:effectExtent b="0" l="0" r="0" t="0"/>
            <wp:docPr descr="Dark line indicates ‘real’ extinction simulation results the lighter lines show each model individually, which is also denoted by the linetype. For display purposes the counts for the different motifs are log transformed" title="" id="54" name="Picture"/>
            <a:graphic>
              <a:graphicData uri="http://schemas.openxmlformats.org/drawingml/2006/picture">
                <pic:pic>
                  <pic:nvPicPr>
                    <pic:cNvPr descr="figures/extinction_all_results.png" id="55" name="Picture"/>
                    <pic:cNvPicPr>
                      <a:picLocks noChangeArrowheads="1" noChangeAspect="1"/>
                    </pic:cNvPicPr>
                  </pic:nvPicPr>
                  <pic:blipFill>
                    <a:blip r:embed="rId53"/>
                    <a:stretch>
                      <a:fillRect/>
                    </a:stretch>
                  </pic:blipFill>
                  <pic:spPr bwMode="auto">
                    <a:xfrm>
                      <a:off x="0" y="0"/>
                      <a:ext cx="5334000" cy="8297333"/>
                    </a:xfrm>
                    <a:prstGeom prst="rect">
                      <a:avLst/>
                    </a:prstGeom>
                    <a:noFill/>
                    <a:ln w="9525">
                      <a:noFill/>
                      <a:headEnd/>
                      <a:tailEnd/>
                    </a:ln>
                  </pic:spPr>
                </pic:pic>
              </a:graphicData>
            </a:graphic>
          </wp:inline>
        </w:drawing>
      </w:r>
    </w:p>
    <w:p>
      <w:pPr>
        <w:pStyle w:val="ImageCaption"/>
      </w:pPr>
      <w:r>
        <w:t xml:space="preserve">Dark line indicates</w:t>
      </w:r>
      <w:r>
        <w:t xml:space="preserve"> </w:t>
      </w:r>
      <w:r>
        <w:t xml:space="preserve">‘real’</w:t>
      </w:r>
      <w:r>
        <w:t xml:space="preserve"> </w:t>
      </w:r>
      <w:r>
        <w:t xml:space="preserve">extinction simulation results the lighter lines show each model individually, which is also denoted by the linetype. For display purposes the counts for the different motifs are log transformed</w:t>
      </w:r>
    </w:p>
    <w:bookmarkEnd w:id="56"/>
    <w:bookmarkEnd w:id="57"/>
    <w:bookmarkStart w:id="108" w:name="references"/>
    <w:p>
      <w:pPr>
        <w:pStyle w:val="Heading1"/>
      </w:pPr>
      <w:r>
        <w:t xml:space="preserve">References</w:t>
      </w:r>
    </w:p>
    <w:bookmarkStart w:id="107" w:name="refs"/>
    <w:bookmarkStart w:id="59"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58">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59"/>
    <w:bookmarkStart w:id="61"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60">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61"/>
    <w:bookmarkStart w:id="63"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62">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63"/>
    <w:bookmarkStart w:id="65"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64">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65"/>
    <w:bookmarkStart w:id="67" w:name="ref-bambach2007"/>
    <w:p>
      <w:pPr>
        <w:pStyle w:val="Bibliography"/>
      </w:pPr>
      <w:r>
        <w:t xml:space="preserve">5.</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66">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67"/>
    <w:bookmarkStart w:id="69" w:name="ref-shaw2024"/>
    <w:p>
      <w:pPr>
        <w:pStyle w:val="Bibliography"/>
      </w:pPr>
      <w:r>
        <w:t xml:space="preserve">6.</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68">
        <w:r>
          <w:rPr>
            <w:rStyle w:val="Hyperlink"/>
          </w:rPr>
          <w:t xml:space="preserve">A framework for reconstructing ancient food webs using functional trait data</w:t>
        </w:r>
      </w:hyperlink>
      <w:r>
        <w:t xml:space="preserve">bioRxiv, 2024.01.30.578036</w:t>
      </w:r>
    </w:p>
    <w:bookmarkEnd w:id="69"/>
    <w:bookmarkStart w:id="71" w:name="ref-roopnarine2006"/>
    <w:p>
      <w:pPr>
        <w:pStyle w:val="Bibliography"/>
      </w:pPr>
      <w:r>
        <w:t xml:space="preserve">7.</w:t>
      </w:r>
      <w:r>
        <w:t xml:space="preserve"> </w:t>
      </w:r>
      <w:r>
        <w:t xml:space="preserve">	</w:t>
      </w:r>
      <w:r>
        <w:t xml:space="preserve">Roopnarine, P.D. (2006)</w:t>
      </w:r>
      <w:r>
        <w:t xml:space="preserve"> </w:t>
      </w:r>
      <w:hyperlink r:id="rId70">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71"/>
    <w:bookmarkStart w:id="72" w:name="ref-roopnarine2017"/>
    <w:p>
      <w:pPr>
        <w:pStyle w:val="Bibliography"/>
      </w:pPr>
      <w:r>
        <w:t xml:space="preserve">8.</w:t>
      </w:r>
      <w:r>
        <w:t xml:space="preserve"> </w:t>
      </w:r>
      <w:r>
        <w:t xml:space="preserve">	</w:t>
      </w:r>
      <w:r>
        <w:t xml:space="preserve">Roopnarine, P.D. (2017) Ecological Modelling of Paleocommunity Food Webspp. 201–226, University of Chicago Press</w:t>
      </w:r>
    </w:p>
    <w:bookmarkEnd w:id="72"/>
    <w:bookmarkStart w:id="74" w:name="ref-petchey2008"/>
    <w:p>
      <w:pPr>
        <w:pStyle w:val="Bibliography"/>
      </w:pPr>
      <w:r>
        <w:t xml:space="preserve">9.</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73">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74"/>
    <w:bookmarkStart w:id="76" w:name="ref-rohr2010"/>
    <w:p>
      <w:pPr>
        <w:pStyle w:val="Bibliography"/>
      </w:pPr>
      <w:r>
        <w:t xml:space="preserve">10.</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75">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76"/>
    <w:bookmarkStart w:id="78" w:name="ref-yeakel2014"/>
    <w:p>
      <w:pPr>
        <w:pStyle w:val="Bibliography"/>
      </w:pPr>
      <w:r>
        <w:t xml:space="preserve">11.</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77">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78"/>
    <w:bookmarkStart w:id="80" w:name="ref-gauzens2023"/>
    <w:p>
      <w:pPr>
        <w:pStyle w:val="Bibliography"/>
      </w:pPr>
      <w:r>
        <w:t xml:space="preserve">12.</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79">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80"/>
    <w:bookmarkStart w:id="82" w:name="ref-schneider2016"/>
    <w:p>
      <w:pPr>
        <w:pStyle w:val="Bibliography"/>
      </w:pPr>
      <w:r>
        <w:t xml:space="preserve">13.</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81">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82"/>
    <w:bookmarkStart w:id="84" w:name="ref-williams2000"/>
    <w:p>
      <w:pPr>
        <w:pStyle w:val="Bibliography"/>
      </w:pPr>
      <w:r>
        <w:t xml:space="preserve">14.</w:t>
      </w:r>
      <w:r>
        <w:t xml:space="preserve"> </w:t>
      </w:r>
      <w:r>
        <w:t xml:space="preserve">	</w:t>
      </w:r>
      <w:r>
        <w:t xml:space="preserve">Williams, R.J. and Martinez, N.D. (2000)</w:t>
      </w:r>
      <w:r>
        <w:t xml:space="preserve"> </w:t>
      </w:r>
      <w:hyperlink r:id="rId83">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84"/>
    <w:bookmarkStart w:id="86" w:name="ref-williams2008"/>
    <w:p>
      <w:pPr>
        <w:pStyle w:val="Bibliography"/>
      </w:pPr>
      <w:r>
        <w:t xml:space="preserve">15.</w:t>
      </w:r>
      <w:r>
        <w:t xml:space="preserve"> </w:t>
      </w:r>
      <w:r>
        <w:t xml:space="preserve">	</w:t>
      </w:r>
      <w:r>
        <w:t xml:space="preserve">Williams, R.J. and Martinez, N.D. (2008)</w:t>
      </w:r>
      <w:r>
        <w:t xml:space="preserve"> </w:t>
      </w:r>
      <w:hyperlink r:id="rId85">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86"/>
    <w:bookmarkStart w:id="88" w:name="ref-delmas2018"/>
    <w:p>
      <w:pPr>
        <w:pStyle w:val="Bibliography"/>
      </w:pPr>
      <w:r>
        <w:t xml:space="preserve">16.</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87">
        <w:r>
          <w:rPr>
            <w:rStyle w:val="Hyperlink"/>
          </w:rPr>
          <w:t xml:space="preserve">10.1111/brv.12433</w:t>
        </w:r>
      </w:hyperlink>
    </w:p>
    <w:bookmarkEnd w:id="88"/>
    <w:bookmarkStart w:id="90" w:name="ref-allesina2008"/>
    <w:p>
      <w:pPr>
        <w:pStyle w:val="Bibliography"/>
      </w:pPr>
      <w:r>
        <w:t xml:space="preserve">17.</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89">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90"/>
    <w:bookmarkStart w:id="92" w:name="ref-martinez1992"/>
    <w:p>
      <w:pPr>
        <w:pStyle w:val="Bibliography"/>
      </w:pPr>
      <w:r>
        <w:t xml:space="preserve">18.</w:t>
      </w:r>
      <w:r>
        <w:t xml:space="preserve"> </w:t>
      </w:r>
      <w:r>
        <w:t xml:space="preserve">	</w:t>
      </w:r>
      <w:r>
        <w:t xml:space="preserve">Martinez, N.D. (1992)</w:t>
      </w:r>
      <w:r>
        <w:t xml:space="preserve"> </w:t>
      </w:r>
      <w:hyperlink r:id="rId91">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92"/>
    <w:bookmarkStart w:id="94" w:name="ref-strydom2021b"/>
    <w:p>
      <w:pPr>
        <w:pStyle w:val="Bibliography"/>
      </w:pPr>
      <w:r>
        <w:t xml:space="preserve">19.</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93">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94"/>
    <w:bookmarkStart w:id="96" w:name="ref-strydom2021"/>
    <w:p>
      <w:pPr>
        <w:pStyle w:val="Bibliography"/>
      </w:pPr>
      <w:r>
        <w:t xml:space="preserve">20.</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95">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96"/>
    <w:bookmarkStart w:id="98" w:name="ref-milo2002"/>
    <w:p>
      <w:pPr>
        <w:pStyle w:val="Bibliography"/>
      </w:pPr>
      <w:r>
        <w:t xml:space="preserve">21.</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97">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98"/>
    <w:bookmarkStart w:id="100" w:name="ref-stouffer2007"/>
    <w:p>
      <w:pPr>
        <w:pStyle w:val="Bibliography"/>
      </w:pPr>
      <w:r>
        <w:t xml:space="preserve">22.</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99">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00"/>
    <w:bookmarkStart w:id="102" w:name="ref-schoener1989"/>
    <w:p>
      <w:pPr>
        <w:pStyle w:val="Bibliography"/>
      </w:pPr>
      <w:r>
        <w:t xml:space="preserve">23.</w:t>
      </w:r>
      <w:r>
        <w:t xml:space="preserve"> </w:t>
      </w:r>
      <w:r>
        <w:t xml:space="preserve">	</w:t>
      </w:r>
      <w:r>
        <w:t xml:space="preserve">Schoener, T.W. (1989)</w:t>
      </w:r>
      <w:r>
        <w:t xml:space="preserve"> </w:t>
      </w:r>
      <w:hyperlink r:id="rId101">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02"/>
    <w:bookmarkStart w:id="104" w:name="ref-poisot2012"/>
    <w:p>
      <w:pPr>
        <w:pStyle w:val="Bibliography"/>
      </w:pPr>
      <w:r>
        <w:t xml:space="preserve">24.</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03">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04"/>
    <w:bookmarkStart w:id="106" w:name="ref-jonsson2015"/>
    <w:p>
      <w:pPr>
        <w:pStyle w:val="Bibliography"/>
      </w:pPr>
      <w:r>
        <w:t xml:space="preserve">25.</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05">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06"/>
    <w:bookmarkEnd w:id="107"/>
    <w:bookmarkEnd w:id="10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43" Target="media/rId43.png" /><Relationship Type="http://schemas.openxmlformats.org/officeDocument/2006/relationships/hyperlink" Id="rId91" Target="http://www.jstor.org/stable/2462337" TargetMode="External" /><Relationship Type="http://schemas.openxmlformats.org/officeDocument/2006/relationships/hyperlink" Id="rId83" Target="https://doi.org/10.1038/35004572" TargetMode="External" /><Relationship Type="http://schemas.openxmlformats.org/officeDocument/2006/relationships/hyperlink" Id="rId81" Target="https://doi.org/10.1038/ncomms12718" TargetMode="External" /><Relationship Type="http://schemas.openxmlformats.org/officeDocument/2006/relationships/hyperlink" Id="rId58" Target="https://doi.org/10.1038/s41467-024-53000-2" TargetMode="External" /><Relationship Type="http://schemas.openxmlformats.org/officeDocument/2006/relationships/hyperlink" Id="rId73" Target="https://doi.org/10.1073/pnas.0710672105" TargetMode="External" /><Relationship Type="http://schemas.openxmlformats.org/officeDocument/2006/relationships/hyperlink" Id="rId77" Target="https://doi.org/10.1073/pnas.1408471111" TargetMode="External" /><Relationship Type="http://schemas.openxmlformats.org/officeDocument/2006/relationships/hyperlink" Id="rId75" Target="https://doi.org/10.1086/653667" TargetMode="External" /><Relationship Type="http://schemas.openxmlformats.org/officeDocument/2006/relationships/hyperlink" Id="rId99" Target="https://doi.org/10.1098/rspb.2007.0571" TargetMode="External" /><Relationship Type="http://schemas.openxmlformats.org/officeDocument/2006/relationships/hyperlink" Id="rId93" Target="https://doi.org/10.1098/rstb.2021.0063" TargetMode="External" /><Relationship Type="http://schemas.openxmlformats.org/officeDocument/2006/relationships/hyperlink" Id="rId68" Target="https://doi.org/10.1101/2024.01.30.578036" TargetMode="External" /><Relationship Type="http://schemas.openxmlformats.org/officeDocument/2006/relationships/hyperlink" Id="rId79" Target="https://doi.org/10.1111/2041-210X.14212" TargetMode="External" /><Relationship Type="http://schemas.openxmlformats.org/officeDocument/2006/relationships/hyperlink" Id="rId60" Target="https://doi.org/10.1111/2041-210X.14228" TargetMode="External" /><Relationship Type="http://schemas.openxmlformats.org/officeDocument/2006/relationships/hyperlink" Id="rId87" Target="https://doi.org/10.1111/brv.12433" TargetMode="External" /><Relationship Type="http://schemas.openxmlformats.org/officeDocument/2006/relationships/hyperlink" Id="rId62" Target="https://doi.org/10.1111/ele.13966" TargetMode="External" /><Relationship Type="http://schemas.openxmlformats.org/officeDocument/2006/relationships/hyperlink" Id="rId85" Target="https://doi.org/10.1111/j.1365-2656.2008.01362.x" TargetMode="External" /><Relationship Type="http://schemas.openxmlformats.org/officeDocument/2006/relationships/hyperlink" Id="rId66" Target="https://doi.org/10.1111/j.1475-4983.2006.00611.x" TargetMode="External" /><Relationship Type="http://schemas.openxmlformats.org/officeDocument/2006/relationships/hyperlink" Id="rId103" Target="https://doi.org/10.1111/j.2041-210x.2011.00174.x" TargetMode="External" /><Relationship Type="http://schemas.openxmlformats.org/officeDocument/2006/relationships/hyperlink" Id="rId105" Target="https://doi.org/10.1111/oik.01588" TargetMode="External" /><Relationship Type="http://schemas.openxmlformats.org/officeDocument/2006/relationships/hyperlink" Id="rId89" Target="https://doi.org/10.1126/science.1156269" TargetMode="External" /><Relationship Type="http://schemas.openxmlformats.org/officeDocument/2006/relationships/hyperlink" Id="rId97" Target="https://doi.org/10.1126/science.298.5594.824" TargetMode="External" /><Relationship Type="http://schemas.openxmlformats.org/officeDocument/2006/relationships/hyperlink" Id="rId64" Target="https://doi.org/10.1126/science.abn4012" TargetMode="External" /><Relationship Type="http://schemas.openxmlformats.org/officeDocument/2006/relationships/hyperlink" Id="rId101" Target="https://doi.org/10.2307/1938088" TargetMode="External" /><Relationship Type="http://schemas.openxmlformats.org/officeDocument/2006/relationships/hyperlink" Id="rId95" Target="https://doi.org/10.3389/fevo.2021.623141" TargetMode="External" /><Relationship Type="http://schemas.openxmlformats.org/officeDocument/2006/relationships/hyperlink" Id="rId70"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91" Target="http://www.jstor.org/stable/2462337" TargetMode="External" /><Relationship Type="http://schemas.openxmlformats.org/officeDocument/2006/relationships/hyperlink" Id="rId83" Target="https://doi.org/10.1038/35004572" TargetMode="External" /><Relationship Type="http://schemas.openxmlformats.org/officeDocument/2006/relationships/hyperlink" Id="rId81" Target="https://doi.org/10.1038/ncomms12718" TargetMode="External" /><Relationship Type="http://schemas.openxmlformats.org/officeDocument/2006/relationships/hyperlink" Id="rId58" Target="https://doi.org/10.1038/s41467-024-53000-2" TargetMode="External" /><Relationship Type="http://schemas.openxmlformats.org/officeDocument/2006/relationships/hyperlink" Id="rId73" Target="https://doi.org/10.1073/pnas.0710672105" TargetMode="External" /><Relationship Type="http://schemas.openxmlformats.org/officeDocument/2006/relationships/hyperlink" Id="rId77" Target="https://doi.org/10.1073/pnas.1408471111" TargetMode="External" /><Relationship Type="http://schemas.openxmlformats.org/officeDocument/2006/relationships/hyperlink" Id="rId75" Target="https://doi.org/10.1086/653667" TargetMode="External" /><Relationship Type="http://schemas.openxmlformats.org/officeDocument/2006/relationships/hyperlink" Id="rId99" Target="https://doi.org/10.1098/rspb.2007.0571" TargetMode="External" /><Relationship Type="http://schemas.openxmlformats.org/officeDocument/2006/relationships/hyperlink" Id="rId93" Target="https://doi.org/10.1098/rstb.2021.0063" TargetMode="External" /><Relationship Type="http://schemas.openxmlformats.org/officeDocument/2006/relationships/hyperlink" Id="rId68" Target="https://doi.org/10.1101/2024.01.30.578036" TargetMode="External" /><Relationship Type="http://schemas.openxmlformats.org/officeDocument/2006/relationships/hyperlink" Id="rId79" Target="https://doi.org/10.1111/2041-210X.14212" TargetMode="External" /><Relationship Type="http://schemas.openxmlformats.org/officeDocument/2006/relationships/hyperlink" Id="rId60" Target="https://doi.org/10.1111/2041-210X.14228" TargetMode="External" /><Relationship Type="http://schemas.openxmlformats.org/officeDocument/2006/relationships/hyperlink" Id="rId87" Target="https://doi.org/10.1111/brv.12433" TargetMode="External" /><Relationship Type="http://schemas.openxmlformats.org/officeDocument/2006/relationships/hyperlink" Id="rId62" Target="https://doi.org/10.1111/ele.13966" TargetMode="External" /><Relationship Type="http://schemas.openxmlformats.org/officeDocument/2006/relationships/hyperlink" Id="rId85" Target="https://doi.org/10.1111/j.1365-2656.2008.01362.x" TargetMode="External" /><Relationship Type="http://schemas.openxmlformats.org/officeDocument/2006/relationships/hyperlink" Id="rId66" Target="https://doi.org/10.1111/j.1475-4983.2006.00611.x" TargetMode="External" /><Relationship Type="http://schemas.openxmlformats.org/officeDocument/2006/relationships/hyperlink" Id="rId103" Target="https://doi.org/10.1111/j.2041-210x.2011.00174.x" TargetMode="External" /><Relationship Type="http://schemas.openxmlformats.org/officeDocument/2006/relationships/hyperlink" Id="rId105" Target="https://doi.org/10.1111/oik.01588" TargetMode="External" /><Relationship Type="http://schemas.openxmlformats.org/officeDocument/2006/relationships/hyperlink" Id="rId89" Target="https://doi.org/10.1126/science.1156269" TargetMode="External" /><Relationship Type="http://schemas.openxmlformats.org/officeDocument/2006/relationships/hyperlink" Id="rId97" Target="https://doi.org/10.1126/science.298.5594.824" TargetMode="External" /><Relationship Type="http://schemas.openxmlformats.org/officeDocument/2006/relationships/hyperlink" Id="rId64" Target="https://doi.org/10.1126/science.abn4012" TargetMode="External" /><Relationship Type="http://schemas.openxmlformats.org/officeDocument/2006/relationships/hyperlink" Id="rId101" Target="https://doi.org/10.2307/1938088" TargetMode="External" /><Relationship Type="http://schemas.openxmlformats.org/officeDocument/2006/relationships/hyperlink" Id="rId95" Target="https://doi.org/10.3389/fevo.2021.623141" TargetMode="External" /><Relationship Type="http://schemas.openxmlformats.org/officeDocument/2006/relationships/hyperlink" Id="rId70"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2025-04-11T14:12:49Z</dcterms:created>
  <dcterms:modified xsi:type="dcterms:W3CDTF">2025-04-11T14:12:49Z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2025-04-11</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