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61.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2025-06-23</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 Point to works that showcase how we can learn form the past and inform on the current but possibly also the future</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p>
      <w:pPr>
        <w:numPr>
          <w:ilvl w:val="0"/>
          <w:numId w:val="1001"/>
        </w:numPr>
      </w:pPr>
      <w:r>
        <w:t xml:space="preserve">Close out with the inherit challenge that we cannot observe paleo feeding interactions (barring rare instances, and often only for a limited subset of species) and so we are often using expert knowledge/mechanistic assumptions to infer links between species</w:t>
      </w:r>
      <w:r>
        <w:t xml:space="preserve"> </w:t>
      </w:r>
      <w:r>
        <w:t xml:space="preserve">[*e.g.,* 2,3]</w:t>
      </w:r>
      <w:r>
        <w:t xml:space="preserve">.</w:t>
      </w:r>
    </w:p>
    <w:bookmarkEnd w:id="20"/>
    <w:bookmarkStart w:id="21" w:name="how-do-we-build-paleo-food-webs"/>
    <w:p>
      <w:pPr>
        <w:pStyle w:val="Heading1"/>
      </w:pPr>
      <w:r>
        <w:t xml:space="preserve">2. How do we build paleo food webs?</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t xml:space="preserve">[3,*e.g.,* 4,5]</w:t>
      </w:r>
      <w:r>
        <w:t xml:space="preserve"> </w:t>
      </w:r>
      <w:r>
        <w:t xml:space="preserve">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bookmarkEnd w:id="22"/>
    <w:bookmarkStart w:id="23" w:name="Xba1bb3b9e421522f7e31de0c956016ae857a8bf"/>
    <w:p>
      <w:pPr>
        <w:pStyle w:val="Heading1"/>
      </w:pPr>
      <w:r>
        <w:t xml:space="preserve">4. Challenges specific to building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[6]</w:t>
      </w:r>
      <w:r>
        <w:t xml:space="preserve">,</w:t>
      </w:r>
      <w:r>
        <w:t xml:space="preserve"> </w:t>
      </w:r>
      <w:r>
        <w:t xml:space="preserve">[7]</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[5]</w:t>
      </w:r>
      <w:r>
        <w:t xml:space="preserve">). Something about the intersectionality of the data we don’t have for paleo communities and the data we need for some of the different modelling approaches.</w:t>
      </w:r>
    </w:p>
    <w:bookmarkEnd w:id="23"/>
    <w:bookmarkStart w:id="34" w:name="approaches-to-food-web-prediction"/>
    <w:p>
      <w:pPr>
        <w:pStyle w:val="Heading1"/>
      </w:pPr>
      <w:r>
        <w:t xml:space="preserve">5. Approaches to food web prediction</w:t>
      </w:r>
    </w:p>
    <w:p>
      <w:pPr>
        <w:pStyle w:val="FirstParagraph"/>
      </w:pPr>
      <w:r>
        <w:t xml:space="preserve">Here we should take the time to go in and just articulate that there are nuance and differences in terms of predicting interactions vs predicting networks. Once it is finally on a preprint server we can obviously link to the T4T stuff…</w:t>
      </w:r>
    </w:p>
    <w:p>
      <w:pPr>
        <w:pStyle w:val="BodyText"/>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4" w:name="tbl-models"/>
          <w:p>
            <w:pPr>
              <w:jc w:val="center"/>
            </w:pPr>
            <w:pPr>
              <w:jc w:val="lef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[8]</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[9]</w:t>
                  </w:r>
                </w:p>
              </w:tc>
            </w:tr>
            <w:tr>
              <w:tc>
                <w:tcPr/>
                <w:p>
                  <w:pPr>
                    <w:pStyle w:val="Compact"/>
                    <w:jc w:val="center"/>
                  </w:pPr>
                  <w:r>
                    <w:t xml:space="preserve">allometric diet breadth model (ADBM)</w:t>
                  </w:r>
                </w:p>
              </w:tc>
              <w:tc>
                <w:tcPr/>
                <w:p>
                  <w:pPr>
                    <w:pStyle w:val="Compact"/>
                    <w:jc w:val="center"/>
                  </w:pPr>
                  <w:r>
                    <w:t xml:space="preserve">Interactions are determined by energetic costs (foraging ecology)</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[10]</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 with links being constrained by a Ricker function</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[11]</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[4]</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 :ogit of the linking probability used to further constrain links to an</w:t>
                  </w:r>
                  <w:r>
                    <w:t xml:space="preserve"> </w:t>
                  </w:r>
                  <w:r>
                    <w:t xml:space="preserve">‘optimal size range’</w:t>
                  </w:r>
                  <w:r>
                    <w:t xml:space="preserve"> </w:t>
                  </w:r>
                  <w:r>
                    <w:t xml:space="preserve">for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[12]</w:t>
                  </w:r>
                </w:p>
              </w:tc>
            </w:tr>
          </w:tbl>
          <w:bookmarkEnd w:id="24"/>
          <w:p/>
        </w:tc>
      </w:tr>
    </w:tbl>
    <w:bookmarkStart w:id="29" w:name="structural-models"/>
    <w:p>
      <w:pPr>
        <w:pStyle w:val="Heading2"/>
      </w:pPr>
      <w:r>
        <w:t xml:space="preserve">5.1 Structural models</w:t>
      </w:r>
    </w:p>
    <w:bookmarkStart w:id="25" w:name="random-model"/>
    <w:p>
      <w:pPr>
        <w:pStyle w:val="Heading3"/>
      </w:pPr>
      <w:r>
        <w:t xml:space="preserve">5.1.1 Random model</w:t>
      </w:r>
    </w:p>
    <w:p>
      <w:pPr>
        <w:pStyle w:val="FirstParagraph"/>
      </w:pPr>
      <w:r>
        <w:t xml:space="preserve">The Erdős–Rényi random graph model</w:t>
      </w:r>
      <w:r>
        <w:t xml:space="preserve"> </w:t>
      </w:r>
      <w:r>
        <w:t xml:space="preserve">[8]</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 Whereas Erdős–Rényi really is just a case of here is a truly random network with the specified number of links and nodes and anyway one of the Null models is a derivative of Erdős–Rényi if I remember correctly.</w:t>
      </w:r>
    </w:p>
    <w:bookmarkEnd w:id="25"/>
    <w:bookmarkStart w:id="26" w:name="niche-model"/>
    <w:p>
      <w:pPr>
        <w:pStyle w:val="Heading3"/>
      </w:pPr>
      <w:r>
        <w:t xml:space="preserve">5.1.2 Niche model</w:t>
      </w:r>
    </w:p>
    <w:p>
      <w:pPr>
        <w:pStyle w:val="FirstParagraph"/>
      </w:pPr>
      <w:r>
        <w:t xml:space="preserve">The niche model</w:t>
      </w:r>
      <w:r>
        <w:t xml:space="preserve"> </w:t>
      </w:r>
      <w:r>
        <w:t xml:space="preserve">[13]</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[9]</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6"/>
    <w:bookmarkStart w:id="27" w:name="allometric-diet-breadth-model"/>
    <w:p>
      <w:pPr>
        <w:pStyle w:val="Heading3"/>
      </w:pPr>
      <w:r>
        <w:t xml:space="preserve">5.1.3 Allometric diet breadth model</w:t>
      </w:r>
    </w:p>
    <w:p>
      <w:pPr>
        <w:pStyle w:val="FirstParagraph"/>
      </w:pPr>
      <w:r>
        <w:t xml:space="preserve">The Allometric diet breadth model (ADBM;</w:t>
      </w:r>
      <w:r>
        <w:t xml:space="preserve"> </w:t>
      </w:r>
      <w:r>
        <w:t xml:space="preserve">[10]</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[10]</w:t>
      </w:r>
      <w:r>
        <w:t xml:space="preserve"> </w:t>
      </w:r>
      <w:r>
        <w:t xml:space="preserve">for more details as to how these different terms are parametrised.</w:t>
      </w:r>
    </w:p>
    <w:bookmarkEnd w:id="27"/>
    <w:bookmarkStart w:id="28" w:name="l-matrix"/>
    <w:p>
      <w:pPr>
        <w:pStyle w:val="Heading3"/>
      </w:pPr>
      <w:r>
        <w:t xml:space="preserve">5.1.4 L matrix</w:t>
      </w:r>
    </w:p>
    <w:p>
      <w:pPr>
        <w:pStyle w:val="FirstParagraph"/>
      </w:pPr>
      <w:r>
        <w:t xml:space="preserve">For now we can link to the ATNr package</w:t>
      </w:r>
      <w:r>
        <w:t xml:space="preserve"> </w:t>
      </w:r>
      <w:r>
        <w:t xml:space="preserve">[14]</w:t>
      </w:r>
      <w:r>
        <w:t xml:space="preserve"> </w:t>
      </w:r>
      <w:r>
        <w:t xml:space="preserve">until I can find a more suitable manuscript that breaks down this construction method.</w:t>
      </w:r>
      <w:r>
        <w:t xml:space="preserve"> </w:t>
      </w:r>
      <w:r>
        <w:t xml:space="preserve">[11]</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28"/>
    <w:bookmarkEnd w:id="29"/>
    <w:bookmarkStart w:id="33" w:name="interaction-predictions"/>
    <w:p>
      <w:pPr>
        <w:pStyle w:val="Heading2"/>
      </w:pPr>
      <w:r>
        <w:t xml:space="preserve">5.2 Interaction predictions</w:t>
      </w:r>
    </w:p>
    <w:bookmarkStart w:id="30" w:name="paleo-food-web-inference-model"/>
    <w:p>
      <w:pPr>
        <w:pStyle w:val="Heading3"/>
      </w:pPr>
      <w:r>
        <w:t xml:space="preserve">5.2.1 Paleo food web inference model</w:t>
      </w:r>
    </w:p>
    <w:p>
      <w:pPr>
        <w:pStyle w:val="FirstParagraph"/>
      </w:pPr>
      <w:r>
        <w:t xml:space="preserve">The Paleo food web inference model (PFIM;</w:t>
      </w:r>
      <w:r>
        <w:t xml:space="preserve"> </w:t>
      </w:r>
      <w:r>
        <w:t xml:space="preserve">[4]</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[4]</w:t>
      </w:r>
      <w:r>
        <w:t xml:space="preserve"> </w:t>
      </w:r>
      <w:r>
        <w:t xml:space="preserve">also includes a</w:t>
      </w:r>
      <w:r>
        <w:t xml:space="preserve"> </w:t>
      </w:r>
      <w:r>
        <w:t xml:space="preserve">‘downsampling’</w:t>
      </w:r>
      <w:r>
        <w:t xml:space="preserve"> </w:t>
      </w:r>
      <w:r>
        <w:t xml:space="preserve">step developed by</w:t>
      </w:r>
      <w:r>
        <w:t xml:space="preserve"> </w:t>
      </w:r>
      <w:r>
        <w:t xml:space="preserve">[3]</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[15]</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30"/>
    <w:bookmarkStart w:id="32" w:name="body-size-ratio-model"/>
    <w:p>
      <w:pPr>
        <w:pStyle w:val="Heading3"/>
      </w:pPr>
      <w:r>
        <w:t xml:space="preserve">5.2.2 Body size ratio model</w:t>
      </w:r>
    </w:p>
    <w:p>
      <w:pPr>
        <w:pStyle w:val="FirstParagraph"/>
      </w:pPr>
      <w:r>
        <w:t xml:space="preserve">The body size ratio model</w:t>
      </w:r>
      <w:r>
        <w:t xml:space="preserve"> </w:t>
      </w:r>
      <w:r>
        <w:t xml:space="preserve">[12]</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1"/>
    </w:p>
    <w:p>
      <w:pPr>
        <w:pStyle w:val="FirstParagraph"/>
      </w:pPr>
      <w:r>
        <w:t xml:space="preserve">The original latent-trait model developed by</w:t>
      </w:r>
      <w:r>
        <w:t xml:space="preserve"> </w:t>
      </w:r>
      <w:r>
        <w:t xml:space="preserve">[12]</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[16]</w:t>
      </w:r>
      <w:r>
        <w:t xml:space="preserve"> </w:t>
      </w:r>
      <w:r>
        <w:t xml:space="preserve">. Based on</w:t>
      </w:r>
      <w:r>
        <w:t xml:space="preserve"> </w:t>
      </w:r>
      <w:r>
        <w:t xml:space="preserve">[12]</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[16]</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End w:id="33"/>
    <w:bookmarkEnd w:id="34"/>
    <w:bookmarkStart w:id="35" w:name="aims"/>
    <w:p>
      <w:pPr>
        <w:pStyle w:val="Heading1"/>
      </w:pPr>
      <w:r>
        <w:t xml:space="preserve">6. Aims…</w:t>
      </w:r>
    </w:p>
    <w:p>
      <w:pPr>
        <w:pStyle w:val="FirstParagraph"/>
      </w:pPr>
      <w:r>
        <w:t xml:space="preserve">Here we do this because it lets us unpack the nuances of what the different network representation. Firstly we want ot identify the differences between models that predict interactions (and thus metawebs), and models that predict network structure. Specifically we want to look at 1) the structural difference between all models (</w:t>
      </w:r>
      <w:r>
        <w:rPr>
          <w:i/>
          <w:iCs/>
        </w:rPr>
        <w:t xml:space="preserve">i.e.,</w:t>
      </w:r>
      <w:r>
        <w:t xml:space="preserve"> </w:t>
      </w:r>
      <w:r>
        <w:t xml:space="preserve">do we see a difference in the distribution of links between networks that have the same number of nodes?) and 2) the identity of pairwise links between species pairs (</w:t>
      </w:r>
      <w:r>
        <w:rPr>
          <w:i/>
          <w:iCs/>
        </w:rPr>
        <w:t xml:space="preserve">i.e.,</w:t>
      </w:r>
      <w:r>
        <w:t xml:space="preserve"> </w:t>
      </w:r>
      <w:r>
        <w:t xml:space="preserve">do different models differ in which links are present (or absent) between species pairs?) Additionally we want to establish if using networks that are constructed using different models will change the the downstream inferences that are made by repeating the work done by</w:t>
      </w:r>
      <w:r>
        <w:t xml:space="preserve"> </w:t>
      </w:r>
      <w:r>
        <w:t xml:space="preserve">[1]</w:t>
      </w:r>
      <w:r>
        <w:t xml:space="preserve">.</w:t>
      </w:r>
    </w:p>
    <w:bookmarkEnd w:id="35"/>
    <w:bookmarkStart w:id="49" w:name="methods"/>
    <w:p>
      <w:pPr>
        <w:pStyle w:val="Heading1"/>
      </w:pPr>
      <w:r>
        <w:t xml:space="preserve">7. Methods</w:t>
      </w:r>
    </w:p>
    <w:bookmarkStart w:id="38" w:name="dataset-overview"/>
    <w:p>
      <w:pPr>
        <w:pStyle w:val="Heading2"/>
      </w:pPr>
      <w:r>
        <w:t xml:space="preserve">7.1 Dataset Overview</w:t>
      </w:r>
    </w:p>
    <w:bookmarkStart w:id="36" w:name="species-occurrence"/>
    <w:p>
      <w:pPr>
        <w:pStyle w:val="Heading3"/>
      </w:pPr>
      <w:r>
        <w:t xml:space="preserve">7.1.1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36"/>
    <w:bookmarkStart w:id="37" w:name="defining-modes-of-life-traits"/>
    <w:p>
      <w:pPr>
        <w:pStyle w:val="Heading3"/>
      </w:pPr>
      <w:r>
        <w:t xml:space="preserve">7.1.2 Defining modes of life (traits)</w:t>
      </w:r>
    </w:p>
    <w:p>
      <w:pPr>
        <w:pStyle w:val="FirstParagraph"/>
      </w:pPr>
      <w:r>
        <w:t xml:space="preserve">We used the modes of life (traits) as identified in</w:t>
      </w:r>
      <w:r>
        <w:t xml:space="preserve"> </w:t>
      </w:r>
      <w:r>
        <w:t xml:space="preserve">[1]</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[17]</w:t>
      </w:r>
      <w:r>
        <w:t xml:space="preserve">.It would be very sexy if we could get a figure that looks something like this together…</w:t>
      </w:r>
    </w:p>
    <w:bookmarkEnd w:id="37"/>
    <w:bookmarkEnd w:id="38"/>
    <w:bookmarkStart w:id="43" w:name="assessing-structural-differences"/>
    <w:p>
      <w:pPr>
        <w:pStyle w:val="Heading2"/>
      </w:pPr>
      <w:r>
        <w:t xml:space="preserve">7.2 Assessing structural differences</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[18]</w:t>
      </w:r>
      <w:r>
        <w:t xml:space="preserve"> </w:t>
      </w:r>
      <w:r>
        <w:t xml:space="preserve">we do still lack a clear set of guidelines for assessing how well models recover network structure</w:t>
      </w:r>
      <w:r>
        <w:t xml:space="preserve"> </w:t>
      </w:r>
      <w:r>
        <w:t xml:space="preserve">[19]</w:t>
      </w:r>
      <w:r>
        <w:t xml:space="preserve"> </w:t>
      </w:r>
      <w:r>
        <w:t xml:space="preserve">and it is beneficial to use a small subset of metrics that can clearly be tied to broader aspects of network function or capturing a ecological process.</w:t>
      </w:r>
    </w:p>
    <w:tbl>
      <w:tblPr>
        <w:tblStyle w:val="Table"/>
        <w:tblW w:type="pct" w:w="5000"/>
        <w:tblLayout w:type="fixed"/>
        <w:tblLook w:firstRow="0" w:lastRow="0" w:firstColumn="0" w:lastColumn="0" w:noHBand="0" w:noVBand="0" w:val="0000"/>
      </w:tblPr>
      <w:tblGrid>
        <w:gridCol w:w="7920"/>
      </w:tblGrid>
      <w:tr>
        <w:tc>
          <w:tcPr/>
          <w:bookmarkStart w:id="39" w:name="tbl-properties"/>
          <w:p>
            <w:pPr>
              <w:jc w:val="center"/>
            </w:pPr>
            <w:pPr>
              <w:jc w:val="lef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926"/>
              <w:gridCol w:w="2140"/>
              <w:gridCol w:w="1926"/>
              <w:gridCol w:w="1926"/>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[13]</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[20]</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[13]</w:t>
                  </w: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[18]</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[21]</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[22]</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[23]</w:t>
                  </w:r>
                  <w:r>
                    <w:t xml:space="preserve">;</w:t>
                  </w:r>
                  <w:r>
                    <w:t xml:space="preserve"> </w:t>
                  </w:r>
                  <w:r>
                    <w:t xml:space="preserve">[24]</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[23]</w:t>
                  </w:r>
                  <w:r>
                    <w:t xml:space="preserve">;</w:t>
                  </w:r>
                  <w:r>
                    <w:t xml:space="preserve"> </w:t>
                  </w:r>
                  <w:r>
                    <w:t xml:space="preserve">[24]</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[23]</w:t>
                  </w:r>
                  <w:r>
                    <w:t xml:space="preserve">;</w:t>
                  </w:r>
                  <w:r>
                    <w:t xml:space="preserve"> </w:t>
                  </w:r>
                  <w:r>
                    <w:t xml:space="preserve">[24]</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[23]</w:t>
                  </w:r>
                  <w:r>
                    <w:t xml:space="preserve">;</w:t>
                  </w:r>
                  <w:r>
                    <w:t xml:space="preserve"> </w:t>
                  </w:r>
                  <w:r>
                    <w:t xml:space="preserve">[24]</w:t>
                  </w:r>
                </w:p>
              </w:tc>
            </w:tr>
          </w:tbl>
          <w:bookmarkEnd w:id="39"/>
          <w:p/>
        </w:tc>
      </w:tr>
    </w:tbl>
    <w:bookmarkStart w:id="40" w:name="macro-network-properties"/>
    <w:p>
      <w:pPr>
        <w:pStyle w:val="Heading3"/>
      </w:pPr>
      <w:r>
        <w:t xml:space="preserve">7.2.1 Macro network properties</w:t>
      </w:r>
    </w:p>
    <w:p>
      <w:pPr>
        <w:pStyle w:val="FirstParagraph"/>
      </w:pPr>
      <w:r>
        <w:rPr>
          <w:b/>
          <w:bCs/>
        </w:rPr>
        <w:t xml:space="preserve">Connectance</w:t>
      </w:r>
      <w:r>
        <w:t xml:space="preserve"> </w:t>
      </w:r>
      <w:r>
        <w:t xml:space="preserve">[25]</w:t>
      </w:r>
      <w:r>
        <w:t xml:space="preserve"> </w:t>
      </w:r>
      <w:r>
        <w:t xml:space="preserve">has been shown to be the feature of networks that underpin a series of other properties and function</w:t>
      </w:r>
      <w:r>
        <w:t xml:space="preserve"> </w:t>
      </w:r>
      <w:r>
        <w:t xml:space="preserve">[26]</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[22]</w:t>
      </w:r>
      <w:r>
        <w:t xml:space="preserve">), we could also look at the rank/rank deficiency of networks which (theoretically) represents the number fo unique interaction strategies in the network</w:t>
      </w:r>
      <w:r>
        <w:t xml:space="preserve"> </w:t>
      </w:r>
      <w:r>
        <w:t xml:space="preserve">[22]</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40"/>
    <w:bookmarkStart w:id="41" w:name="meso-network-properties"/>
    <w:p>
      <w:pPr>
        <w:pStyle w:val="Heading3"/>
      </w:pPr>
      <w:r>
        <w:t xml:space="preserve">7.2.2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[23,24]</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41"/>
    <w:bookmarkStart w:id="42" w:name="micro-network-properties"/>
    <w:p>
      <w:pPr>
        <w:pStyle w:val="Heading3"/>
      </w:pPr>
      <w:r>
        <w:t xml:space="preserve">7.2.3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[27]</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9,10]</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[28]</w:t>
      </w:r>
    </w:p>
    <w:bookmarkEnd w:id="42"/>
    <w:bookmarkEnd w:id="43"/>
    <w:bookmarkStart w:id="44" w:name="X39dc4294b971338d243b05ce6908c1a68f53772"/>
    <w:p>
      <w:pPr>
        <w:pStyle w:val="Heading2"/>
      </w:pPr>
      <w:r>
        <w:t xml:space="preserve">7.3 Assessing pairwise interaction differences</w:t>
      </w:r>
    </w:p>
    <w:p>
      <w:pPr>
        <w:pStyle w:val="FirstParagraph"/>
      </w:pPr>
      <w:r>
        <w:rPr>
          <w:b/>
          <w:bCs/>
        </w:rPr>
        <w:t xml:space="preserve">Interaction turnover</w:t>
      </w:r>
      <w:r>
        <w:t xml:space="preserve"> </w:t>
      </w:r>
      <w:r>
        <w:t xml:space="preserve">[28]</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44"/>
    <w:bookmarkStart w:id="46" w:name="assessing-network-inference"/>
    <w:p>
      <w:pPr>
        <w:pStyle w:val="Heading2"/>
      </w:pPr>
      <w:r>
        <w:t xml:space="preserve">7.4 Assessing network inference</w:t>
      </w:r>
    </w:p>
    <w:p>
      <w:pPr>
        <w:pStyle w:val="FirstParagraph"/>
      </w:pPr>
      <w:r>
        <w:t xml:space="preserve">Here we will look at extinctions of the different paleo TSS</w:t>
      </w:r>
      <w:r>
        <w:t xml:space="preserve"> </w:t>
      </w:r>
      <w:r>
        <w:t xml:space="preserve">[29]</w:t>
      </w:r>
    </w:p>
    <w:bookmarkStart w:id="45" w:name="robustness"/>
    <w:p>
      <w:pPr>
        <w:pStyle w:val="Heading3"/>
      </w:pPr>
      <w:r>
        <w:t xml:space="preserve">7.4.1 Robustness</w:t>
      </w:r>
    </w:p>
    <w:p>
      <w:pPr>
        <w:pStyle w:val="FirstParagraph"/>
      </w:pPr>
      <m:oMath>
        <m:sSub>
          <m:e>
            <m:r>
              <m:t>R</m:t>
            </m:r>
          </m:e>
          <m:sub>
            <m:r>
              <m:t>50</m:t>
            </m:r>
          </m:sub>
        </m:sSub>
      </m:oMath>
      <w:r>
        <w:t xml:space="preserve"> </w:t>
      </w:r>
      <w:r>
        <w:t xml:space="preserve">see</w:t>
      </w:r>
      <w:r>
        <w:t xml:space="preserve"> </w:t>
      </w:r>
      <w:r>
        <w:t xml:space="preserve">[30]</w:t>
      </w:r>
    </w:p>
    <w:bookmarkEnd w:id="45"/>
    <w:bookmarkEnd w:id="46"/>
    <w:bookmarkStart w:id="48" w:name="constructing-networks"/>
    <w:p>
      <w:pPr>
        <w:pStyle w:val="Heading2"/>
      </w:pPr>
      <w:r>
        <w:t xml:space="preserve">7.5 Constructing networks</w:t>
      </w:r>
    </w:p>
    <w:p>
      <w:pPr>
        <w:pStyle w:val="FirstParagraph"/>
      </w:pPr>
      <w:r>
        <w:t xml:space="preserve">For each paleo community (time bin) we constructed</w:t>
      </w:r>
      <w:r>
        <w:t xml:space="preserve"> </w:t>
      </w:r>
      <w:r>
        <w:rPr>
          <w:b/>
          <w:bCs/>
        </w:rPr>
        <w:t xml:space="preserve">100</w:t>
      </w:r>
      <w:r>
        <w:t xml:space="preserve"> </w:t>
      </w:r>
      <w:r>
        <w:t xml:space="preserve">networks for each model (so 6 * 100) networks. These networks were</w:t>
      </w:r>
      <w:r>
        <w:t xml:space="preserve"> </w:t>
      </w:r>
      <w:r>
        <w:t xml:space="preserve">‘simplified’</w:t>
      </w:r>
      <w:r>
        <w:t xml:space="preserve"> </w:t>
      </w:r>
      <w:r>
        <w:t xml:space="preserve">to removed any disconnected species. In total 2400 networks were constructed. When a quantitative measure of body size is needed (ADBM, bodymassratio, lmatrix) we drew a body mass for each species from a uniform distribution. The ranges were defined by the different size classes as discussed in insert cross ref to correct subsection here</w:t>
      </w:r>
      <w:r>
        <w:t xml:space="preserve"> </w:t>
      </w:r>
      <w:r>
        <w:rPr>
          <w:i/>
          <w:iCs/>
        </w:rPr>
        <w:t xml:space="preserve">e.g.,</w:t>
      </w:r>
      <w:r>
        <w:t xml:space="preserve"> </w:t>
      </w:r>
      <w:r>
        <w:t xml:space="preserve">a species classed as</w:t>
      </w:r>
      <w:r>
        <w:t xml:space="preserve"> </w:t>
      </w:r>
      <w:r>
        <w:t xml:space="preserve">‘very large’</w:t>
      </w:r>
      <w:r>
        <w:t xml:space="preserve"> </w:t>
      </w:r>
      <w:r>
        <w:t xml:space="preserve">would have a body mass drawn from</w:t>
      </w:r>
      <w:r>
        <w:t xml:space="preserve"> </w:t>
      </w:r>
      <m:oMath>
        <m:r>
          <m:t>U</m:t>
        </m:r>
        <m:d>
          <m:dPr>
            <m:begChr m:val="("/>
            <m:sepChr m:val=""/>
            <m:endChr m:val=")"/>
            <m:grow/>
          </m:dPr>
          <m:e>
            <m:r>
              <m:t>300</m:t>
            </m:r>
            <m:r>
              <m:rPr>
                <m:sty m:val="p"/>
              </m:rPr>
              <m:t>,</m:t>
            </m:r>
            <m:r>
              <m:t>500</m:t>
            </m:r>
          </m:e>
        </m:d>
      </m:oMath>
      <w:r>
        <w:t xml:space="preserve">. This was repeated for each run in order to add variation to the networks constructed, however the same body sizes were kept consistent for the relevant models (adbm, bodymassratio, l-matrix)</w:t>
      </w:r>
      <w:r>
        <w:t xml:space="preserve"> </w:t>
      </w:r>
      <w:r>
        <w:rPr>
          <w:i/>
          <w:iCs/>
        </w:rPr>
        <w:t xml:space="preserve">i.e.,</w:t>
      </w:r>
      <w:r>
        <w:t xml:space="preserve"> </w:t>
      </w:r>
      <w:r>
        <w:t xml:space="preserve">an ADBM and bodymassratio network from the same rep number would have used the same bodysizes. The PFIM networks were downsampled (see relevant section). For both the random and niche model the desired connectance was randomly selected between the range 0.07 - 0.15 for each repetition but kep consistent for both models. For each network we calculated the properties listed in</w:t>
      </w:r>
      <w:r>
        <w:t xml:space="preserve"> </w:t>
      </w:r>
      <w:hyperlink w:anchor="tbl-properties">
        <w:r>
          <w:rPr>
            <w:rStyle w:val="Hyperlink"/>
          </w:rPr>
          <w:t xml:space="preserve">Table 2</w:t>
        </w:r>
      </w:hyperlink>
    </w:p>
    <w:bookmarkStart w:id="47" w:name="simulating-extinctions"/>
    <w:p>
      <w:pPr>
        <w:pStyle w:val="Heading3"/>
      </w:pPr>
      <w:r>
        <w:t xml:space="preserve">7.5.1 Simulating Extinctions</w:t>
      </w:r>
    </w:p>
    <w:bookmarkEnd w:id="47"/>
    <w:bookmarkEnd w:id="48"/>
    <w:bookmarkEnd w:id="49"/>
    <w:bookmarkStart w:id="66" w:name="results"/>
    <w:p>
      <w:pPr>
        <w:pStyle w:val="Heading1"/>
      </w:pPr>
      <w:r>
        <w:t xml:space="preserve">8. Results</w:t>
      </w:r>
    </w:p>
    <w:bookmarkStart w:id="60" w:name="comparing-predicted-networks"/>
    <w:p>
      <w:pPr>
        <w:pStyle w:val="Heading2"/>
      </w:pPr>
      <w:r>
        <w:t xml:space="preserve">8.1 Comparing predicted networks</w:t>
      </w:r>
    </w:p>
    <w:bookmarkStart w:id="54" w:name="structure"/>
    <w:p>
      <w:pPr>
        <w:pStyle w:val="Heading3"/>
      </w:pPr>
      <w:r>
        <w:t xml:space="preserve">8.1.1 Structure</w:t>
      </w:r>
    </w:p>
    <w:p>
      <w:pPr>
        <w:pStyle w:val="FirstParagraph"/>
      </w:pPr>
      <w:r>
        <w:t xml:space="preserve">Here we used a Multivariate ANOVA or Multivariate Analysis Of Variance (MANOVA) as it is able to capture model differences based on the combined information of the multiple structural network measures. Model defined as</w:t>
      </w:r>
      <w:r>
        <w:t xml:space="preserve"> </w:t>
      </w:r>
      <w:r>
        <w:rPr>
          <w:rStyle w:val="VerbatimChar"/>
        </w:rPr>
        <w:t xml:space="preserve">network structure values ~ model + time period</w:t>
      </w:r>
      <w:r>
        <w:t xml:space="preserve"> </w:t>
      </w:r>
      <w:r>
        <w:t xml:space="preserve">and Linear Discriminant Analysis (LDA) to determine if different models produced networks with differing structure.</w:t>
      </w:r>
    </w:p>
    <w:tbl>
      <w:tblPr>
        <w:tblStyle w:val="Table"/>
        <w:tblW w:type="pct" w:w="5000"/>
        <w:tblLayout w:type="fixed"/>
        <w:tblLook w:firstRow="0" w:lastRow="0" w:firstColumn="0" w:lastColumn="0" w:noHBand="0" w:noVBand="0" w:val="0000"/>
      </w:tblPr>
      <w:tblGrid>
        <w:gridCol w:w="7920"/>
      </w:tblGrid>
      <w:tr>
        <w:tc>
          <w:tcPr/>
          <w:bookmarkStart w:id="53" w:name="fig-summary"/>
          <w:p>
            <w:pPr>
              <w:pStyle w:val="Compact"/>
              <w:jc w:val="center"/>
            </w:pPr>
            <w:r>
              <w:drawing>
                <wp:inline>
                  <wp:extent cx="5334000" cy="7467600"/>
                  <wp:effectExtent b="0" l="0" r="0" t="0"/>
                  <wp:docPr descr="" title="" id="51" name="Picture"/>
                  <a:graphic>
                    <a:graphicData uri="http://schemas.openxmlformats.org/drawingml/2006/picture">
                      <pic:pic>
                        <pic:nvPicPr>
                          <pic:cNvPr descr="figures/summary.png" id="52" name="Picture"/>
                          <pic:cNvPicPr>
                            <a:picLocks noChangeArrowheads="1" noChangeAspect="1"/>
                          </pic:cNvPicPr>
                        </pic:nvPicPr>
                        <pic:blipFill>
                          <a:blip r:embed="rId50"/>
                          <a:stretch>
                            <a:fillRect/>
                          </a:stretch>
                        </pic:blipFill>
                        <pic:spPr bwMode="auto">
                          <a:xfrm>
                            <a:off x="0" y="0"/>
                            <a:ext cx="5334000" cy="7467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 stuff…</w:t>
            </w:r>
          </w:p>
          <w:bookmarkEnd w:id="53"/>
        </w:tc>
      </w:tr>
    </w:tbl>
    <w:bookmarkEnd w:id="54"/>
    <w:bookmarkStart w:id="59" w:name="interactionspecies-turnover"/>
    <w:p>
      <w:pPr>
        <w:pStyle w:val="Heading3"/>
      </w:pPr>
      <w:r>
        <w:t xml:space="preserve">8.1.2 Interaction/species turnover</w:t>
      </w:r>
    </w:p>
    <w:tbl>
      <w:tblPr>
        <w:tblStyle w:val="Table"/>
        <w:tblW w:type="pct" w:w="5000"/>
        <w:tblLayout w:type="fixed"/>
        <w:tblLook w:firstRow="0" w:lastRow="0" w:firstColumn="0" w:lastColumn="0" w:noHBand="0" w:noVBand="0" w:val="0000"/>
      </w:tblPr>
      <w:tblGrid>
        <w:gridCol w:w="7920"/>
      </w:tblGrid>
      <w:tr>
        <w:tc>
          <w:tcPr/>
          <w:bookmarkStart w:id="58" w:name="fig-beta_div"/>
          <w:p>
            <w:pPr>
              <w:pStyle w:val="Compact"/>
              <w:jc w:val="center"/>
            </w:pPr>
            <w:r>
              <w:drawing>
                <wp:inline>
                  <wp:extent cx="5334000" cy="4267200"/>
                  <wp:effectExtent b="0" l="0" r="0" t="0"/>
                  <wp:docPr descr="" title="" id="56" name="Picture"/>
                  <a:graphic>
                    <a:graphicData uri="http://schemas.openxmlformats.org/drawingml/2006/picture">
                      <pic:pic>
                        <pic:nvPicPr>
                          <pic:cNvPr descr="figures/beta_div.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stuff… % interaction shared is calculated as number shared interactions / ((number interactions left - shared interactions) + (number interactions right - shared interactions) + shared interactions). Additionally niche and random models are excluded as it is illogical since both of these models are fundamentally species agnostic</w:t>
            </w:r>
          </w:p>
          <w:bookmarkEnd w:id="58"/>
        </w:tc>
      </w:tr>
    </w:tbl>
    <w:bookmarkEnd w:id="59"/>
    <w:bookmarkEnd w:id="60"/>
    <w:bookmarkStart w:id="65" w:name="comparing-inference"/>
    <w:p>
      <w:pPr>
        <w:pStyle w:val="Heading2"/>
      </w:pPr>
      <w:r>
        <w:t xml:space="preserve">8.2 Comparing inference</w:t>
      </w:r>
    </w:p>
    <w:tbl>
      <w:tblPr>
        <w:tblStyle w:val="Table"/>
        <w:tblW w:type="pct" w:w="5000"/>
        <w:tblLayout w:type="fixed"/>
        <w:tblLook w:firstRow="0" w:lastRow="0" w:firstColumn="0" w:lastColumn="0" w:noHBand="0" w:noVBand="0" w:val="0000"/>
      </w:tblPr>
      <w:tblGrid>
        <w:gridCol w:w="7920"/>
      </w:tblGrid>
      <w:tr>
        <w:tc>
          <w:tcPr/>
          <w:bookmarkStart w:id="64" w:name="fig-dunhill"/>
          <w:p>
            <w:pPr>
              <w:pStyle w:val="Compact"/>
              <w:jc w:val="center"/>
            </w:pPr>
            <w:r>
              <w:drawing>
                <wp:inline>
                  <wp:extent cx="5334000" cy="5715000"/>
                  <wp:effectExtent b="0" l="0" r="0" t="0"/>
                  <wp:docPr descr="" title="" id="62" name="Picture"/>
                  <a:graphic>
                    <a:graphicData uri="http://schemas.openxmlformats.org/drawingml/2006/picture">
                      <pic:pic>
                        <pic:nvPicPr>
                          <pic:cNvPr descr="figures/dunhill_comp.png" id="63" name="Picture"/>
                          <pic:cNvPicPr>
                            <a:picLocks noChangeArrowheads="1" noChangeAspect="1"/>
                          </pic:cNvPicPr>
                        </pic:nvPicPr>
                        <pic:blipFill>
                          <a:blip r:embed="rId61"/>
                          <a:stretch>
                            <a:fillRect/>
                          </a:stretch>
                        </pic:blipFill>
                        <pic:spPr bwMode="auto">
                          <a:xfrm>
                            <a:off x="0" y="0"/>
                            <a:ext cx="5334000" cy="5715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3: stuff… Recreation of the figure from Dunhill 2024. Note not 100% sold on the TSS and absolute mean calculations…</w:t>
            </w:r>
          </w:p>
          <w:bookmarkEnd w:id="64"/>
        </w:tc>
      </w:tr>
    </w:tbl>
    <w:bookmarkEnd w:id="65"/>
    <w:bookmarkEnd w:id="66"/>
    <w:bookmarkStart w:id="127" w:name="references"/>
    <w:p>
      <w:pPr>
        <w:pStyle w:val="Heading1"/>
      </w:pPr>
      <w:r>
        <w:t xml:space="preserve">References</w:t>
      </w:r>
    </w:p>
    <w:bookmarkStart w:id="126" w:name="refs"/>
    <w:bookmarkStart w:id="68"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67">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68"/>
    <w:bookmarkStart w:id="70" w:name="ref-dunne2014"/>
    <w:p>
      <w:pPr>
        <w:pStyle w:val="Bibliography"/>
      </w:pPr>
      <w:r>
        <w:t xml:space="preserve">2.</w:t>
      </w:r>
      <w:r>
        <w:t xml:space="preserve"> </w:t>
      </w:r>
      <w:r>
        <w:t xml:space="preserve">	</w:t>
      </w:r>
      <w:r>
        <w:t xml:space="preserve">Dunne, J.A.</w:t>
      </w:r>
      <w:r>
        <w:t xml:space="preserve"> </w:t>
      </w:r>
      <w:r>
        <w:rPr>
          <w:i/>
          <w:iCs/>
        </w:rPr>
        <w:t xml:space="preserve">et al.</w:t>
      </w:r>
      <w:r>
        <w:t xml:space="preserve"> </w:t>
      </w:r>
      <w:r>
        <w:t xml:space="preserve">(2014)</w:t>
      </w:r>
      <w:r>
        <w:t xml:space="preserve"> </w:t>
      </w:r>
      <w:hyperlink r:id="rId69">
        <w:r>
          <w:rPr>
            <w:rStyle w:val="Hyperlink"/>
          </w:rPr>
          <w:t xml:space="preserve">Highly resolved early eocene food webs show development of modern trophic structure after the end-cretaceous extinction</w:t>
        </w:r>
      </w:hyperlink>
      <w:r>
        <w:t xml:space="preserve">.</w:t>
      </w:r>
      <w:r>
        <w:t xml:space="preserve"> </w:t>
      </w:r>
      <w:r>
        <w:rPr>
          <w:i/>
          <w:iCs/>
        </w:rPr>
        <w:t xml:space="preserve">Proceedings of the Royal Society B: Biological Sciences</w:t>
      </w:r>
      <w:r>
        <w:t xml:space="preserve"> </w:t>
      </w:r>
      <w:r>
        <w:t xml:space="preserve">281, 20133280</w:t>
      </w:r>
    </w:p>
    <w:bookmarkEnd w:id="70"/>
    <w:bookmarkStart w:id="72" w:name="ref-roopnarine2006"/>
    <w:p>
      <w:pPr>
        <w:pStyle w:val="Bibliography"/>
      </w:pPr>
      <w:r>
        <w:t xml:space="preserve">3.</w:t>
      </w:r>
      <w:r>
        <w:t xml:space="preserve"> </w:t>
      </w:r>
      <w:r>
        <w:t xml:space="preserve">	</w:t>
      </w:r>
      <w:r>
        <w:t xml:space="preserve">Roopnarine, P.D. (2006)</w:t>
      </w:r>
      <w:r>
        <w:t xml:space="preserve"> </w:t>
      </w:r>
      <w:hyperlink r:id="rId71">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72"/>
    <w:bookmarkStart w:id="74" w:name="ref-shaw2024"/>
    <w:p>
      <w:pPr>
        <w:pStyle w:val="Bibliography"/>
      </w:pPr>
      <w:r>
        <w:t xml:space="preserve">4.</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73">
        <w:r>
          <w:rPr>
            <w:rStyle w:val="Hyperlink"/>
          </w:rPr>
          <w:t xml:space="preserve">A framework for reconstructing ancient food webs using functional trait data</w:t>
        </w:r>
      </w:hyperlink>
      <w:r>
        <w:t xml:space="preserve">bioRxiv, 2024.01.30.578036</w:t>
      </w:r>
    </w:p>
    <w:bookmarkEnd w:id="74"/>
    <w:bookmarkStart w:id="76" w:name="ref-fricke2022"/>
    <w:p>
      <w:pPr>
        <w:pStyle w:val="Bibliography"/>
      </w:pPr>
      <w:r>
        <w:t xml:space="preserve">5.</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75">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76"/>
    <w:bookmarkStart w:id="78" w:name="ref-strydom2023"/>
    <w:p>
      <w:pPr>
        <w:pStyle w:val="Bibliography"/>
      </w:pPr>
      <w:r>
        <w:t xml:space="preserve">6.</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77">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78"/>
    <w:bookmarkStart w:id="80" w:name="ref-caron2022"/>
    <w:p>
      <w:pPr>
        <w:pStyle w:val="Bibliography"/>
      </w:pPr>
      <w:r>
        <w:t xml:space="preserve">7.</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79">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80"/>
    <w:bookmarkStart w:id="82" w:name="ref-erdos1959"/>
    <w:p>
      <w:pPr>
        <w:pStyle w:val="Bibliography"/>
      </w:pPr>
      <w:r>
        <w:t xml:space="preserve">8.</w:t>
      </w:r>
      <w:r>
        <w:t xml:space="preserve"> </w:t>
      </w:r>
      <w:r>
        <w:t xml:space="preserve">	</w:t>
      </w:r>
      <w:r>
        <w:t xml:space="preserve">Erdős, P. and Rényi, A. (1959)</w:t>
      </w:r>
      <w:r>
        <w:t xml:space="preserve"> </w:t>
      </w:r>
      <w:hyperlink r:id="rId81">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82"/>
    <w:bookmarkStart w:id="84" w:name="ref-williams2008"/>
    <w:p>
      <w:pPr>
        <w:pStyle w:val="Bibliography"/>
      </w:pPr>
      <w:r>
        <w:t xml:space="preserve">9.</w:t>
      </w:r>
      <w:r>
        <w:t xml:space="preserve"> </w:t>
      </w:r>
      <w:r>
        <w:t xml:space="preserve">	</w:t>
      </w:r>
      <w:r>
        <w:t xml:space="preserve">Williams, R.J. and Martinez, N.D. (2008)</w:t>
      </w:r>
      <w:r>
        <w:t xml:space="preserve"> </w:t>
      </w:r>
      <w:hyperlink r:id="rId83">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84"/>
    <w:bookmarkStart w:id="86" w:name="ref-petchey2008"/>
    <w:p>
      <w:pPr>
        <w:pStyle w:val="Bibliography"/>
      </w:pPr>
      <w:r>
        <w:t xml:space="preserve">10.</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85">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86"/>
    <w:bookmarkStart w:id="88" w:name="ref-schneider2016"/>
    <w:p>
      <w:pPr>
        <w:pStyle w:val="Bibliography"/>
      </w:pPr>
      <w:r>
        <w:t xml:space="preserve">11.</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87">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88"/>
    <w:bookmarkStart w:id="90" w:name="ref-rohr2010"/>
    <w:p>
      <w:pPr>
        <w:pStyle w:val="Bibliography"/>
      </w:pPr>
      <w:r>
        <w:t xml:space="preserve">12.</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89">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90"/>
    <w:bookmarkStart w:id="92" w:name="ref-williams2000"/>
    <w:p>
      <w:pPr>
        <w:pStyle w:val="Bibliography"/>
      </w:pPr>
      <w:r>
        <w:t xml:space="preserve">13.</w:t>
      </w:r>
      <w:r>
        <w:t xml:space="preserve"> </w:t>
      </w:r>
      <w:r>
        <w:t xml:space="preserve">	</w:t>
      </w:r>
      <w:r>
        <w:t xml:space="preserve">Williams, R.J. and Martinez, N.D. (2000)</w:t>
      </w:r>
      <w:r>
        <w:t xml:space="preserve"> </w:t>
      </w:r>
      <w:hyperlink r:id="rId91">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92"/>
    <w:bookmarkStart w:id="94" w:name="ref-gauzens2023"/>
    <w:p>
      <w:pPr>
        <w:pStyle w:val="Bibliography"/>
      </w:pPr>
      <w:r>
        <w:t xml:space="preserve">14.</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93">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94"/>
    <w:bookmarkStart w:id="95" w:name="ref-roopnarine2017"/>
    <w:p>
      <w:pPr>
        <w:pStyle w:val="Bibliography"/>
      </w:pPr>
      <w:r>
        <w:t xml:space="preserve">15.</w:t>
      </w:r>
      <w:r>
        <w:t xml:space="preserve"> </w:t>
      </w:r>
      <w:r>
        <w:t xml:space="preserve">	</w:t>
      </w:r>
      <w:r>
        <w:t xml:space="preserve">Roopnarine, P.D. (2017) Ecological Modelling of Paleocommunity Food Webspp. 201–226, University of Chicago Press</w:t>
      </w:r>
    </w:p>
    <w:bookmarkEnd w:id="95"/>
    <w:bookmarkStart w:id="97" w:name="ref-yeakel2014"/>
    <w:p>
      <w:pPr>
        <w:pStyle w:val="Bibliography"/>
      </w:pPr>
      <w:r>
        <w:t xml:space="preserve">16.</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96">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97"/>
    <w:bookmarkStart w:id="99" w:name="ref-bambach2007"/>
    <w:p>
      <w:pPr>
        <w:pStyle w:val="Bibliography"/>
      </w:pPr>
      <w:r>
        <w:t xml:space="preserve">17.</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98">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99"/>
    <w:bookmarkStart w:id="101" w:name="ref-delmas2018"/>
    <w:p>
      <w:pPr>
        <w:pStyle w:val="Bibliography"/>
      </w:pPr>
      <w:r>
        <w:t xml:space="preserve">18.</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100">
        <w:r>
          <w:rPr>
            <w:rStyle w:val="Hyperlink"/>
          </w:rPr>
          <w:t xml:space="preserve">10.1111/brv.12433</w:t>
        </w:r>
      </w:hyperlink>
    </w:p>
    <w:bookmarkEnd w:id="101"/>
    <w:bookmarkStart w:id="103" w:name="ref-allesina2008"/>
    <w:p>
      <w:pPr>
        <w:pStyle w:val="Bibliography"/>
      </w:pPr>
      <w:r>
        <w:t xml:space="preserve">19.</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102">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103"/>
    <w:bookmarkStart w:id="105" w:name="ref-williams2004"/>
    <w:p>
      <w:pPr>
        <w:pStyle w:val="Bibliography"/>
      </w:pPr>
      <w:r>
        <w:t xml:space="preserve">20.</w:t>
      </w:r>
      <w:r>
        <w:t xml:space="preserve"> </w:t>
      </w:r>
      <w:r>
        <w:t xml:space="preserve">	</w:t>
      </w:r>
      <w:r>
        <w:t xml:space="preserve">Williams, R.J. and Martinez, N.D. (2004)</w:t>
      </w:r>
      <w:r>
        <w:t xml:space="preserve"> </w:t>
      </w:r>
      <w:hyperlink r:id="rId104">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105"/>
    <w:bookmarkStart w:id="107" w:name="ref-staniczenko2013"/>
    <w:p>
      <w:pPr>
        <w:pStyle w:val="Bibliography"/>
      </w:pPr>
      <w:r>
        <w:t xml:space="preserve">21.</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106">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107"/>
    <w:bookmarkStart w:id="109" w:name="ref-strydom2021"/>
    <w:p>
      <w:pPr>
        <w:pStyle w:val="Bibliography"/>
      </w:pPr>
      <w:r>
        <w:t xml:space="preserve">22.</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8">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109"/>
    <w:bookmarkStart w:id="111" w:name="ref-milo2002"/>
    <w:p>
      <w:pPr>
        <w:pStyle w:val="Bibliography"/>
      </w:pPr>
      <w:r>
        <w:t xml:space="preserve">23.</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10">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11"/>
    <w:bookmarkStart w:id="113" w:name="ref-stouffer2007"/>
    <w:p>
      <w:pPr>
        <w:pStyle w:val="Bibliography"/>
      </w:pPr>
      <w:r>
        <w:t xml:space="preserve">24.</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12">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13"/>
    <w:bookmarkStart w:id="115" w:name="ref-martinez1992"/>
    <w:p>
      <w:pPr>
        <w:pStyle w:val="Bibliography"/>
      </w:pPr>
      <w:r>
        <w:t xml:space="preserve">25.</w:t>
      </w:r>
      <w:r>
        <w:t xml:space="preserve"> </w:t>
      </w:r>
      <w:r>
        <w:t xml:space="preserve">	</w:t>
      </w:r>
      <w:r>
        <w:t xml:space="preserve">Martinez, N.D. (1992)</w:t>
      </w:r>
      <w:r>
        <w:t xml:space="preserve"> </w:t>
      </w:r>
      <w:hyperlink r:id="rId114">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15"/>
    <w:bookmarkStart w:id="117" w:name="ref-strydom2021b"/>
    <w:p>
      <w:pPr>
        <w:pStyle w:val="Bibliography"/>
      </w:pPr>
      <w:r>
        <w:t xml:space="preserve">26.</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16">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17"/>
    <w:bookmarkStart w:id="119" w:name="ref-schoener1989"/>
    <w:p>
      <w:pPr>
        <w:pStyle w:val="Bibliography"/>
      </w:pPr>
      <w:r>
        <w:t xml:space="preserve">27.</w:t>
      </w:r>
      <w:r>
        <w:t xml:space="preserve"> </w:t>
      </w:r>
      <w:r>
        <w:t xml:space="preserve">	</w:t>
      </w:r>
      <w:r>
        <w:t xml:space="preserve">Schoener, T.W. (1989)</w:t>
      </w:r>
      <w:r>
        <w:t xml:space="preserve"> </w:t>
      </w:r>
      <w:hyperlink r:id="rId118">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19"/>
    <w:bookmarkStart w:id="121" w:name="ref-poisot2012"/>
    <w:p>
      <w:pPr>
        <w:pStyle w:val="Bibliography"/>
      </w:pPr>
      <w:r>
        <w:t xml:space="preserve">28.</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20">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21"/>
    <w:bookmarkStart w:id="123" w:name="ref-gupta2022"/>
    <w:p>
      <w:pPr>
        <w:pStyle w:val="Bibliography"/>
      </w:pPr>
      <w:r>
        <w:t xml:space="preserve">29.</w:t>
      </w:r>
      <w:r>
        <w:t xml:space="preserve"> </w:t>
      </w:r>
      <w:r>
        <w:t xml:space="preserve">	</w:t>
      </w:r>
      <w:r>
        <w:t xml:space="preserve">Gupta, A.</w:t>
      </w:r>
      <w:r>
        <w:t xml:space="preserve"> </w:t>
      </w:r>
      <w:r>
        <w:rPr>
          <w:i/>
          <w:iCs/>
        </w:rPr>
        <w:t xml:space="preserve">et al.</w:t>
      </w:r>
      <w:r>
        <w:t xml:space="preserve"> </w:t>
      </w:r>
      <w:r>
        <w:t xml:space="preserve">(2022)</w:t>
      </w:r>
      <w:r>
        <w:t xml:space="preserve"> </w:t>
      </w:r>
      <w:hyperlink r:id="rId122">
        <w:r>
          <w:rPr>
            <w:rStyle w:val="Hyperlink"/>
          </w:rPr>
          <w:t xml:space="preserve">Simultaneously estimating food web connectance and structure with uncertainty</w:t>
        </w:r>
      </w:hyperlink>
      <w:r>
        <w:t xml:space="preserve">.</w:t>
      </w:r>
      <w:r>
        <w:t xml:space="preserve"> </w:t>
      </w:r>
      <w:r>
        <w:rPr>
          <w:i/>
          <w:iCs/>
        </w:rPr>
        <w:t xml:space="preserve">Ecology and Evolution</w:t>
      </w:r>
      <w:r>
        <w:t xml:space="preserve"> </w:t>
      </w:r>
      <w:r>
        <w:t xml:space="preserve">12, e8643</w:t>
      </w:r>
    </w:p>
    <w:bookmarkEnd w:id="123"/>
    <w:bookmarkStart w:id="125" w:name="ref-jonsson2015"/>
    <w:p>
      <w:pPr>
        <w:pStyle w:val="Bibliography"/>
      </w:pPr>
      <w:r>
        <w:t xml:space="preserve">30.</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24">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25"/>
    <w:bookmarkEnd w:id="126"/>
    <w:bookmarkEnd w:id="127"/>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50" Target="media/rId50.png" /><Relationship Type="http://schemas.openxmlformats.org/officeDocument/2006/relationships/hyperlink" Id="rId114" Target="http://www.jstor.org/stable/2462337" TargetMode="External" /><Relationship Type="http://schemas.openxmlformats.org/officeDocument/2006/relationships/hyperlink" Id="rId122" Target="https://doi.org/10.1002/ece3.8643" TargetMode="External" /><Relationship Type="http://schemas.openxmlformats.org/officeDocument/2006/relationships/hyperlink" Id="rId91" Target="https://doi.org/10.1038/35004572" TargetMode="External" /><Relationship Type="http://schemas.openxmlformats.org/officeDocument/2006/relationships/hyperlink" Id="rId87" Target="https://doi.org/10.1038/ncomms12718" TargetMode="External" /><Relationship Type="http://schemas.openxmlformats.org/officeDocument/2006/relationships/hyperlink" Id="rId106" Target="https://doi.org/10.1038/ncomms2422" TargetMode="External" /><Relationship Type="http://schemas.openxmlformats.org/officeDocument/2006/relationships/hyperlink" Id="rId67" Target="https://doi.org/10.1038/s41467-024-53000-2" TargetMode="External" /><Relationship Type="http://schemas.openxmlformats.org/officeDocument/2006/relationships/hyperlink" Id="rId85" Target="https://doi.org/10.1073/pnas.0710672105" TargetMode="External" /><Relationship Type="http://schemas.openxmlformats.org/officeDocument/2006/relationships/hyperlink" Id="rId96" Target="https://doi.org/10.1073/pnas.1408471111" TargetMode="External" /><Relationship Type="http://schemas.openxmlformats.org/officeDocument/2006/relationships/hyperlink" Id="rId89" Target="https://doi.org/10.1086/653667" TargetMode="External" /><Relationship Type="http://schemas.openxmlformats.org/officeDocument/2006/relationships/hyperlink" Id="rId112" Target="https://doi.org/10.1098/rspb.2007.0571" TargetMode="External" /><Relationship Type="http://schemas.openxmlformats.org/officeDocument/2006/relationships/hyperlink" Id="rId69" Target="https://doi.org/10.1098/rspb.2013.3280" TargetMode="External" /><Relationship Type="http://schemas.openxmlformats.org/officeDocument/2006/relationships/hyperlink" Id="rId116" Target="https://doi.org/10.1098/rstb.2021.0063" TargetMode="External" /><Relationship Type="http://schemas.openxmlformats.org/officeDocument/2006/relationships/hyperlink" Id="rId73" Target="https://doi.org/10.1101/2024.01.30.578036" TargetMode="External" /><Relationship Type="http://schemas.openxmlformats.org/officeDocument/2006/relationships/hyperlink" Id="rId93" Target="https://doi.org/10.1111/2041-210X.14212" TargetMode="External" /><Relationship Type="http://schemas.openxmlformats.org/officeDocument/2006/relationships/hyperlink" Id="rId77" Target="https://doi.org/10.1111/2041-210X.14228" TargetMode="External" /><Relationship Type="http://schemas.openxmlformats.org/officeDocument/2006/relationships/hyperlink" Id="rId100" Target="https://doi.org/10.1111/brv.12433" TargetMode="External" /><Relationship Type="http://schemas.openxmlformats.org/officeDocument/2006/relationships/hyperlink" Id="rId79" Target="https://doi.org/10.1111/ele.13966" TargetMode="External" /><Relationship Type="http://schemas.openxmlformats.org/officeDocument/2006/relationships/hyperlink" Id="rId83" Target="https://doi.org/10.1111/j.1365-2656.2008.01362.x" TargetMode="External" /><Relationship Type="http://schemas.openxmlformats.org/officeDocument/2006/relationships/hyperlink" Id="rId98" Target="https://doi.org/10.1111/j.1475-4983.2006.00611.x" TargetMode="External" /><Relationship Type="http://schemas.openxmlformats.org/officeDocument/2006/relationships/hyperlink" Id="rId120" Target="https://doi.org/10.1111/j.2041-210x.2011.00174.x" TargetMode="External" /><Relationship Type="http://schemas.openxmlformats.org/officeDocument/2006/relationships/hyperlink" Id="rId124" Target="https://doi.org/10.1111/oik.01588" TargetMode="External" /><Relationship Type="http://schemas.openxmlformats.org/officeDocument/2006/relationships/hyperlink" Id="rId102" Target="https://doi.org/10.1126/science.1156269" TargetMode="External" /><Relationship Type="http://schemas.openxmlformats.org/officeDocument/2006/relationships/hyperlink" Id="rId110" Target="https://doi.org/10.1126/science.298.5594.824" TargetMode="External" /><Relationship Type="http://schemas.openxmlformats.org/officeDocument/2006/relationships/hyperlink" Id="rId75" Target="https://doi.org/10.1126/science.abn4012" TargetMode="External" /><Relationship Type="http://schemas.openxmlformats.org/officeDocument/2006/relationships/hyperlink" Id="rId104" Target="https://doi.org/10.1140/epjb/e2004-00122-1" TargetMode="External" /><Relationship Type="http://schemas.openxmlformats.org/officeDocument/2006/relationships/hyperlink" Id="rId118" Target="https://doi.org/10.2307/1938088" TargetMode="External" /><Relationship Type="http://schemas.openxmlformats.org/officeDocument/2006/relationships/hyperlink" Id="rId108" Target="https://doi.org/10.3389/fevo.2021.623141" TargetMode="External" /><Relationship Type="http://schemas.openxmlformats.org/officeDocument/2006/relationships/hyperlink" Id="rId81" Target="https://doi.org/10.5486/pmd.1959.6.3-4.12" TargetMode="External" /><Relationship Type="http://schemas.openxmlformats.org/officeDocument/2006/relationships/hyperlink" Id="rId71"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14" Target="http://www.jstor.org/stable/2462337" TargetMode="External" /><Relationship Type="http://schemas.openxmlformats.org/officeDocument/2006/relationships/hyperlink" Id="rId122" Target="https://doi.org/10.1002/ece3.8643" TargetMode="External" /><Relationship Type="http://schemas.openxmlformats.org/officeDocument/2006/relationships/hyperlink" Id="rId91" Target="https://doi.org/10.1038/35004572" TargetMode="External" /><Relationship Type="http://schemas.openxmlformats.org/officeDocument/2006/relationships/hyperlink" Id="rId87" Target="https://doi.org/10.1038/ncomms12718" TargetMode="External" /><Relationship Type="http://schemas.openxmlformats.org/officeDocument/2006/relationships/hyperlink" Id="rId106" Target="https://doi.org/10.1038/ncomms2422" TargetMode="External" /><Relationship Type="http://schemas.openxmlformats.org/officeDocument/2006/relationships/hyperlink" Id="rId67" Target="https://doi.org/10.1038/s41467-024-53000-2" TargetMode="External" /><Relationship Type="http://schemas.openxmlformats.org/officeDocument/2006/relationships/hyperlink" Id="rId85" Target="https://doi.org/10.1073/pnas.0710672105" TargetMode="External" /><Relationship Type="http://schemas.openxmlformats.org/officeDocument/2006/relationships/hyperlink" Id="rId96" Target="https://doi.org/10.1073/pnas.1408471111" TargetMode="External" /><Relationship Type="http://schemas.openxmlformats.org/officeDocument/2006/relationships/hyperlink" Id="rId89" Target="https://doi.org/10.1086/653667" TargetMode="External" /><Relationship Type="http://schemas.openxmlformats.org/officeDocument/2006/relationships/hyperlink" Id="rId112" Target="https://doi.org/10.1098/rspb.2007.0571" TargetMode="External" /><Relationship Type="http://schemas.openxmlformats.org/officeDocument/2006/relationships/hyperlink" Id="rId69" Target="https://doi.org/10.1098/rspb.2013.3280" TargetMode="External" /><Relationship Type="http://schemas.openxmlformats.org/officeDocument/2006/relationships/hyperlink" Id="rId116" Target="https://doi.org/10.1098/rstb.2021.0063" TargetMode="External" /><Relationship Type="http://schemas.openxmlformats.org/officeDocument/2006/relationships/hyperlink" Id="rId73" Target="https://doi.org/10.1101/2024.01.30.578036" TargetMode="External" /><Relationship Type="http://schemas.openxmlformats.org/officeDocument/2006/relationships/hyperlink" Id="rId93" Target="https://doi.org/10.1111/2041-210X.14212" TargetMode="External" /><Relationship Type="http://schemas.openxmlformats.org/officeDocument/2006/relationships/hyperlink" Id="rId77" Target="https://doi.org/10.1111/2041-210X.14228" TargetMode="External" /><Relationship Type="http://schemas.openxmlformats.org/officeDocument/2006/relationships/hyperlink" Id="rId100" Target="https://doi.org/10.1111/brv.12433" TargetMode="External" /><Relationship Type="http://schemas.openxmlformats.org/officeDocument/2006/relationships/hyperlink" Id="rId79" Target="https://doi.org/10.1111/ele.13966" TargetMode="External" /><Relationship Type="http://schemas.openxmlformats.org/officeDocument/2006/relationships/hyperlink" Id="rId83" Target="https://doi.org/10.1111/j.1365-2656.2008.01362.x" TargetMode="External" /><Relationship Type="http://schemas.openxmlformats.org/officeDocument/2006/relationships/hyperlink" Id="rId98" Target="https://doi.org/10.1111/j.1475-4983.2006.00611.x" TargetMode="External" /><Relationship Type="http://schemas.openxmlformats.org/officeDocument/2006/relationships/hyperlink" Id="rId120" Target="https://doi.org/10.1111/j.2041-210x.2011.00174.x" TargetMode="External" /><Relationship Type="http://schemas.openxmlformats.org/officeDocument/2006/relationships/hyperlink" Id="rId124" Target="https://doi.org/10.1111/oik.01588" TargetMode="External" /><Relationship Type="http://schemas.openxmlformats.org/officeDocument/2006/relationships/hyperlink" Id="rId102" Target="https://doi.org/10.1126/science.1156269" TargetMode="External" /><Relationship Type="http://schemas.openxmlformats.org/officeDocument/2006/relationships/hyperlink" Id="rId110" Target="https://doi.org/10.1126/science.298.5594.824" TargetMode="External" /><Relationship Type="http://schemas.openxmlformats.org/officeDocument/2006/relationships/hyperlink" Id="rId75" Target="https://doi.org/10.1126/science.abn4012" TargetMode="External" /><Relationship Type="http://schemas.openxmlformats.org/officeDocument/2006/relationships/hyperlink" Id="rId104" Target="https://doi.org/10.1140/epjb/e2004-00122-1" TargetMode="External" /><Relationship Type="http://schemas.openxmlformats.org/officeDocument/2006/relationships/hyperlink" Id="rId118" Target="https://doi.org/10.2307/1938088" TargetMode="External" /><Relationship Type="http://schemas.openxmlformats.org/officeDocument/2006/relationships/hyperlink" Id="rId108" Target="https://doi.org/10.3389/fevo.2021.623141" TargetMode="External" /><Relationship Type="http://schemas.openxmlformats.org/officeDocument/2006/relationships/hyperlink" Id="rId81" Target="https://doi.org/10.5486/pmd.1959.6.3-4.12" TargetMode="External" /><Relationship Type="http://schemas.openxmlformats.org/officeDocument/2006/relationships/hyperlink" Id="rId71"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2025-06-23T08:33:09Z</dcterms:created>
  <dcterms:modified xsi:type="dcterms:W3CDTF">2025-06-23T08:33:09Z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2025-06-23</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