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2026-03-06</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 β-diversity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Normalised standard deviation of generality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Normalised standard deviation of vulnerability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2672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w:t>
      </w:r>
      <w:r>
        <w:t xml:space="preserve"> </w:t>
      </w:r>
      <m:oMath>
        <m:sSub>
          <m:e>
            <m:r>
              <m:t>β</m:t>
            </m:r>
          </m:e>
          <m:sub>
            <m:r>
              <m:t>O</m:t>
            </m:r>
            <m:r>
              <m:t>S</m:t>
            </m:r>
          </m:sub>
        </m:sSub>
      </m:oMath>
      <w:r>
        <w:t xml:space="preserve"> </w:t>
      </w:r>
      <w:r>
        <w:t xml:space="preserve">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 Note that we do not include the Random or Niche model as these models are species agnostic and thus we cannot truly evaluate differences in pairwise interactions</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(Kendall’s</w:t>
      </w:r>
      <w:r>
        <w:t xml:space="preserve"> </w:t>
      </w:r>
      <m:oMath>
        <m:r>
          <m:t>τ</m:t>
        </m:r>
      </m:oMath>
      <w:r>
        <w:t xml:space="preserve"> </w:t>
      </w:r>
      <w:r>
        <w:t xml:space="preserve">= 0.26–0.90), reflecting broadly comparable node-level removal sequences. In contrast, link-level outcomes were far more variable (Kendall’s</w:t>
      </w:r>
      <w:r>
        <w:t xml:space="preserv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models reflects intrinsic differences in how interactions are organised rather than temporal shifts in community composition. Even after centring metrics within extinction phases to remove between-bin mean differences, model identity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model identity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inter-model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model based assumptions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2026-03-06T15:35:05Z</dcterms:created>
  <dcterms:modified xsi:type="dcterms:W3CDTF">2026-03-06T15:35:05Z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2026-03-06</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