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2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reconstruction approach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Andy Ridgwell</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Paul B. Wignall</w:t>
      </w:r>
    </w:p>
    <w:p>
      <w:pPr>
        <w:pStyle w:val="Author"/>
      </w:pPr>
      <w:r>
        <w:t xml:space="preserve">Andrew P. Beckerman</w:t>
      </w:r>
    </w:p>
    <w:p>
      <w:pPr>
        <w:pStyle w:val="Author"/>
      </w:pPr>
      <w:r>
        <w:t xml:space="preserve">Alexander Dunhill</w:t>
      </w:r>
    </w:p>
    <w:p>
      <w:pPr>
        <w:pStyle w:val="Date"/>
      </w:pPr>
      <w:r>
        <w:t xml:space="preserve">2026-03-31</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Shelly marine macrofossils.</w:t>
      </w:r>
    </w:p>
    <w:p>
      <w:pPr>
        <w:pStyle w:val="Abstract"/>
      </w:pPr>
      <w:r>
        <w:t xml:space="preserve">Methods</w:t>
      </w:r>
    </w:p>
    <w:p>
      <w:pPr>
        <w:pStyle w:val="Abstract"/>
      </w:pPr>
      <w:r>
        <w:t xml:space="preserve">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Reconstruction approaches that were similar in network metrics often diverged in species-level interactions, with high β-turnover among inferred link sets. During disturbance simulations, species-level vulnerability rankings were broadly consistent across reconstruction approaches,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However, most ecological networks are not fully observed as interaction data are incomplete and sampling is uneven across historical and biogeographic contexts, across both present day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approaches systematically generate different trophic configurations, then comparative analyses risk conflating ecological differences among communities with artefacts introduced by reconstruction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approaches encode distinct structural priors over interaction topology, then differences among communities may reflect reconstruction assumptions rather than ecological processes. Consequently, here we test whether macroecological inference derived from ecological networks is robust to variation in reconstruction framework, asking which aspects of network-based inference are stable across plausible representations of interaction structure and which are intrinsically reconstruction approach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reconstruction approach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(ETEE; ~183 Ma),a marine biotic crisis in the Early Jurassic, likely caused by a volcanic-driven hyperthermal event</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reconstruction approaches, we can determine if the</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assemblages, we reconstruct ecological networks under six contrasting reconstruction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reconstruction approach used, this design isolates the influence of reconstruction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UK, spanning the upper Pliensbachian to the upper Toarcian. This interval encompasses a major volcanic-driven hyperthermal and marine extinction event. To capture network dynamics across this transition, we defined four successive palaeo-assemblages: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related palaeontological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reconstruction approaches from within the feasibility space. That is, the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network reconstruction approaches that can be used to construct food webs for both this specific community but are also broadly suited to palaeo network prediction. These reconstruction approaches span all facets of the network representation space (feasibility, realised, and structural network) and are suitable for an array of different palaeo-assemblages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Reconstruction Approach</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approaches (ADBM, ATN, Body-size ratio) differ primarily in their underlying ecological assumptions. Although all three approaches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network reconstruction approaches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reconstruction approach assumptions, parameterisation, and link-generation rules are provided in Supplementary Material S1. For each community, 100 networks were generated per reconstruction approach per successive community (n = 2400) to capture stochastic variation in link assignment. Where reconstruction approaches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reconstruction approaches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overall network properties, motif structure, and species-level variability. Differences among reconstruction approaches were assessed using a multivariate analysis of variance (MANOVA), with reconstruction approach identity as a fixed factor and the full set of network metrics as response variables. Variance partitioning was further assessed using permutational multivariate analysis of variance (PERMANOVA). Pairwise interaction turnover was quantified using link-based</w:t>
      </w:r>
      <w:r>
        <w:t xml:space="preserve"> </w:t>
      </w:r>
      <m:oMath>
        <m:r>
          <m:t>β</m:t>
        </m:r>
      </m:oMath>
      <w:r>
        <w:t xml:space="preserve">-diversity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reconstruction combinations within the same assemblage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Standard deviation of normalised generality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Standard deviation of normalised vulnerability of all species within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89f4cf6a33fc88184218f6a581bc75601516373"/>
    <w:p>
      <w:pPr>
        <w:pStyle w:val="Heading2"/>
      </w:pPr>
      <w:r>
        <w:t xml:space="preserve">2.4 Extinction simulations and reconstruction approach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 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w:t>
      </w:r>
      <m:oMath>
        <m:r>
          <m:t>τ</m:t>
        </m:r>
      </m:oMath>
      <w:r>
        <w:t xml:space="preserve">) was used to quantify concordance in scenario ordering across reconstruction approaches.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are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reconstruction approaches in network metric space. Reconstruction approach explained most of the variance in structural properties, leaving a distinct signature independent of community composition. Notably, approaches that were statistically similar in multivariate structural space often diverged in inferred interactions or extinction dynamics. This demonstrates that structural similarity does not guarantee concordance in species-level diets or trophic roles.</w:t>
      </w:r>
    </w:p>
    <w:p>
      <w:pPr>
        <w:pStyle w:val="BodyText"/>
      </w:pPr>
      <w:r>
        <w:t xml:space="preserve">Reconstruction approach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reconstruction approach systematically alters inferred food web topology. Canonical discriminant analysis identified two dominant axes of variation, explaining 86% of between reconstruction approach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064000"/>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06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reconstruction approach types. Each point represents a replicate, and ellipses indicate 95% confidence regions for each reconstruction approach.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w:t>
      </w:r>
      <m:oMath>
        <m:sSup>
          <m:e>
            <m:r>
              <m:t>R</m:t>
            </m:r>
          </m:e>
          <m:sup>
            <m:r>
              <m:t>2</m:t>
            </m:r>
          </m:sup>
        </m:sSup>
      </m:oMath>
      <w:r>
        <w:t xml:space="preserve"> </w:t>
      </w:r>
      <w:r>
        <w:t xml:space="preserve">= 0.795,</w:t>
      </w:r>
      <w:r>
        <w:t xml:space="preserve"> </w:t>
      </w:r>
      <m:oMath>
        <m:r>
          <m:t>p</m:t>
        </m:r>
      </m:oMath>
      <w:r>
        <w:t xml:space="preserve"> </w:t>
      </w:r>
      <w:r>
        <w:t xml:space="preserve">&lt; 0.001), whereas temporal turnover across extinction phases explained a comparatively small proportion of variance (</w:t>
      </w:r>
      <m:oMath>
        <m:sSup>
          <m:e>
            <m:r>
              <m:t>R</m:t>
            </m:r>
          </m:e>
          <m:sup>
            <m:r>
              <m:t>2</m:t>
            </m:r>
          </m:sup>
        </m:sSup>
      </m:oMath>
      <w:r>
        <w:t xml:space="preserve"> </w:t>
      </w:r>
      <w:r>
        <w:t xml:space="preserve">= 0.064,</w:t>
      </w:r>
      <w:r>
        <w:t xml:space="preserve"> </w:t>
      </w:r>
      <m:oMath>
        <m:r>
          <m:t>p</m:t>
        </m:r>
      </m:oMath>
      <w:r>
        <w:t xml:space="preserve"> </w:t>
      </w:r>
      <w:r>
        <w:t xml:space="preserve">&lt; 0.001). The reconstruction approach</w:t>
      </w:r>
      <w:r>
        <w:t xml:space="preserve"> </w:t>
      </w:r>
      <m:oMath>
        <m:r>
          <m:rPr>
            <m:sty m:val="p"/>
          </m:rPr>
          <m:t>×</m:t>
        </m:r>
      </m:oMath>
      <w:r>
        <w:t xml:space="preserve"> </w:t>
      </w:r>
      <w:r>
        <w:t xml:space="preserve">time interaction contributed a further 7.1% of variance (</w:t>
      </w:r>
      <m:oMath>
        <m:sSup>
          <m:e>
            <m:r>
              <m:t>R</m:t>
            </m:r>
          </m:e>
          <m:sup>
            <m:r>
              <m:t>2</m:t>
            </m:r>
          </m:sup>
        </m:sSup>
      </m:oMath>
      <w:r>
        <w:t xml:space="preserve"> </w:t>
      </w:r>
      <w:r>
        <w:t xml:space="preserve">= 0.071,</w:t>
      </w:r>
      <w:r>
        <w:t xml:space="preserve"> </w:t>
      </w:r>
      <m:oMath>
        <m:r>
          <m:t>p</m:t>
        </m:r>
      </m:oMath>
      <w:r>
        <w:t xml:space="preserve"> </w:t>
      </w:r>
      <w:r>
        <w:t xml:space="preserve">&lt; 0.001), indicating limited but significant time-dependent divergence among reconstruction frameworks. Thus, differences among reconstruction approaches were more than an order of magnitude greater than structural differences associated with ecological turnover through the extinction sequence, even if the Pliensbachian-Toarcian dataset was characterised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w:t>
      </w:r>
      <m:oMath>
        <m:sSup>
          <m:e>
            <m:r>
              <m:t>R</m:t>
            </m:r>
          </m:e>
          <m:sup>
            <m:r>
              <m:t>2</m:t>
            </m:r>
          </m:sup>
        </m:sSup>
      </m:oMath>
      <w:r>
        <w:t xml:space="preserve"> </w:t>
      </w:r>
      <w:r>
        <w:t xml:space="preserve">= 0.848,</w:t>
      </w:r>
      <w:r>
        <w:t xml:space="preserve"> </w:t>
      </w:r>
      <m:oMath>
        <m:r>
          <m:t>p</m:t>
        </m:r>
      </m:oMath>
      <w:r>
        <w:t xml:space="preserve"> </w:t>
      </w:r>
      <w:r>
        <w:t xml:space="preserve">&lt; 0.001). These results demonstrate that the influence of reconstruction approach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In panel A of</w:t>
      </w:r>
      <w:r>
        <w:t xml:space="preserve"> </w:t>
      </w:r>
      <w:hyperlink w:anchor="fig-anova">
        <w:r>
          <w:rPr>
            <w:rStyle w:val="Hyperlink"/>
          </w:rPr>
          <w:t xml:space="preserve">Figure 2</w:t>
        </w:r>
      </w:hyperlink>
      <w:r>
        <w:t xml:space="preserve"> </w:t>
      </w:r>
      <w:r>
        <w:t xml:space="preserve">it is clear that for certain network metrics reconstruction approaches predict different responses across time</w:t>
      </w:r>
      <w:r>
        <w:t xml:space="preserve"> </w:t>
      </w:r>
      <w:r>
        <w:rPr>
          <w:i/>
          <w:iCs/>
        </w:rPr>
        <w:t xml:space="preserve">e.g.,</w:t>
      </w:r>
      <w:r>
        <w:t xml:space="preserve"> </w:t>
      </w:r>
      <w:r>
        <w:t xml:space="preserve">connectance, as well as differing magnitudes of change</w:t>
      </w:r>
      <w:r>
        <w:t xml:space="preserve"> </w:t>
      </w:r>
      <w:r>
        <w:rPr>
          <w:i/>
          <w:iCs/>
        </w:rPr>
        <w:t xml:space="preserve">e.g.,</w:t>
      </w:r>
      <w:r>
        <w:t xml:space="preserve"> </w:t>
      </w:r>
      <w:r>
        <w:t xml:space="preserve">the number of apparent cmpetition motifs.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panel B; Table S3). While the extinction event (time bin) significantly altered network structure (p&lt;0.001), its relative importance remained secondary, typically explaining a smaller fraction of the total topological variation. This is clear in panel B of</w:t>
      </w:r>
      <w:r>
        <w:t xml:space="preserve"> </w:t>
      </w:r>
      <w:hyperlink w:anchor="fig-anova">
        <w:r>
          <w:rPr>
            <w:rStyle w:val="Hyperlink"/>
          </w:rPr>
          <w:t xml:space="preserve">Figure 2</w:t>
        </w:r>
      </w:hyperlink>
      <w:r>
        <w:t xml:space="preserve"> </w:t>
      </w:r>
      <w:r>
        <w:t xml:space="preserve">where all metrics are within the bottom-right (reconstruction approach-dominated) quadrant of this space, emphasising that framework assumptions outweigh the ecological signal of species loss. Furthermore, the high inter-reconstruction approach Coefficient of Variation (CV) observed for some metrics (Table S4, Figure S4) highlights a sensitivity. The properties that are influenced by time are also those upon which the reconstruction approaches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2346960"/>
                  <wp:effectExtent b="0" l="0" r="0" t="0"/>
                  <wp:docPr descr="" title="" id="26" name="Picture"/>
                  <a:graphic>
                    <a:graphicData uri="http://schemas.openxmlformats.org/drawingml/2006/picture">
                      <pic:pic>
                        <pic:nvPicPr>
                          <pic:cNvPr descr="figures/combined_ANOVA_time.png" id="27" name="Picture"/>
                          <pic:cNvPicPr>
                            <a:picLocks noChangeArrowheads="1" noChangeAspect="1"/>
                          </pic:cNvPicPr>
                        </pic:nvPicPr>
                        <pic:blipFill>
                          <a:blip r:embed="rId25"/>
                          <a:stretch>
                            <a:fillRect/>
                          </a:stretch>
                        </pic:blipFill>
                        <pic:spPr bwMode="auto">
                          <a:xfrm>
                            <a:off x="0" y="0"/>
                            <a:ext cx="5334000" cy="23469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A</w:t>
            </w:r>
            <w:r>
              <w:t xml:space="preserve"> </w:t>
            </w:r>
            <w:r>
              <w:t xml:space="preserve">Changes in network metrics through time, expressed as deviation from Pre-Extinction conditions (Δ). Metrics are faceted and scaled independently to highlight differences in temporal trajectories across different network properties.</w:t>
            </w:r>
            <w:r>
              <w:t xml:space="preserve"> </w:t>
            </w:r>
            <w:r>
              <w:rPr>
                <w:b/>
                <w:bCs/>
              </w:rPr>
              <w:t xml:space="preserve">B</w:t>
            </w:r>
            <w:r>
              <w:t xml:space="preserve"> </w:t>
            </w:r>
            <w:r>
              <w:t xml:space="preserve">Scatter plot illustrating the influence of reconstruction approach (x-axis) and time (y-axis) across network metrics. The dashed 1:1 diagonal represents parity of influence; metrics below this line are governed primarily by reconstruction approach and those above by time. Bubble size indicates the interaction between reconstruction approach and time, while colour indicates inter reconstruction approach disagreement (mean CV%); greener bubbles signify metrics where reconstruction approaches show the highest divergence in their structural predictions.</w:t>
            </w:r>
          </w:p>
          <w:bookmarkEnd w:id="28"/>
        </w:tc>
      </w:tr>
    </w:tbl>
    <w:bookmarkEnd w:id="29"/>
    <w:bookmarkStart w:id="34" w:name="X9fcddbbac710043f61693d23beb4156e4b28d77"/>
    <w:p>
      <w:pPr>
        <w:pStyle w:val="Heading3"/>
      </w:pPr>
      <w:r>
        <w:t xml:space="preserve">3.1.3 Inferred pairwise interactions vary widely among reconstruction approaches</w:t>
      </w:r>
    </w:p>
    <w:p>
      <w:pPr>
        <w:pStyle w:val="FirstParagraph"/>
      </w:pPr>
      <w:r>
        <w:t xml:space="preserve">Despite some network reconstruction approaches showing similar netwrok metrics, specific pairwise interactions often differed. Pairwise</w:t>
      </w:r>
      <w:r>
        <w:t xml:space="preserve"> </w:t>
      </w:r>
      <m:oMath>
        <m:sSub>
          <m:e>
            <m:r>
              <m:t>β</m:t>
            </m:r>
          </m:e>
          <m:sub>
            <m:r>
              <m:t>O</m:t>
            </m:r>
            <m:r>
              <m:t>S</m:t>
            </m:r>
          </m:sub>
        </m:sSub>
      </m:oMath>
      <w:r>
        <w:t xml:space="preserve"> </w:t>
      </w:r>
      <w:r>
        <w:t xml:space="preserve">revealed that certain reconstruction approach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reconstruction approaches. PFIM showed intermediate overlap with body mass-based models. These results demonstrate that agreement in overall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reconstruction approaches (ADBM, ATN, Body-size ratio, and PFIM). Each cell represents the mean turnover value between a pair of reconstruction approaches, with darker colours indicating greater dissimilarity in inferred interactions. High turnover values indicate strong disagreement in pairwise interactions between reconstruction approaches, whereas lower values indicate greater similarity. Note that we do not include the Random or Niche model as these reconstruction approaches are species agnostic and thus we cannot truly evaluate differences in pairwise interactions</w:t>
            </w:r>
          </w:p>
          <w:bookmarkEnd w:id="33"/>
        </w:tc>
      </w:tr>
    </w:tbl>
    <w:bookmarkEnd w:id="34"/>
    <w:bookmarkEnd w:id="35"/>
    <w:bookmarkStart w:id="40" w:name="X6f2735200bed949fd988e0a43cf05969744067d"/>
    <w:p>
      <w:pPr>
        <w:pStyle w:val="Heading2"/>
      </w:pPr>
      <w:r>
        <w:t xml:space="preserve">3.2 Reconstruction approach choice influences inferred extinction dynamics</w:t>
      </w:r>
    </w:p>
    <w:p>
      <w:pPr>
        <w:pStyle w:val="FirstParagraph"/>
      </w:pPr>
      <w:r>
        <w:t xml:space="preserve">To evaluate how reconstruction approach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reconstruction approaches,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network reconstruction approaches (Kendall’s</w:t>
      </w:r>
      <w:r>
        <w:t xml:space="preserve"> </w:t>
      </w:r>
      <m:oMath>
        <m:r>
          <m:t>τ</m:t>
        </m:r>
      </m:oMath>
      <w:r>
        <w:t xml:space="preserve"> </w:t>
      </w:r>
      <w:r>
        <w:t xml:space="preserve">= 0.26 - 0.90), reflecting broadly comparable node-level removal sequences. In contrast, link-level outcomes were far more variable (Kendall’s</w:t>
      </w:r>
      <w:r>
        <w:t xml:space="preserve"> </w:t>
      </w:r>
      <m:oMath>
        <m:r>
          <m:t>τ</m:t>
        </m:r>
      </m:oMath>
      <w:r>
        <w:t xml:space="preserve"> </w:t>
      </w:r>
      <w:r>
        <w:t xml:space="preserve">= −0.48 - 0.29), highlighting that inferences about which interactions are lost, retained, or re-established during collapse and recovery are highly reconstruction approach contingent. Together, these results suggest that while alternative reconstruction approaches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reconstruction approaches for each network metric. Each panel corresponds to a different metric and displays the degree of agreement in extinction-scenario rankings across reconstruction approaches based on mean absolute differences (MAD) between observed and predicted network values. Positive</w:t>
            </w:r>
            <w:r>
              <w:t xml:space="preserve"> </w:t>
            </w:r>
            <m:oMath>
              <m:r>
                <m:t>τ</m:t>
              </m:r>
            </m:oMath>
            <w:r>
              <w:t xml:space="preserve"> </w:t>
            </w:r>
            <w:r>
              <w:t xml:space="preserve">values (purple) indicate concordant rankings between reconstruction approaches, whereas negative</w:t>
            </w:r>
            <w:r>
              <w:t xml:space="preserve"> </w:t>
            </w:r>
            <m:oMath>
              <m:r>
                <m:t>τ</m:t>
              </m:r>
            </m:oMath>
            <w:r>
              <w:t xml:space="preserve"> </w:t>
            </w:r>
            <w:r>
              <w:t xml:space="preserve">values (sienna)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palaeoecological data. Because interactions in fossil ecosystems are never observed directly, they must explicitly be formed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palaeoecological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and recovery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reconstruction approaches reflects intrinsic differences in how interactions are organised rather than temporal shifts in community composition. Even after centring metrics within time bins (extinction phases) to remove between-bin mean differences, reconstruction approach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reconstruction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reconstruction approach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inter-reconstruction approach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reconstruction approaches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reconstruction approaches,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reconstruction approach-imposed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and subsequent recovery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reconstruction approach encodes a distinct set of ecological assumptions. The inferred topology and dynamics of a food web therefore reflect not only ecological data, but the theoretical assumptions embedded in the reconstruction framework. Disagreement among reconstruction approaches does not imply that any single approach is ‘wrong’, but rather that different reconstruction approaches capture different facets of ecological reality</w:t>
      </w:r>
      <w:r>
        <w:t xml:space="preserve"> </w:t>
      </w:r>
      <w:r>
        <w:t xml:space="preserve">(Petchey et al., 2011; Stouffer, 2019)</w:t>
      </w:r>
      <w:r>
        <w:t xml:space="preserve">. Disagreement among reconstruction approaches does not imply that any single approach is</w:t>
      </w:r>
      <w:r>
        <w:t xml:space="preserve"> </w:t>
      </w:r>
      <w:r>
        <w:t xml:space="preserve">‘incorrect’</w:t>
      </w:r>
      <w:r>
        <w:t xml:space="preserve">. Rather, different reconstruction approaches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network reconstruction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palaeo 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palaeo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reconstruction approaches. Treating reconstructed networks as ensembles rather than single deterministic representations provides a more transparent framework for incorporating uncertainty into comparative macroecology and for using palaeo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reconstruction approach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reconstruction approaches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 web topology, interaction identity, and disturbance dynamics. Some coarse-grained patterns, such as relative species vulnerability, are comparatively robust across representations. In contrast, fine-scale interaction structure and cascade pathways are highly contingent on reconstruction approach.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reconstruction approaches as much as ecological processes. Network reconstruction should thus be treated as an explicit component of hypothesis specification in comparative macroecology and biogeography.</w:t>
      </w:r>
    </w:p>
    <w:p>
      <w:pPr>
        <w:pStyle w:val="BodyText"/>
      </w:pPr>
      <w:r>
        <w:t xml:space="preserve">No single reconstruction approach captures the full complexity of ecological organisation, but neither are alternative reconstruction approaches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network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reconstruction approach conditions ecological inference in food web reconstruction</dc:title>
  <dc:creator>Tanya Strydom; Baran Karapunar; Jennifer A. Dunne; Andy Ridgwell; Pincelli Hull; Crispin T.S. Little; Catalina Pimiento; Paul B. Wignall; Andrew P. Beckerman; Alexander Dunhill</dc:creator>
  <cp:keywords>Ecological networks, Biotic interactions, Community assembly, Environmental gradients, Interaction turnover, Trophic organisation, Ecosystem resilience, Macroecology</cp:keywords>
  <dcterms:created xsi:type="dcterms:W3CDTF">2026-03-31T15:59:18Z</dcterms:created>
  <dcterms:modified xsi:type="dcterms:W3CDTF">2026-03-31T15:59:18Z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studiedShelly marine macrofossils.MethodsWe reconstructed four successive assemblages from an identical species pool using six contrasting food web reconstruction approaches spanning feasible (trait-based), realised (allometric and energetic), and structural (topological) network representations. For each community and reconstruction approach, 100 replicate networks were generated. We quantified macro-, meso-, and micro-scale network properties and assessed differences among reconstruction approaches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reconstruction approaches.ResultsReconstruction framework strongly influenced inferred network topology (MANOVA, p &lt; 0.001), generating distinct structural signatures independent of species composition. Reconstruction approaches that were similar in network metrics often diverged in species-level interactions, with high β-turnover among inferred link sets. During disturbance simulations, species-level vulnerability rankings were broadly consistent across reconstruction approaches,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reconstruction approaches, detailed interaction-level dynamics are highly contingent on reconstruction approach. Comparative network studies across spatial or environmental gradients should therefore align reconstruction framework with inferential goals and explicitly evaluate sensitivity to reconstruction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2026-03-31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