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0.png" ContentType="image/png"/>
  <Override PartName="/word/media/rId3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structure conditions ecological inference in food web reconstruction</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2026-02-27</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animal communities.</w:t>
      </w:r>
    </w:p>
    <w:p>
      <w:pPr>
        <w:pStyle w:val="Abstract"/>
      </w:pPr>
      <w:r>
        <w:t xml:space="preserve">Methods</w:t>
      </w:r>
    </w:p>
    <w:p>
      <w:pPr>
        <w:pStyle w:val="Abstract"/>
      </w:pPr>
      <w:r>
        <w:t xml:space="preserve">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w:t>
      </w:r>
    </w:p>
    <w:p>
      <w:pPr>
        <w:pStyle w:val="Abstract"/>
      </w:pPr>
      <w:r>
        <w:t xml:space="preserve">Results</w:t>
      </w:r>
    </w:p>
    <w:p>
      <w:pPr>
        <w:pStyle w:val="Abstract"/>
      </w:pPr>
      <w:r>
        <w:t xml:space="preserve">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 et al.,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(Carstensen et al., 2014; Gravel et al., 2019; Poisot et al., 2015; Trøjelsgaard &amp; Olesen, 2016; Tylianakis &amp; Morris, 2017)</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(Dunhill et al., 2024; Hao et al., 2025; Michalska-Smith &amp; Allesina, 2019; Poisot &amp; Gravel, 2014; Roopnarine, 2006)</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 et al., 2016; Jordano, 2016)</w:t>
      </w:r>
      <w:r>
        <w:t xml:space="preserve">.</w:t>
      </w:r>
    </w:p>
    <w:p>
      <w:pPr>
        <w:pStyle w:val="BodyText"/>
      </w:pPr>
      <w:r>
        <w:t xml:space="preserve">Yet most ecological networks are not fully observed as interaction data are incomplete and sampling is uneven across historical and biogeographic contexts, across both contemporary and deep-time</w:t>
      </w:r>
      <w:r>
        <w:t xml:space="preserve"> </w:t>
      </w:r>
      <w:r>
        <w:t xml:space="preserve">(Catchen et al., 2023; Poisot et al., 2021; Sandra et al., 2025)</w:t>
      </w:r>
      <w:r>
        <w:t xml:space="preserve">. Interactions must often be inferred indirectly from traits, phylogeny, body size, co-occurrence, or theoretical constraints</w:t>
      </w:r>
      <w:r>
        <w:t xml:space="preserve"> </w:t>
      </w:r>
      <w:r>
        <w:t xml:space="preserve">(Morales-Castilla et al., 2015; Strydom et al.,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(Gauzens et al., 2025; Guimarães, 2020; Petchey et al., 2011; Strydom et al., 2026)</w:t>
      </w:r>
      <w:r>
        <w:t xml:space="preserve">. If alternative reconstruction models systematically generate different trophic configurations, then comparative analyses risk conflating ecological differences among communities with artefacts introduced by modelling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Delmas et al., 2018; Poisot et al., 2015)</w:t>
      </w:r>
      <w:r>
        <w:t xml:space="preserve">. If reconstruction models encode distinct structural priors over interaction topology, then differences among communities may reflect modelling assumptions rather than ecological processes. We therefore test whether macroecological inference derived from ecological networks is robust to variation in reconstruction framework, asking which aspects of network-based inference are stable across plausible representations of interaction structure and which are intrinsically model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(Dunhill et al., 2024; Dunne et al., 2008; Dunne et al., 2014; Karapunar et al., 2026; Roopnarine, 2006)</w:t>
      </w:r>
      <w:r>
        <w:t xml:space="preserve">, rendering modelling assumptions transparent. Against this stringency, here we re-evaluate inferences made by</w:t>
      </w:r>
      <w:r>
        <w:t xml:space="preserve"> </w:t>
      </w:r>
      <w:r>
        <w:t xml:space="preserve">Dunhill et al. (2024)</w:t>
      </w:r>
      <w:r>
        <w:t xml:space="preserve"> </w:t>
      </w:r>
      <w:r>
        <w:t xml:space="preserve">on community structure and extinction dynamics during the early Toarcian extinction event (~183 Ma), a volcanic-driven hyperthermal and marine crisis in the Early Jurassic</w:t>
      </w:r>
      <w:r>
        <w:t xml:space="preserve"> </w:t>
      </w:r>
      <w:r>
        <w:t xml:space="preserve">(Kemp et al., 2024)</w:t>
      </w:r>
      <w:r>
        <w:t xml:space="preserve">. Crucially, this re-evaluation allows us to test a pivotal but often overlooked possibility - that the ecological narratives regarding community stability or collapse might be as much a product of the specific reconstruction method chosen as they are of the fossil data itself. By applying alternative models, we can determine if</w:t>
      </w:r>
      <w:r>
        <w:t xml:space="preserve"> </w:t>
      </w:r>
      <w:r>
        <w:t xml:space="preserve">Dunhill et al. (2024)</w:t>
      </w:r>
      <w:r>
        <w:t xml:space="preserve"> </w:t>
      </w:r>
      <w:r>
        <w:t xml:space="preserve">conclusions remain robust or if a different choice of reconstruction method would have led to fundamentally different inferences about extinction dynamics. Using four successive communities, we reconstruct ecological networks under six contrasting model classes spanning feasible, realised, and structural representations. For each reconstruction framework, we quantify emergent topology across scales, measure interaction turnover, and simulate disturbance-driven collapse. By holding species composition constant while varying the food web model used, this design isolates the influence of model constrained structure on inferred food web organisation and extinction dynamics, allowing us to distinguish ecological signals that are robust from those that are reconstruction contingent.</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This interval encompasses a major volcanic-driven hyperthermal and marine extinction event. To capture network dynamics across this transition, we defined four successive paleo-communities: pre-extinction (Pliensbachian), post-extinction (Lower Toarcian), early recovery, and late recovery (Middle/Upper Toarcian). Each taxon was characterized using their size and Bambach’s ecospace framework</w:t>
      </w:r>
      <w:r>
        <w:t xml:space="preserve"> </w:t>
      </w:r>
      <w:r>
        <w:t xml:space="preserve">(Bambach et al., 2007)</w:t>
      </w:r>
      <w:r>
        <w:t xml:space="preserve">, coding for tiering, motility, and feeding mode as per</w:t>
      </w:r>
      <w:r>
        <w:t xml:space="preserve"> </w:t>
      </w:r>
      <w:r>
        <w:t xml:space="preserve">Dunhill et al. (2024)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By restricting our analysis to a single basin with consistent lithofacies, we controlled for biogeographic noise, ensuring that structural shifts across the four time-bins reflect localised ecological responses to environmental stress rather than sampling or facies bias.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research (</w:t>
      </w:r>
      <w:r>
        <w:rPr>
          <w:i/>
          <w:iCs/>
        </w:rPr>
        <w:t xml:space="preserve">e.g.,</w:t>
      </w:r>
      <w:r>
        <w:t xml:space="preserve"> </w:t>
      </w:r>
      <w:r>
        <w:t xml:space="preserve">Fricke et al. (2022)</w:t>
      </w:r>
      <w:r>
        <w:t xml:space="preserve">;</w:t>
      </w:r>
      <w:r>
        <w:t xml:space="preserve"> </w:t>
      </w:r>
      <w:r>
        <w:t xml:space="preserve">Roopnarine (2006)</w:t>
      </w:r>
      <w:r>
        <w:t xml:space="preserve">;</w:t>
      </w:r>
      <w:r>
        <w:t xml:space="preserve"> </w:t>
      </w:r>
      <w:r>
        <w:t xml:space="preserve">Shaw et al. (2024)</w:t>
      </w:r>
      <w:r>
        <w:t xml:space="preserve">) currently uses models from within the feasibility space. That is, the model reconstructions identify and encode the entire feasible diet of a species to build the network. These methods, however, represent only a subset of the broader spectrum of network construction approaches. Here, we present a suite of methods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fossil data. The methods include a) structural models that create species agnostic networks that are structurally ‘correct’ by assigning links between nodes based on assumptions of link distributions; and b) realised models that create networks where links between species are constrained based on some form of ‘species choice’</w:t>
      </w:r>
      <w:r>
        <w:t xml:space="preserve"> </w:t>
      </w:r>
      <w:r>
        <w:rPr>
          <w:i/>
          <w:iCs/>
        </w:rPr>
        <w:t xml:space="preserve">e.g.,</w:t>
      </w:r>
      <w:r>
        <w:t xml:space="preserve"> </w:t>
      </w:r>
      <w:r>
        <w:t xml:space="preserve">maximising energy gain.</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(feasibility,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model assumptions, parameterisation, and link-generation rules are provided in Supplementary Material S1. For each community, 100 networks were generated per model per successive community (n = 2400) to capture stochastic variation in link assignment. Where models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parameterized using connectance values drawn from an empirically realistic range (0.07 – 0.34), with species richness held constant. Identical parameter draws were applied across comparable models within each replicate to ensure comparability.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reconstruction approaches were assessed using a multivariate analysis of variance (MANOVA), with model identity as a fixed factor and the full set of network metrics as response variables. Variance partitioning was further assessed using permutational multivariate analysis of variance (PERMANOVA). Pairwise interaction turnover was quantified using link-based β-diversity was calculated following the framework of</w:t>
      </w:r>
      <w:r>
        <w:t xml:space="preserve"> </w:t>
      </w:r>
      <w:r>
        <w:t xml:space="preserve">Poisot et al. (2012)</w:t>
      </w:r>
      <w:r>
        <w:t xml:space="preserve"> </w:t>
      </w:r>
      <w:r>
        <w:t xml:space="preserve">among the four of the reconstruction frameworks (ADBM, ATN, body-size ratio, and PFIM). We excluded the purely structural random and niche models as they are inherently species agnostic. For each pair of reconstructed networks, we represented trophic interactions as binary adjacency matrices and calculated their dissimilarity. Specifically we looked at interaction rewiring among shared species (</w:t>
      </w:r>
      <m:oMath>
        <m:sSub>
          <m:e>
            <m:r>
              <m:t>β</m:t>
            </m:r>
          </m:e>
          <m:sub>
            <m:r>
              <m:t>O</m:t>
            </m:r>
            <m:r>
              <m:t>S</m:t>
            </m:r>
          </m:sub>
        </m:sSub>
      </m:oMath>
      <w:r>
        <w:t xml:space="preserve">), which allows separation of differences arising from altered interaction identities among species common to both networks. All calculations were performed for all model combinations within the same community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Normalized standard deviation of generality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Normalized standard deviation of vulnerability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(τ) was used to quantify concordance in scenario ordering across models. Full methodological details are provided in the Supplementary Materials.</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 et al., 2017)</w:t>
      </w:r>
      <w:r>
        <w:t xml:space="preserve">. All statistical analyses, model fitting (MANOVA, PERMANOVA, GAMs), and figure production were performed in R v4.5.2</w:t>
      </w:r>
      <w:r>
        <w:t xml:space="preserve"> </w:t>
      </w:r>
      <w:r>
        <w:t xml:space="preserve">(R Core Team, 2024)</w:t>
      </w:r>
      <w:r>
        <w:t xml:space="preserve">. The empirical data, derived network datasets and code implementing network reconstruction, extinction simulations, and all analytical workflows is archived at [Zenodo DOI].</w:t>
      </w:r>
    </w:p>
    <w:bookmarkEnd w:id="18"/>
    <w:bookmarkEnd w:id="19"/>
    <w:bookmarkStart w:id="41" w:name="results"/>
    <w:p>
      <w:pPr>
        <w:pStyle w:val="Heading1"/>
      </w:pPr>
      <w:r>
        <w:t xml:space="preserve">3. Results</w:t>
      </w:r>
    </w:p>
    <w:p>
      <w:pPr>
        <w:pStyle w:val="FirstParagraph"/>
      </w:pPr>
      <w:r>
        <w:t xml:space="preserve">Results show that reconstruction approaches that appear similar when evaluated using global network metrics can yield fundamentally different ecological narratives when interrogated at the level of interactions and extinction dynamics. Across six network reconstruction approaches, inferred food 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the scale at which the comparison was made- approaches that were statistically similar in multivariate structural space (scale 1) often diverged in inferred interactions (scale 2) or extinction dynamics (scale 3). This demonstrates that structural similarity does not guarantee concordance in species-level diets or trophic roles.</w:t>
      </w:r>
    </w:p>
    <w:p>
      <w:pPr>
        <w:pStyle w:val="BodyText"/>
      </w:pPr>
      <w:r>
        <w:t xml:space="preserve">Model choice substantially influenced inferred extinction dynamics. Temporal trajectories of network collapse, interaction loss, and motif reorganisation differed among approaches. Although node-level extinction ranking were often broadly consistent, link-level outcomes and extinction inferences were highly sensitive to reconstruction assumptions. Together, these results show that ecological inferences drawn from networks depend critically on the reconstruction framework employed.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model choice systematically alters inferred food web topology. Canonical discriminant analysis identified two dominant axes of variation, explaining 86% of between-model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267199"/>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(R² = 0.795, p &lt; 0.001), whereas temporal turnover across extinction phases explained a comparatively small proportion of variance (R² = 0.064, p &lt; 0.001). The model × time interaction contributed a further 7.1% of variance (R² = 0.071, p &lt; 0.001), indicating limited but significant time-dependent divergence among reconstruction frameworks. Thus, differences among modelling approaches were more than an order of magnitude greater than structural differences associated with ecological turnover through the extinction sequence, even if the Toarcian dataset was characterized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(R² = 0.848, p &lt; 0.001). These results demonstrate that the influence of model choice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exerted a significantly stronger influence on network topology than the ecological signal of species loss.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meso-scale motifs (</w:t>
      </w:r>
      <w:hyperlink w:anchor="fig-anova">
        <w:r>
          <w:rPr>
            <w:rStyle w:val="Hyperlink"/>
          </w:rPr>
          <w:t xml:space="preserve">Figure 2</w:t>
        </w:r>
      </w:hyperlink>
      <w:r>
        <w:t xml:space="preserve">; Table S3). While the extinction event (time bin) significantly altered network structure (p&lt;0.001), its relative importance remained secondary, typically explaining a smaller fraction of the total topological variation. This is clear in</w:t>
      </w:r>
      <w:r>
        <w:t xml:space="preserve"> </w:t>
      </w:r>
      <w:hyperlink w:anchor="fig-anova">
        <w:r>
          <w:rPr>
            <w:rStyle w:val="Hyperlink"/>
          </w:rPr>
          <w:t xml:space="preserve">Figure 2</w:t>
        </w:r>
      </w:hyperlink>
      <w:r>
        <w:t xml:space="preserve"> </w:t>
      </w:r>
      <w:r>
        <w:t xml:space="preserve">where all metrics are within the bottom-right (model-dominated) quadrant of this space, emphasising that framework assumptions outweigh the ecological signal of species loss. Furthermore, the high inter-model Coefficient of Variation (CV) observed for some metrics (Table S4, Figure S4) highlights a sensitivity. The properties that are influenced by time are also those upon which the models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4445000"/>
                  <wp:effectExtent b="0" l="0" r="0" t="0"/>
                  <wp:docPr descr="" title="" id="26" name="Picture"/>
                  <a:graphic>
                    <a:graphicData uri="http://schemas.openxmlformats.org/drawingml/2006/picture">
                      <pic:pic>
                        <pic:nvPicPr>
                          <pic:cNvPr descr="figures/ANOVA_summary.png" id="27" name="Picture"/>
                          <pic:cNvPicPr>
                            <a:picLocks noChangeArrowheads="1" noChangeAspect="1"/>
                          </pic:cNvPicPr>
                        </pic:nvPicPr>
                        <pic:blipFill>
                          <a:blip r:embed="rId25"/>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Scatter plot illustrating the influence of model (x-axis) and time (y-axis) across network metrics. The dashed 1:1 diagonal represents the parity of influence; metrics below this line are governed primarily by model choice and those above by time. Bubble size indicates the interaction between model and time while colour indicates inter-model disagreement (Mean CV%); greener bubbles signify metrics where models show the highest divergence in their structural predictions.</w:t>
            </w:r>
          </w:p>
          <w:bookmarkEnd w:id="28"/>
        </w:tc>
      </w:tr>
    </w:tbl>
    <w:bookmarkEnd w:id="29"/>
    <w:bookmarkStart w:id="34" w:name="Xca278d7ce6c574c14aff7ca9b02b1cbc12fc1e8"/>
    <w:p>
      <w:pPr>
        <w:pStyle w:val="Heading3"/>
      </w:pPr>
      <w:r>
        <w:t xml:space="preserve">3.1.3 Inferred pairwise interactions vary widely among models</w:t>
      </w:r>
    </w:p>
    <w:p>
      <w:pPr>
        <w:pStyle w:val="FirstParagraph"/>
      </w:pPr>
      <w:r>
        <w:t xml:space="preserve">Despite some models showing similar global metrics, specific pairwise interactions often differed. Pairwise</w:t>
      </w:r>
      <w:r>
        <w:t xml:space="preserve"> </w:t>
      </w:r>
      <m:oMath>
        <m:sSub>
          <m:e>
            <m:r>
              <m:t>β</m:t>
            </m:r>
          </m:e>
          <m:sub>
            <m:r>
              <m:t>O</m:t>
            </m:r>
            <m:r>
              <m:t>S</m:t>
            </m:r>
          </m:sub>
        </m:sSub>
      </m:oMath>
      <w:r>
        <w:t xml:space="preserve"> </w:t>
      </w:r>
      <w:r>
        <w:t xml:space="preserve">revealed that certain model pairs shared very few links</w:t>
      </w:r>
      <w:r>
        <w:t xml:space="preserve">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models. PFIM showed intermediate overlap with theoretical models. These results demonstrate that agreement in global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w:t>
            </w:r>
            <w:r>
              <w:t xml:space="preserve"> </w:t>
            </w:r>
            <m:oMath>
              <m:sSub>
                <m:e>
                  <m:r>
                    <m:t>β</m:t>
                  </m:r>
                </m:e>
                <m:sub>
                  <m:r>
                    <m:t>O</m:t>
                  </m:r>
                  <m:r>
                    <m:t>S</m:t>
                  </m:r>
                </m:sub>
              </m:sSub>
            </m:oMath>
            <w:r>
              <w:t xml:space="preserve"> </w:t>
            </w:r>
            <w:r>
              <w:t xml:space="preserve">in species interactions among four ecological network models (ADBM, ATN, Body-size ratio, and PFIM). Each cell represents the mean turnover value between a pair of models, with darker colours indicating greater dissimilarity in inferred interactions. High turnover values indicate strong disagreement in pairwise interactions between models, whereas lower values indicate greater similarity. Note that we do not include the Random or Niche model as these models are species agnostic and thus we cannot truly evaluate differences in pairwise interactions</w:t>
            </w:r>
          </w:p>
          <w:bookmarkEnd w:id="33"/>
        </w:tc>
      </w:tr>
    </w:tbl>
    <w:bookmarkEnd w:id="34"/>
    <w:bookmarkEnd w:id="35"/>
    <w:bookmarkStart w:id="40" w:name="X89fa4ae4a79b9f155d568a7de94120882524285"/>
    <w:p>
      <w:pPr>
        <w:pStyle w:val="Heading2"/>
      </w:pPr>
      <w:r>
        <w:t xml:space="preserve">3.2 Model choice influences inferred extinction dynamics</w:t>
      </w:r>
    </w:p>
    <w:p>
      <w:pPr>
        <w:pStyle w:val="FirstParagraph"/>
      </w:pPr>
      <w:r>
        <w:t xml:space="preserve">To evaluate how model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0.13 across structural metrics), indicating weak but generally positive concordance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models (Kendall’s</w:t>
      </w:r>
      <w:r>
        <w:t xml:space="preserve"> </w:t>
      </w:r>
      <m:oMath>
        <m:r>
          <m:t>τ</m:t>
        </m:r>
      </m:oMath>
      <w:r>
        <w:t xml:space="preserve"> </w:t>
      </w:r>
      <w:r>
        <w:t xml:space="preserve">= 0.26–0.90), reflecting broadly comparable node-level removal sequences. In contrast, link-level outcomes were far more variable (Kendall’s</w:t>
      </w:r>
      <w:r>
        <w:t xml:space="preserve"> </w:t>
      </w:r>
      <m:oMath>
        <m:r>
          <m:t>τ</m:t>
        </m:r>
      </m:oMath>
      <w:r>
        <w:t xml:space="preserve"> </w:t>
      </w:r>
      <w:r>
        <w:t xml:space="preserve">=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w:t>
      </w:r>
    </w:p>
    <w:p>
      <w:pPr>
        <w:pStyle w:val="BodyText"/>
      </w:pPr>
      <w:r>
        <w:t xml:space="preserve">This assumption is particularly critical to evaluate within the context of deep-time paleoecological data. Because interactions in fossil ecosystems are never observed directly, they must explicitly be reconstructed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the overwhelming majority of variance in inferred food web topology, far outweighing the influence of temporal turnover across extinction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models reflects intrinsic differences in how interactions are organised rather than temporal shifts in community composition. Even after centring metrics within extinction phases to remove between-bin mean differences, model identity remained the dominant driver of structural variation. These results indicate that reconstruction approaches impose distinct</w:t>
      </w:r>
      <w:r>
        <w:t xml:space="preserve"> </w:t>
      </w:r>
      <w:r>
        <w:t xml:space="preserve">‘structural priors’</w:t>
      </w:r>
      <w:r>
        <w:t xml:space="preserve"> </w:t>
      </w:r>
      <w:r>
        <w:t xml:space="preserve">on ecological inference. These priors are not subtle; they propagate into emergent topology, species roles, and predictions of disturbance dynamics. Network structure is therefore not solely a property of ecological communities, but jointly determined by ecological data, modelling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Crucially, this dominance was not confined to multivariate summaries. Variance partitioning at the level of individual network properties revealed that model identity overwhelmingly structured specific ecological metrics, with partial η² values exceeding 0.9 for meso-scale motif composition and remaining consistently high across macro- and micro-scale properties. Thus the imprint of reconstruction framework is visible not only in aggregate topology but in the very structural features often interpreted as ecological signals — trophic height, competition, and variability in species roles. Notably, the few properties that exhibited detectable temporal sensitivity were also those with the greatest inter-model disagreement, indicating that temporal trends is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models encode different assumptions about constraint, optimisation, and topology, with these assumptions propagating into emergent metrics and dynamical predictions</w:t>
      </w:r>
      <w:r>
        <w:t xml:space="preserve"> </w:t>
      </w:r>
      <w:r>
        <w:t xml:space="preserve">(Allesina &amp; Tang, 2012; Dunne et al., 2002; Michalska-Smith &amp; Allesina, 2019; Poisot &amp; Gravel, 2014; Solé &amp; Montoya, 2001)</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Node-level extinction rankings were broadly consistent among model classes, whereas interaction-level outcomes and cascade trajectories were highly contingent on reconstruction approach. The predominance of reconstruction framework over temporal turnover (~80% vs. 6% variance explained) illustrates why coarse-grained patterns like node-level extinction rankings are more robust. Model-imposed structure dominates the overall topology, leaving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the use of detailed interaction structure to diagnose mechanisms of stability and collapse. Our findings suggest that while coarse-grained patterns might be shared across methods, fine-grained mechanistic narratives (such as the specific pathways of interaction loss) are much more precarious. This implies that had</w:t>
      </w:r>
      <w:r>
        <w:t xml:space="preserve"> </w:t>
      </w:r>
      <w:r>
        <w:t xml:space="preserve">Dunhill et al. (2024)</w:t>
      </w:r>
      <w:r>
        <w:t xml:space="preserve"> </w:t>
      </w:r>
      <w:r>
        <w:t xml:space="preserve">selected a different reconstruction method, the resulting inferences regarding the drivers of extinctions could have pointed to entirely different ecological mechanisms. If interaction-level cascade pathways vary substantially across equally plausible reconstructions, then mechanistic narratives derived from a single inferred topology may overstate their precision</w:t>
      </w:r>
      <w:r>
        <w:t xml:space="preserve"> </w:t>
      </w:r>
      <w:r>
        <w:t xml:space="preserve">(Allesina &amp; Tang, 2012; Curtsdotter et al., 2011; Dunne et al., 2002)</w:t>
      </w:r>
      <w:r>
        <w:t xml:space="preserve">. The apparent determinism of extinction cascades may therefore partly reflect reconstruction-imposed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model encodes a distinct set of ecological assumptions. The inferred topology and dynamics of a food web therefore reflect not only ecological data, but the theoretical assumptions embedded in the reconstruction framework. Disagreement among models does not imply that any single approach is ‘wrong’, but rather that different models capture different facets of ecological reality</w:t>
      </w:r>
      <w:r>
        <w:t xml:space="preserve"> </w:t>
      </w:r>
      <w:r>
        <w:t xml:space="preserve">(Petchey et al., 2011; Stouffer, 2019)</w:t>
      </w:r>
      <w:r>
        <w:t xml:space="preserve">. Disagreement among models does not imply that any single approach is</w:t>
      </w:r>
      <w:r>
        <w:t xml:space="preserve"> </w:t>
      </w:r>
      <w:r>
        <w:t xml:space="preserve">‘incorrect’</w:t>
      </w:r>
      <w:r>
        <w:t xml:space="preserve">. Rather, different models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model selection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(Gilman et al., 2010; Tylianakis et al., 2008)</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 et al., 2025; Marjakangas et al., 2025)</w:t>
      </w:r>
      <w:r>
        <w:t xml:space="preserve">. These studies frequently interpret variation in connectance, trophic height, interaction β-diversity, or robustness as indicators of ecological differentiation among regions or time intervals</w:t>
      </w:r>
      <w:r>
        <w:t xml:space="preserve"> </w:t>
      </w:r>
      <w:r>
        <w:t xml:space="preserve">(</w:t>
      </w:r>
      <w:r>
        <w:rPr>
          <w:i/>
          <w:iCs/>
        </w:rPr>
        <w:t xml:space="preserve">e.g.,</w:t>
      </w:r>
      <w:r>
        <w:t xml:space="preserve"> </w:t>
      </w:r>
      <w:r>
        <w:t xml:space="preserve">Pellissier et al., 2018; Trøjelsgaard &amp; Olesen, 2016)</w:t>
      </w:r>
      <w:r>
        <w:t xml:space="preserve">. Our results show that such differences can systematically alter inferred topology and disturbance dynamics even when species composition is held constant. This suggests that apparent differences in network structure across spatial or climate gradients may reflect variation in reconstruction as much as ecological process.</w:t>
      </w:r>
    </w:p>
    <w:p>
      <w:pPr>
        <w:pStyle w:val="BodyText"/>
      </w:pPr>
      <w:r>
        <w:t xml:space="preserve">Deep-time paleo-food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 et al. (2024)</w:t>
      </w:r>
      <w:r>
        <w:t xml:space="preserve">;</w:t>
      </w:r>
      <w:r>
        <w:t xml:space="preserve"> </w:t>
      </w:r>
      <w:r>
        <w:t xml:space="preserve">Karapunar et al. (2026)</w:t>
      </w:r>
      <w:r>
        <w:t xml:space="preserve">;</w:t>
      </w:r>
      <w:r>
        <w:t xml:space="preserve"> </w:t>
      </w:r>
      <w:r>
        <w:t xml:space="preserve">Smith et al. (2025)</w:t>
      </w:r>
      <w:r>
        <w:t xml:space="preserve">). Fossil networks therefore represent natural experiments for evaluating resilience, trophic reorganisation, and recovery following extreme environmental change. Studies of fossil food webs have demonstrated how network structure mediates extinction cascades and post-disturbance reassembly</w:t>
      </w:r>
      <w:r>
        <w:t xml:space="preserve"> </w:t>
      </w:r>
      <w:r>
        <w:t xml:space="preserve">(Dunne et al., 2008; Roopnarine, 2006)</w:t>
      </w:r>
      <w:r>
        <w:t xml:space="preserve">, providing empirical constraints on long-term ecological stability.</w:t>
      </w:r>
    </w:p>
    <w:p>
      <w:pPr>
        <w:pStyle w:val="BodyText"/>
      </w:pPr>
      <w:r>
        <w:t xml:space="preserve">However, our results emphasise that even in deep-time systems structural conclusions remain sensitive to modelling assumptions. Treating reconstructed networks as ensembles rather than single deterministic representations provides a more transparent framework for incorporating uncertainty into comparative macroecology and for using paleo data to inform expectations about modern climate-driven reorganisation.</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model class represents a distinct hypothesis about how interactions are constrained—by trait compatibility, energetic optimisation, or topological regularity</w:t>
      </w:r>
      <w:r>
        <w:t xml:space="preserve"> </w:t>
      </w:r>
      <w:r>
        <w:t xml:space="preserve">(Petchey et al.,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model based assumptions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(Banville et al., 2025; Baskerville et al., 2011; Elmasri et al., 2020; Perez-Lamarque et al., 2026; Poisot et al., 2016)</w:t>
      </w:r>
      <w:r>
        <w:t xml:space="preserve">.</w:t>
      </w:r>
    </w:p>
    <w:bookmarkEnd w:id="45"/>
    <w:bookmarkEnd w:id="46"/>
    <w:bookmarkStart w:id="47"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different reconstruciton approaches systematically influence inferred food-web topology, interaction identity, and disturbance dynamics. Some coarse-grained patterns, such as relative species vulnerability, are comparatively robust across representations. In contrast, fine-scale interaction structure and cascade pathways are highly contingent on modelling assumptions.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modelling assumptions as much as ecological processes. Network reconstruction should thus be treated as an explicit component of hypothesis specification in comparative macroecology and biogeography.</w:t>
      </w:r>
    </w:p>
    <w:p>
      <w:pPr>
        <w:pStyle w:val="BodyText"/>
      </w:pPr>
      <w:r>
        <w:t xml:space="preserve">No single model captures the full complexity of ecological organisation, but neither are alternative models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model reconstruction as fundamental determinants of inference is critical for advancing food web ecology from descriptive reconstruction toward rigorous comparative synthesis.</w:t>
      </w:r>
    </w:p>
    <w:bookmarkEnd w:id="47"/>
    <w:bookmarkStart w:id="168" w:name="references"/>
    <w:p>
      <w:pPr>
        <w:pStyle w:val="Heading1"/>
      </w:pPr>
      <w:r>
        <w:t xml:space="preserve">References</w:t>
      </w:r>
    </w:p>
    <w:bookmarkStart w:id="167" w:name="refs"/>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50">
        <w:r>
          <w:rPr>
            <w:rStyle w:val="Hyperlink"/>
          </w:rPr>
          <w:t xml:space="preserve">https://doi.org/10.1111/j.1475-4983.2006.00611.x</w:t>
        </w:r>
      </w:hyperlink>
    </w:p>
    <w:bookmarkEnd w:id="51"/>
    <w:bookmarkStart w:id="53"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2">
        <w:r>
          <w:rPr>
            <w:rStyle w:val="Hyperlink"/>
          </w:rPr>
          <w:t xml:space="preserve">https://doi.org/10.1111/ele.70161</w:t>
        </w:r>
      </w:hyperlink>
    </w:p>
    <w:bookmarkEnd w:id="53"/>
    <w:bookmarkStart w:id="55"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4">
        <w:r>
          <w:rPr>
            <w:rStyle w:val="Hyperlink"/>
          </w:rPr>
          <w:t xml:space="preserve">https://doi.org/10.1371/journal.pcbi.1002321</w:t>
        </w:r>
      </w:hyperlink>
    </w:p>
    <w:bookmarkEnd w:id="55"/>
    <w:bookmarkStart w:id="57" w:name="ref-Bezanson2017Julia"/>
    <w:p>
      <w:pPr>
        <w:pStyle w:val="Bibliography"/>
      </w:pPr>
      <w:r>
        <w:t xml:space="preserve">Bezanson, J., Edelman, A., Karpinski, S., &amp; Shah, V. B.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6">
        <w:r>
          <w:rPr>
            <w:rStyle w:val="Hyperlink"/>
          </w:rPr>
          <w:t xml:space="preserve">https://doi.org/10.1137/141000671</w:t>
        </w:r>
      </w:hyperlink>
    </w:p>
    <w:bookmarkEnd w:id="57"/>
    <w:bookmarkStart w:id="59"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8">
        <w:r>
          <w:rPr>
            <w:rStyle w:val="Hyperlink"/>
          </w:rPr>
          <w:t xml:space="preserve">https://doi.org/10.1890/0012-9658(2006)87[2411:CBRINF]2.0.CO;2</w:t>
        </w:r>
      </w:hyperlink>
    </w:p>
    <w:bookmarkEnd w:id="59"/>
    <w:bookmarkStart w:id="61" w:name="ref-carstensen2014"/>
    <w:p>
      <w:pPr>
        <w:pStyle w:val="Bibliography"/>
      </w:pPr>
      <w:r>
        <w:t xml:space="preserve">Carstensen, D. W., Sabatino, M., Trøjelsgaard, K., &amp; Morellato, L. P. C. (2014). Beta diversity of plant-pollinator networks and the spatial turnover of pairwise interactions.</w:t>
      </w:r>
      <w:r>
        <w:t xml:space="preserve"> </w:t>
      </w:r>
      <w:r>
        <w:rPr>
          <w:i/>
          <w:iCs/>
        </w:rPr>
        <w:t xml:space="preserve">PLOS ONE</w:t>
      </w:r>
      <w:r>
        <w:t xml:space="preserve">,</w:t>
      </w:r>
      <w:r>
        <w:t xml:space="preserve"> </w:t>
      </w:r>
      <w:r>
        <w:rPr>
          <w:i/>
          <w:iCs/>
        </w:rPr>
        <w:t xml:space="preserve">9</w:t>
      </w:r>
      <w:r>
        <w:t xml:space="preserve">(11), e112903.</w:t>
      </w:r>
      <w:r>
        <w:t xml:space="preserve"> </w:t>
      </w:r>
      <w:hyperlink r:id="rId60">
        <w:r>
          <w:rPr>
            <w:rStyle w:val="Hyperlink"/>
          </w:rPr>
          <w:t xml:space="preserve">https://doi.org/10.1371/journal.pone.0112903</w:t>
        </w:r>
      </w:hyperlink>
    </w:p>
    <w:bookmarkEnd w:id="61"/>
    <w:bookmarkStart w:id="63" w:name="ref-catchen2023"/>
    <w:p>
      <w:pPr>
        <w:pStyle w:val="Bibliography"/>
      </w:pPr>
      <w:r>
        <w:t xml:space="preserve">Catchen, M. D., Lin, M., Poisot, T., Rolnick, D., &amp; Gonzalez, A. (2023).</w:t>
      </w:r>
      <w:r>
        <w:t xml:space="preserve"> </w:t>
      </w:r>
      <w:r>
        <w:rPr>
          <w:i/>
          <w:iCs/>
        </w:rPr>
        <w:t xml:space="preserve">Improving ecological connectivity assessments with transfer learning and function approximation</w:t>
      </w:r>
      <w:r>
        <w:t xml:space="preserve">.</w:t>
      </w:r>
      <w:r>
        <w:t xml:space="preserve"> </w:t>
      </w:r>
      <w:hyperlink r:id="rId62">
        <w:r>
          <w:rPr>
            <w:rStyle w:val="Hyperlink"/>
          </w:rPr>
          <w:t xml:space="preserve">https://ecoevorxiv.org/repository/view/5348/</w:t>
        </w:r>
      </w:hyperlink>
    </w:p>
    <w:bookmarkEnd w:id="63"/>
    <w:bookmarkStart w:id="65"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4">
        <w:r>
          <w:rPr>
            <w:rStyle w:val="Hyperlink"/>
          </w:rPr>
          <w:t xml:space="preserve">https://doi.org/10.1016/j.baae.2011.09.008</w:t>
        </w:r>
      </w:hyperlink>
    </w:p>
    <w:bookmarkEnd w:id="65"/>
    <w:bookmarkStart w:id="67"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6">
        <w:r>
          <w:rPr>
            <w:rStyle w:val="Hyperlink"/>
          </w:rPr>
          <w:t xml:space="preserve">https://doi.org/10.1111/brv.12433</w:t>
        </w:r>
      </w:hyperlink>
    </w:p>
    <w:bookmarkEnd w:id="67"/>
    <w:bookmarkStart w:id="69"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8">
        <w:r>
          <w:rPr>
            <w:rStyle w:val="Hyperlink"/>
          </w:rPr>
          <w:t xml:space="preserve">https://doi.org/10.1038/s41467-024-53000-2</w:t>
        </w:r>
      </w:hyperlink>
    </w:p>
    <w:bookmarkEnd w:id="69"/>
    <w:bookmarkStart w:id="71"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70">
        <w:r>
          <w:rPr>
            <w:rStyle w:val="Hyperlink"/>
          </w:rPr>
          <w:t xml:space="preserve">https://doi.org/10.1098/rspb.2013.3280</w:t>
        </w:r>
      </w:hyperlink>
    </w:p>
    <w:bookmarkEnd w:id="71"/>
    <w:bookmarkStart w:id="73"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2">
        <w:r>
          <w:rPr>
            <w:rStyle w:val="Hyperlink"/>
          </w:rPr>
          <w:t xml:space="preserve">https://doi.org/10.1371/journal.pbio.0060102</w:t>
        </w:r>
      </w:hyperlink>
    </w:p>
    <w:bookmarkEnd w:id="73"/>
    <w:bookmarkStart w:id="74" w:name="ref-dunne2002"/>
    <w:p>
      <w:pPr>
        <w:pStyle w:val="Bibliography"/>
      </w:pPr>
      <w:r>
        <w:t xml:space="preserve">Dunne, J. A.,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4"/>
    <w:bookmarkStart w:id="76"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5">
        <w:r>
          <w:rPr>
            <w:rStyle w:val="Hyperlink"/>
          </w:rPr>
          <w:t xml:space="preserve">https://doi.org/10.1214/19-AOAS1296</w:t>
        </w:r>
      </w:hyperlink>
    </w:p>
    <w:bookmarkEnd w:id="76"/>
    <w:bookmarkStart w:id="78"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7">
        <w:r>
          <w:rPr>
            <w:rStyle w:val="Hyperlink"/>
          </w:rPr>
          <w:t xml:space="preserve">https://doi.org/10.5486/pmd.1959.6.3-4.12</w:t>
        </w:r>
      </w:hyperlink>
    </w:p>
    <w:bookmarkEnd w:id="78"/>
    <w:bookmarkStart w:id="80"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9">
        <w:r>
          <w:rPr>
            <w:rStyle w:val="Hyperlink"/>
          </w:rPr>
          <w:t xml:space="preserve">https://doi.org/10.1126/science.abn4012</w:t>
        </w:r>
      </w:hyperlink>
    </w:p>
    <w:bookmarkEnd w:id="80"/>
    <w:bookmarkStart w:id="82"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81">
        <w:r>
          <w:rPr>
            <w:rStyle w:val="Hyperlink"/>
          </w:rPr>
          <w:t xml:space="preserve">https://doi.org/10.1111/oik.02256</w:t>
        </w:r>
      </w:hyperlink>
    </w:p>
    <w:bookmarkEnd w:id="82"/>
    <w:bookmarkStart w:id="84"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83">
        <w:r>
          <w:rPr>
            <w:rStyle w:val="Hyperlink"/>
          </w:rPr>
          <w:t xml:space="preserve">https://doi.org/10.1111/2041-210X.14212</w:t>
        </w:r>
      </w:hyperlink>
    </w:p>
    <w:bookmarkEnd w:id="84"/>
    <w:bookmarkStart w:id="86"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5">
        <w:r>
          <w:rPr>
            <w:rStyle w:val="Hyperlink"/>
          </w:rPr>
          <w:t xml:space="preserve">https://doi.org/10.1038/s44358-025-00056-7</w:t>
        </w:r>
      </w:hyperlink>
    </w:p>
    <w:bookmarkEnd w:id="86"/>
    <w:bookmarkStart w:id="88" w:name="ref-gilman2010"/>
    <w:p>
      <w:pPr>
        <w:pStyle w:val="Bibliography"/>
      </w:pPr>
      <w:r>
        <w:t xml:space="preserve">Gilman, S. E., Urban, M. C., Tewksbury, J., Gilchrist, G. W., &amp; Holt, R. D. (2010). A framework for community interactions under climate change.</w:t>
      </w:r>
      <w:r>
        <w:t xml:space="preserve"> </w:t>
      </w:r>
      <w:r>
        <w:rPr>
          <w:i/>
          <w:iCs/>
        </w:rPr>
        <w:t xml:space="preserve">Trends in Ecology &amp; Evolution</w:t>
      </w:r>
      <w:r>
        <w:t xml:space="preserve">,</w:t>
      </w:r>
      <w:r>
        <w:t xml:space="preserve"> </w:t>
      </w:r>
      <w:r>
        <w:rPr>
          <w:i/>
          <w:iCs/>
        </w:rPr>
        <w:t xml:space="preserve">25</w:t>
      </w:r>
      <w:r>
        <w:t xml:space="preserve">(6), 325–331.</w:t>
      </w:r>
      <w:r>
        <w:t xml:space="preserve"> </w:t>
      </w:r>
      <w:hyperlink r:id="rId87">
        <w:r>
          <w:rPr>
            <w:rStyle w:val="Hyperlink"/>
          </w:rPr>
          <w:t xml:space="preserve">https://doi.org/10.1016/j.tree.2010.03.002</w:t>
        </w:r>
      </w:hyperlink>
    </w:p>
    <w:bookmarkEnd w:id="88"/>
    <w:bookmarkStart w:id="90"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9">
        <w:r>
          <w:rPr>
            <w:rStyle w:val="Hyperlink"/>
          </w:rPr>
          <w:t xml:space="preserve">https://doi.org/10.1111/ecog.04006</w:t>
        </w:r>
      </w:hyperlink>
    </w:p>
    <w:bookmarkEnd w:id="90"/>
    <w:bookmarkStart w:id="92"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91">
        <w:r>
          <w:rPr>
            <w:rStyle w:val="Hyperlink"/>
          </w:rPr>
          <w:t xml:space="preserve">https://doi.org/10.1146/annurev-ecolsys-012220-120819</w:t>
        </w:r>
      </w:hyperlink>
    </w:p>
    <w:bookmarkEnd w:id="92"/>
    <w:bookmarkStart w:id="94"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93">
        <w:r>
          <w:rPr>
            <w:rStyle w:val="Hyperlink"/>
          </w:rPr>
          <w:t xml:space="preserve">https://doi.org/10.1111/gcb.70061</w:t>
        </w:r>
      </w:hyperlink>
    </w:p>
    <w:bookmarkEnd w:id="94"/>
    <w:bookmarkStart w:id="96"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95">
        <w:r>
          <w:rPr>
            <w:rStyle w:val="Hyperlink"/>
          </w:rPr>
          <w:t xml:space="preserve">https://doi.org/10.1111/1365-2435.12763</w:t>
        </w:r>
      </w:hyperlink>
    </w:p>
    <w:bookmarkEnd w:id="96"/>
    <w:bookmarkStart w:id="98" w:name="ref-karapunar2026"/>
    <w:p>
      <w:pPr>
        <w:pStyle w:val="Bibliography"/>
      </w:pPr>
      <w:r>
        <w:t xml:space="preserve">Karapunar, B., Strydom, T., Beckerman, A. P., Ridgwell, A., Wignall, P. B., Dunne, J. A., Little, C. T. S., Hull, P., Pimiento, C., &amp; Dunhill, A. (2026). No global collapse of food webs across the permian-triassic mass extinction.</w:t>
      </w:r>
      <w:r>
        <w:t xml:space="preserve"> </w:t>
      </w:r>
      <w:r>
        <w:rPr>
          <w:i/>
          <w:iCs/>
        </w:rPr>
        <w:t xml:space="preserve">BioRxiv</w:t>
      </w:r>
      <w:r>
        <w:t xml:space="preserve">.</w:t>
      </w:r>
      <w:r>
        <w:t xml:space="preserve"> </w:t>
      </w:r>
      <w:hyperlink r:id="rId97">
        <w:r>
          <w:rPr>
            <w:rStyle w:val="Hyperlink"/>
          </w:rPr>
          <w:t xml:space="preserve">https://doi.org/10.64898/2026.02.24.707709</w:t>
        </w:r>
      </w:hyperlink>
    </w:p>
    <w:bookmarkEnd w:id="98"/>
    <w:bookmarkStart w:id="100" w:name="ref-kemp2024"/>
    <w:p>
      <w:pPr>
        <w:pStyle w:val="Bibliography"/>
      </w:pPr>
      <w:r>
        <w:t xml:space="preserve">Kemp, D. B., Han, Z., Hu, X., Chen, W., Jin, S., Izumi, K., Yan, Q., Baranyi, V., Jin, X., Corso, J. D., &amp; Ge, Y. (2024). Global hydroclimate perturbations during the toarcian oceanic anoxic event.</w:t>
      </w:r>
      <w:r>
        <w:t xml:space="preserve"> </w:t>
      </w:r>
      <w:r>
        <w:rPr>
          <w:i/>
          <w:iCs/>
        </w:rPr>
        <w:t xml:space="preserve">Earth-Science Reviews</w:t>
      </w:r>
      <w:r>
        <w:t xml:space="preserve">,</w:t>
      </w:r>
      <w:r>
        <w:t xml:space="preserve"> </w:t>
      </w:r>
      <w:r>
        <w:rPr>
          <w:i/>
          <w:iCs/>
        </w:rPr>
        <w:t xml:space="preserve">258</w:t>
      </w:r>
      <w:r>
        <w:t xml:space="preserve">, 104946.</w:t>
      </w:r>
      <w:r>
        <w:t xml:space="preserve"> </w:t>
      </w:r>
      <w:hyperlink r:id="rId99">
        <w:r>
          <w:rPr>
            <w:rStyle w:val="Hyperlink"/>
          </w:rPr>
          <w:t xml:space="preserve">https://doi.org/10.1016/j.earscirev.2024.104946</w:t>
        </w:r>
      </w:hyperlink>
    </w:p>
    <w:bookmarkEnd w:id="100"/>
    <w:bookmarkStart w:id="102" w:name="ref-marjakangas2025"/>
    <w:p>
      <w:pPr>
        <w:pStyle w:val="Bibliography"/>
      </w:pPr>
      <w:r>
        <w:t xml:space="preserve">Marjakangas, E.-L., Dalsgaard, B., &amp; Ordonez, A. (2025). Fundamental interaction niches: Towards a functional understanding of ecological networks’ resilience.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101">
        <w:r>
          <w:rPr>
            <w:rStyle w:val="Hyperlink"/>
          </w:rPr>
          <w:t xml:space="preserve">https://doi.org/10.1111/ele.70146</w:t>
        </w:r>
      </w:hyperlink>
    </w:p>
    <w:bookmarkEnd w:id="102"/>
    <w:bookmarkStart w:id="104"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103">
        <w:r>
          <w:rPr>
            <w:rStyle w:val="Hyperlink"/>
          </w:rPr>
          <w:t xml:space="preserve">https://doi.org/10.1371/journal.pcbi.1007076</w:t>
        </w:r>
      </w:hyperlink>
    </w:p>
    <w:bookmarkEnd w:id="104"/>
    <w:bookmarkStart w:id="106"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105">
        <w:r>
          <w:rPr>
            <w:rStyle w:val="Hyperlink"/>
          </w:rPr>
          <w:t xml:space="preserve">https://doi.org/10.1126/science.298.5594.824</w:t>
        </w:r>
      </w:hyperlink>
    </w:p>
    <w:bookmarkEnd w:id="106"/>
    <w:bookmarkStart w:id="108"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107">
        <w:r>
          <w:rPr>
            <w:rStyle w:val="Hyperlink"/>
          </w:rPr>
          <w:t xml:space="preserve">https://doi.org/10.1016/j.tree.2015.03.014</w:t>
        </w:r>
      </w:hyperlink>
    </w:p>
    <w:bookmarkEnd w:id="108"/>
    <w:bookmarkStart w:id="110" w:name="ref-pellissier2018"/>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109">
        <w:r>
          <w:rPr>
            <w:rStyle w:val="Hyperlink"/>
          </w:rPr>
          <w:t xml:space="preserve">https://doi.org/10.1111/brv.12366</w:t>
        </w:r>
      </w:hyperlink>
    </w:p>
    <w:bookmarkEnd w:id="110"/>
    <w:bookmarkStart w:id="112"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111">
        <w:r>
          <w:rPr>
            <w:rStyle w:val="Hyperlink"/>
          </w:rPr>
          <w:t xml:space="preserve">https://doi.org/10.1101/2025.10.08.681159</w:t>
        </w:r>
      </w:hyperlink>
    </w:p>
    <w:bookmarkEnd w:id="112"/>
    <w:bookmarkStart w:id="114"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13">
        <w:r>
          <w:rPr>
            <w:rStyle w:val="Hyperlink"/>
          </w:rPr>
          <w:t xml:space="preserve">https://doi.org/10.1073/pnas.0710672105</w:t>
        </w:r>
      </w:hyperlink>
    </w:p>
    <w:bookmarkEnd w:id="114"/>
    <w:bookmarkStart w:id="116"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15">
        <w:r>
          <w:rPr>
            <w:rStyle w:val="Hyperlink"/>
          </w:rPr>
          <w:t xml:space="preserve">https://doi.org/10.1016/j.jtbi.2011.03.019</w:t>
        </w:r>
      </w:hyperlink>
    </w:p>
    <w:bookmarkEnd w:id="116"/>
    <w:bookmarkStart w:id="118"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117">
        <w:r>
          <w:rPr>
            <w:rStyle w:val="Hyperlink"/>
          </w:rPr>
          <w:t xml:space="preserve">https://doi.org/10.1111/2041-210X.14061</w:t>
        </w:r>
      </w:hyperlink>
    </w:p>
    <w:bookmarkEnd w:id="118"/>
    <w:bookmarkStart w:id="120"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19">
        <w:r>
          <w:rPr>
            <w:rStyle w:val="Hyperlink"/>
          </w:rPr>
          <w:t xml:space="preserve">https://doi.org/10.1111/jbi.14127</w:t>
        </w:r>
      </w:hyperlink>
    </w:p>
    <w:bookmarkEnd w:id="120"/>
    <w:bookmarkStart w:id="122"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21">
        <w:r>
          <w:rPr>
            <w:rStyle w:val="Hyperlink"/>
          </w:rPr>
          <w:t xml:space="preserve">https://doi.org/10.1111/ele.12002</w:t>
        </w:r>
      </w:hyperlink>
    </w:p>
    <w:bookmarkEnd w:id="122"/>
    <w:bookmarkStart w:id="124"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23">
        <w:r>
          <w:rPr>
            <w:rStyle w:val="Hyperlink"/>
          </w:rPr>
          <w:t xml:space="preserve">https://doi.org/10</w:t>
        </w:r>
      </w:hyperlink>
    </w:p>
    <w:bookmarkEnd w:id="124"/>
    <w:bookmarkStart w:id="126"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25">
        <w:r>
          <w:rPr>
            <w:rStyle w:val="Hyperlink"/>
          </w:rPr>
          <w:t xml:space="preserve">https://doi.org/10.7717/peerj.251</w:t>
        </w:r>
      </w:hyperlink>
    </w:p>
    <w:bookmarkEnd w:id="126"/>
    <w:bookmarkStart w:id="128"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27">
        <w:r>
          <w:rPr>
            <w:rStyle w:val="Hyperlink"/>
          </w:rPr>
          <w:t xml:space="preserve">https://doi.org/10.1111/oik.01719</w:t>
        </w:r>
      </w:hyperlink>
    </w:p>
    <w:bookmarkEnd w:id="128"/>
    <w:bookmarkStart w:id="130"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129">
        <w:r>
          <w:rPr>
            <w:rStyle w:val="Hyperlink"/>
          </w:rPr>
          <w:t xml:space="preserve">https://www.R-project.org/</w:t>
        </w:r>
      </w:hyperlink>
    </w:p>
    <w:bookmarkEnd w:id="130"/>
    <w:bookmarkStart w:id="132"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31">
        <w:r>
          <w:rPr>
            <w:rStyle w:val="Hyperlink"/>
          </w:rPr>
          <w:t xml:space="preserve">https://doi.org/10.1086/653667</w:t>
        </w:r>
      </w:hyperlink>
    </w:p>
    <w:bookmarkEnd w:id="132"/>
    <w:bookmarkStart w:id="134"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33">
        <w:r>
          <w:rPr>
            <w:rStyle w:val="Hyperlink"/>
          </w:rPr>
          <w:t xml:space="preserve">https://www.jstor.org/stable/4096814</w:t>
        </w:r>
      </w:hyperlink>
    </w:p>
    <w:bookmarkEnd w:id="134"/>
    <w:bookmarkStart w:id="136"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35">
        <w:r>
          <w:rPr>
            <w:rStyle w:val="Hyperlink"/>
          </w:rPr>
          <w:t xml:space="preserve">https://doi.org/10.1016/j.ecoinf.2025.103183</w:t>
        </w:r>
      </w:hyperlink>
    </w:p>
    <w:bookmarkEnd w:id="136"/>
    <w:bookmarkStart w:id="138"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37">
        <w:r>
          <w:rPr>
            <w:rStyle w:val="Hyperlink"/>
          </w:rPr>
          <w:t xml:space="preserve">https://doi.org/10.1101/2024.01.30.578036</w:t>
        </w:r>
      </w:hyperlink>
    </w:p>
    <w:bookmarkEnd w:id="138"/>
    <w:bookmarkStart w:id="140" w:name="ref-smith2025"/>
    <w:p>
      <w:pPr>
        <w:pStyle w:val="Bibliography"/>
      </w:pPr>
      <w:r>
        <w:t xml:space="preserve">Smith, Q. A., Tomé, C. P., Gearty, W., Smith, F. A., Shizuka, D., &amp; Lyons, S. K. (2025). Consequences of the megafauna extinction: Changes in food web networks on the edwards plateau across the pleistocene</w:t>
      </w:r>
      <w:r>
        <w:t xml:space="preserve">holocene transition.</w:t>
      </w:r>
      <w:r>
        <w:t xml:space="preserve"> </w:t>
      </w:r>
      <w:r>
        <w:rPr>
          <w:i/>
          <w:iCs/>
        </w:rPr>
        <w:t xml:space="preserve">Global Ecology and Biogeography</w:t>
      </w:r>
      <w:r>
        <w:t xml:space="preserve">,</w:t>
      </w:r>
      <w:r>
        <w:t xml:space="preserve"> </w:t>
      </w:r>
      <w:r>
        <w:rPr>
          <w:i/>
          <w:iCs/>
        </w:rPr>
        <w:t xml:space="preserve">34</w:t>
      </w:r>
      <w:r>
        <w:t xml:space="preserve">(12), e70113.</w:t>
      </w:r>
      <w:r>
        <w:t xml:space="preserve"> </w:t>
      </w:r>
      <w:hyperlink r:id="rId139">
        <w:r>
          <w:rPr>
            <w:rStyle w:val="Hyperlink"/>
          </w:rPr>
          <w:t xml:space="preserve">https://doi.org/10.1111/geb.70113</w:t>
        </w:r>
      </w:hyperlink>
    </w:p>
    <w:bookmarkEnd w:id="140"/>
    <w:bookmarkStart w:id="142"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41">
        <w:r>
          <w:rPr>
            <w:rStyle w:val="Hyperlink"/>
          </w:rPr>
          <w:t xml:space="preserve">https://doi.org/10.1098/rspb.2001.1767</w:t>
        </w:r>
      </w:hyperlink>
    </w:p>
    <w:bookmarkEnd w:id="142"/>
    <w:bookmarkStart w:id="144"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43">
        <w:r>
          <w:rPr>
            <w:rStyle w:val="Hyperlink"/>
          </w:rPr>
          <w:t xml:space="preserve">https://doi.org/10.1111/1365-2656.12949</w:t>
        </w:r>
      </w:hyperlink>
    </w:p>
    <w:bookmarkEnd w:id="144"/>
    <w:bookmarkStart w:id="146"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45">
        <w:r>
          <w:rPr>
            <w:rStyle w:val="Hyperlink"/>
          </w:rPr>
          <w:t xml:space="preserve">https://doi.org/10.1098/rspb.2007.0571</w:t>
        </w:r>
      </w:hyperlink>
    </w:p>
    <w:bookmarkEnd w:id="146"/>
    <w:bookmarkStart w:id="148"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47">
        <w:r>
          <w:rPr>
            <w:rStyle w:val="Hyperlink"/>
          </w:rPr>
          <w:t xml:space="preserve">https://doi.org/10.1098/rstb.2021.0063</w:t>
        </w:r>
      </w:hyperlink>
    </w:p>
    <w:bookmarkEnd w:id="148"/>
    <w:bookmarkStart w:id="150"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49">
        <w:r>
          <w:rPr>
            <w:rStyle w:val="Hyperlink"/>
          </w:rPr>
          <w:t xml:space="preserve">https://doi.org/10.32942/X2JW8K</w:t>
        </w:r>
      </w:hyperlink>
    </w:p>
    <w:bookmarkEnd w:id="150"/>
    <w:bookmarkStart w:id="152"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51">
        <w:r>
          <w:rPr>
            <w:rStyle w:val="Hyperlink"/>
          </w:rPr>
          <w:t xml:space="preserve">https://doi.org/10.1111/jbi.14734</w:t>
        </w:r>
      </w:hyperlink>
    </w:p>
    <w:bookmarkEnd w:id="152"/>
    <w:bookmarkStart w:id="154"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53">
        <w:r>
          <w:rPr>
            <w:rStyle w:val="Hyperlink"/>
          </w:rPr>
          <w:t xml:space="preserve">https://doi.org/10.1111/1365-2435.12710</w:t>
        </w:r>
      </w:hyperlink>
    </w:p>
    <w:bookmarkEnd w:id="154"/>
    <w:bookmarkStart w:id="156" w:name="ref-tylianakis2008"/>
    <w:p>
      <w:pPr>
        <w:pStyle w:val="Bibliography"/>
      </w:pPr>
      <w:r>
        <w:t xml:space="preserve">Tylianakis, J. M., Didham, R. K., Bascompte, J., &amp; Wardle, D. A. (2008). Global change and species interactions in terrestrial ecosystems.</w:t>
      </w:r>
      <w:r>
        <w:t xml:space="preserve"> </w:t>
      </w:r>
      <w:r>
        <w:rPr>
          <w:i/>
          <w:iCs/>
        </w:rPr>
        <w:t xml:space="preserve">Ecology Letters</w:t>
      </w:r>
      <w:r>
        <w:t xml:space="preserve">,</w:t>
      </w:r>
      <w:r>
        <w:t xml:space="preserve"> </w:t>
      </w:r>
      <w:r>
        <w:rPr>
          <w:i/>
          <w:iCs/>
        </w:rPr>
        <w:t xml:space="preserve">11</w:t>
      </w:r>
      <w:r>
        <w:t xml:space="preserve">(12), 1351–1363.</w:t>
      </w:r>
      <w:r>
        <w:t xml:space="preserve"> </w:t>
      </w:r>
      <w:hyperlink r:id="rId155">
        <w:r>
          <w:rPr>
            <w:rStyle w:val="Hyperlink"/>
          </w:rPr>
          <w:t xml:space="preserve">https://doi.org/10.1111/j.1461-0248.2008.01250.x</w:t>
        </w:r>
      </w:hyperlink>
    </w:p>
    <w:bookmarkEnd w:id="156"/>
    <w:bookmarkStart w:id="158"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57">
        <w:r>
          <w:rPr>
            <w:rStyle w:val="Hyperlink"/>
          </w:rPr>
          <w:t xml:space="preserve">https://doi.org/10.1146/annurev-ecolsys-110316-022821</w:t>
        </w:r>
      </w:hyperlink>
    </w:p>
    <w:bookmarkEnd w:id="158"/>
    <w:bookmarkStart w:id="160"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59">
        <w:r>
          <w:rPr>
            <w:rStyle w:val="Hyperlink"/>
          </w:rPr>
          <w:t xml:space="preserve">https://doi.org/10.1140/epjb/e2004-00122-1</w:t>
        </w:r>
      </w:hyperlink>
    </w:p>
    <w:bookmarkEnd w:id="160"/>
    <w:bookmarkStart w:id="162"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61">
        <w:r>
          <w:rPr>
            <w:rStyle w:val="Hyperlink"/>
          </w:rPr>
          <w:t xml:space="preserve">https://doi.org/10.1038/35004572</w:t>
        </w:r>
      </w:hyperlink>
    </w:p>
    <w:bookmarkEnd w:id="162"/>
    <w:bookmarkStart w:id="164"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63">
        <w:r>
          <w:rPr>
            <w:rStyle w:val="Hyperlink"/>
          </w:rPr>
          <w:t xml:space="preserve">https://doi.org/10.1111/j.1365-2656.2008.01362.x</w:t>
        </w:r>
      </w:hyperlink>
    </w:p>
    <w:bookmarkEnd w:id="164"/>
    <w:bookmarkStart w:id="166"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65">
        <w:r>
          <w:rPr>
            <w:rStyle w:val="Hyperlink"/>
          </w:rPr>
          <w:t xml:space="preserve">https://doi.org/10.1073/pnas.1408471111</w:t>
        </w:r>
      </w:hyperlink>
    </w:p>
    <w:bookmarkEnd w:id="166"/>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hyperlink" Id="rId123"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9" Target="https://doi.org/10.1016/j.earscirev.2024.104946" TargetMode="External" /><Relationship Type="http://schemas.openxmlformats.org/officeDocument/2006/relationships/hyperlink" Id="rId135" Target="https://doi.org/10.1016/j.ecoinf.2025.103183" TargetMode="External" /><Relationship Type="http://schemas.openxmlformats.org/officeDocument/2006/relationships/hyperlink" Id="rId115"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7" Target="https://doi.org/10.1016/j.tree.2015.03.014" TargetMode="External" /><Relationship Type="http://schemas.openxmlformats.org/officeDocument/2006/relationships/hyperlink" Id="rId161"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3" Target="https://doi.org/10.1073/pnas.0710672105" TargetMode="External" /><Relationship Type="http://schemas.openxmlformats.org/officeDocument/2006/relationships/hyperlink" Id="rId165" Target="https://doi.org/10.1073/pnas.1408471111" TargetMode="External" /><Relationship Type="http://schemas.openxmlformats.org/officeDocument/2006/relationships/hyperlink" Id="rId131" Target="https://doi.org/10.1086/653667" TargetMode="External" /><Relationship Type="http://schemas.openxmlformats.org/officeDocument/2006/relationships/hyperlink" Id="rId141" Target="https://doi.org/10.1098/rspb.2001.1767" TargetMode="External" /><Relationship Type="http://schemas.openxmlformats.org/officeDocument/2006/relationships/hyperlink" Id="rId145"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7" Target="https://doi.org/10.1098/rstb.2021.0063" TargetMode="External" /><Relationship Type="http://schemas.openxmlformats.org/officeDocument/2006/relationships/hyperlink" Id="rId137" Target="https://doi.org/10.1101/2024.01.30.578036" TargetMode="External" /><Relationship Type="http://schemas.openxmlformats.org/officeDocument/2006/relationships/hyperlink" Id="rId111" Target="https://doi.org/10.1101/2025.10.08.681159" TargetMode="External" /><Relationship Type="http://schemas.openxmlformats.org/officeDocument/2006/relationships/hyperlink" Id="rId153"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3" Target="https://doi.org/10.1111/1365-2656.12949" TargetMode="External" /><Relationship Type="http://schemas.openxmlformats.org/officeDocument/2006/relationships/hyperlink" Id="rId117"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9"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21" Target="https://doi.org/10.1111/ele.12002" TargetMode="External" /><Relationship Type="http://schemas.openxmlformats.org/officeDocument/2006/relationships/hyperlink" Id="rId101"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9" Target="https://doi.org/10.1111/geb.70113" TargetMode="External" /><Relationship Type="http://schemas.openxmlformats.org/officeDocument/2006/relationships/hyperlink" Id="rId163" Target="https://doi.org/10.1111/j.1365-2656.2008.01362.x" TargetMode="External" /><Relationship Type="http://schemas.openxmlformats.org/officeDocument/2006/relationships/hyperlink" Id="rId155"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9" Target="https://doi.org/10.1111/jbi.14127" TargetMode="External" /><Relationship Type="http://schemas.openxmlformats.org/officeDocument/2006/relationships/hyperlink" Id="rId151" Target="https://doi.org/10.1111/jbi.14734" TargetMode="External" /><Relationship Type="http://schemas.openxmlformats.org/officeDocument/2006/relationships/hyperlink" Id="rId127"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5"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9"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7"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3"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9"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97" Target="https://doi.org/10.64898/2026.02.24.707709" TargetMode="External" /><Relationship Type="http://schemas.openxmlformats.org/officeDocument/2006/relationships/hyperlink" Id="rId125"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9" Target="https://www.R-project.org/" TargetMode="External" /><Relationship Type="http://schemas.openxmlformats.org/officeDocument/2006/relationships/hyperlink" Id="rId133"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23"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9" Target="https://doi.org/10.1016/j.earscirev.2024.104946" TargetMode="External" /><Relationship Type="http://schemas.openxmlformats.org/officeDocument/2006/relationships/hyperlink" Id="rId135" Target="https://doi.org/10.1016/j.ecoinf.2025.103183" TargetMode="External" /><Relationship Type="http://schemas.openxmlformats.org/officeDocument/2006/relationships/hyperlink" Id="rId115"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7" Target="https://doi.org/10.1016/j.tree.2015.03.014" TargetMode="External" /><Relationship Type="http://schemas.openxmlformats.org/officeDocument/2006/relationships/hyperlink" Id="rId161"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3" Target="https://doi.org/10.1073/pnas.0710672105" TargetMode="External" /><Relationship Type="http://schemas.openxmlformats.org/officeDocument/2006/relationships/hyperlink" Id="rId165" Target="https://doi.org/10.1073/pnas.1408471111" TargetMode="External" /><Relationship Type="http://schemas.openxmlformats.org/officeDocument/2006/relationships/hyperlink" Id="rId131" Target="https://doi.org/10.1086/653667" TargetMode="External" /><Relationship Type="http://schemas.openxmlformats.org/officeDocument/2006/relationships/hyperlink" Id="rId141" Target="https://doi.org/10.1098/rspb.2001.1767" TargetMode="External" /><Relationship Type="http://schemas.openxmlformats.org/officeDocument/2006/relationships/hyperlink" Id="rId145"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7" Target="https://doi.org/10.1098/rstb.2021.0063" TargetMode="External" /><Relationship Type="http://schemas.openxmlformats.org/officeDocument/2006/relationships/hyperlink" Id="rId137" Target="https://doi.org/10.1101/2024.01.30.578036" TargetMode="External" /><Relationship Type="http://schemas.openxmlformats.org/officeDocument/2006/relationships/hyperlink" Id="rId111" Target="https://doi.org/10.1101/2025.10.08.681159" TargetMode="External" /><Relationship Type="http://schemas.openxmlformats.org/officeDocument/2006/relationships/hyperlink" Id="rId153"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3" Target="https://doi.org/10.1111/1365-2656.12949" TargetMode="External" /><Relationship Type="http://schemas.openxmlformats.org/officeDocument/2006/relationships/hyperlink" Id="rId117"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9"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21" Target="https://doi.org/10.1111/ele.12002" TargetMode="External" /><Relationship Type="http://schemas.openxmlformats.org/officeDocument/2006/relationships/hyperlink" Id="rId101"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9" Target="https://doi.org/10.1111/geb.70113" TargetMode="External" /><Relationship Type="http://schemas.openxmlformats.org/officeDocument/2006/relationships/hyperlink" Id="rId163" Target="https://doi.org/10.1111/j.1365-2656.2008.01362.x" TargetMode="External" /><Relationship Type="http://schemas.openxmlformats.org/officeDocument/2006/relationships/hyperlink" Id="rId155"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9" Target="https://doi.org/10.1111/jbi.14127" TargetMode="External" /><Relationship Type="http://schemas.openxmlformats.org/officeDocument/2006/relationships/hyperlink" Id="rId151" Target="https://doi.org/10.1111/jbi.14734" TargetMode="External" /><Relationship Type="http://schemas.openxmlformats.org/officeDocument/2006/relationships/hyperlink" Id="rId127"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5"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9"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7"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3"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9"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97" Target="https://doi.org/10.64898/2026.02.24.707709" TargetMode="External" /><Relationship Type="http://schemas.openxmlformats.org/officeDocument/2006/relationships/hyperlink" Id="rId125"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9" Target="https://www.R-project.org/" TargetMode="External" /><Relationship Type="http://schemas.openxmlformats.org/officeDocument/2006/relationships/hyperlink" Id="rId133"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structure conditions ecological inference in food web reconstruction</dc:title>
  <dc:creator>Tanya Strydom; Baran Karapunar; Andrew P. Beckerman; Alexander Dunhill</dc:creator>
  <cp:keywords>Ecological networks, Biotic interactions, Community assembly, Environmental gradients, Interaction turnover, Trophic organisation, Ecosystem resilience, Macroecology</cp:keywords>
  <dcterms:created xsi:type="dcterms:W3CDTF">2026-02-27T06:16:23Z</dcterms:created>
  <dcterms:modified xsi:type="dcterms:W3CDTF">2026-02-27T06:16:23Z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dynamics.LocationCleveland Basin, United Kingdom.Time periodToarcian extinction event (Early Jurassic, late Pliensbachian–late Toarcian, ~183 Ma).Major taxa studiedMarine animal communities.MethodsWe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models.ResultsReconstruction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level.Main conclusionsNetwork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2026-02-27</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