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Override PartName="/word/media/rId3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Jennifer A. Dunne</w:t>
      </w:r>
    </w:p>
    <w:p>
      <w:pPr>
        <w:pStyle w:val="Author"/>
      </w:pPr>
      <w:r>
        <w:t xml:space="preserve">Andy Ridgwell</w:t>
      </w:r>
    </w:p>
    <w:p>
      <w:pPr>
        <w:pStyle w:val="Author"/>
      </w:pPr>
      <w:r>
        <w:t xml:space="preserve">Pincelli Hull</w:t>
      </w:r>
    </w:p>
    <w:p>
      <w:pPr>
        <w:pStyle w:val="Author"/>
      </w:pPr>
      <w:r>
        <w:t xml:space="preserve">Crispin T.S. Little</w:t>
      </w:r>
    </w:p>
    <w:p>
      <w:pPr>
        <w:pStyle w:val="Author"/>
      </w:pPr>
      <w:r>
        <w:t xml:space="preserve">Catalina Pimiento</w:t>
      </w:r>
    </w:p>
    <w:p>
      <w:pPr>
        <w:pStyle w:val="Author"/>
      </w:pPr>
      <w:r>
        <w:t xml:space="preserve">Paul B. Wignall</w:t>
      </w:r>
    </w:p>
    <w:p>
      <w:pPr>
        <w:pStyle w:val="Author"/>
      </w:pPr>
      <w:r>
        <w:t xml:space="preserve">Andrew P. Beckerman</w:t>
      </w:r>
    </w:p>
    <w:p>
      <w:pPr>
        <w:pStyle w:val="Author"/>
      </w:pPr>
      <w:r>
        <w:t xml:space="preserve">Alexander Dunhill</w:t>
      </w:r>
    </w:p>
    <w:p>
      <w:pPr>
        <w:pStyle w:val="Date"/>
      </w:pPr>
      <w:r>
        <w:t xml:space="preserve">2026-03-18</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Karapunar et al., 2026; Roopnarine, 2006)</w:t>
      </w:r>
      <w:r>
        <w:t xml:space="preserve">, rendering modelling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models, we can determine if</w:t>
      </w:r>
      <w:r>
        <w:t xml:space="preserve"> </w:t>
      </w:r>
      <w:r>
        <w:t xml:space="preserve">Dunhill et al. (2024)</w:t>
      </w:r>
      <w:r>
        <w:t xml:space="preserve"> </w:t>
      </w:r>
      <w:r>
        <w:t xml:space="preserve">conclusions remain robust or if a different choice of reconstruction method would have led to fundamentally different inferences about extinction dynamics. Using four successive communities,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models from within the feasibility space. That is, the model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the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Variance partitioning was further assessed using permutational multivariate analysis of variance (PERMANOVA). Pairwise interaction turnover was quantified using link-based β-diversity was calculated following the framework of</w:t>
      </w:r>
      <w:r>
        <w:t xml:space="preserve"> </w:t>
      </w:r>
      <w:r>
        <w:t xml:space="preserve">Poisot et al. (2012)</w:t>
      </w:r>
      <w:r>
        <w:t xml:space="preserve"> </w:t>
      </w:r>
      <w:r>
        <w:t xml:space="preserve">among the four of the reconstruction frameworks (ADBM, ATN, body-size ratio, and PFIM). We excluded the purely structural random and niche models as they are inherently species agnostic.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model combinations within the same community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Maximum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 by</w:t>
                  </w:r>
                  <w:r>
                    <w:t xml:space="preserve"> </w:t>
                  </w:r>
                  <m:oMath>
                    <m:r>
                      <m:t>L</m:t>
                    </m:r>
                    <m:r>
                      <m:rPr>
                        <m:sty m:val="p"/>
                      </m:rPr>
                      <m:t>/</m:t>
                    </m:r>
                    <m:r>
                      <m:t>S</m:t>
                    </m:r>
                  </m:oMath>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Normalised standard deviation of generality of all species within the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Normalised standard deviation of vulnerability of all species within the network, normalised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 observed (</w:t>
      </w:r>
      <w:r>
        <w:rPr>
          <w:i/>
          <w:iCs/>
        </w:rPr>
        <w:t xml:space="preserve">i.e.,</w:t>
      </w:r>
      <w:r>
        <w:t xml:space="preserve"> </w:t>
      </w:r>
      <w:r>
        <w:t xml:space="preserve">reconstructed from fossil occurrence data) networks using mean absolute differences (MAD) of food-web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(τ) was used to quantify concordance in scenario ordering across models.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 et al.,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is archived at [</w:t>
      </w:r>
      <w:r>
        <w:rPr>
          <w:b/>
          <w:bCs/>
        </w:rPr>
        <w:t xml:space="preserve">TODO</w:t>
      </w:r>
      <w:r>
        <w:t xml:space="preserve"> </w:t>
      </w:r>
      <w:r>
        <w:t xml:space="preserve">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global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the scale at which the comparison was made- approaches that were statistically similar in multivariate structural space (scale 1) often diverged in inferred interactions (scale 2) or extinction dynamics (scale 3). This demonstrates that structural similarity does not guarantee concordance in species-level diets or trophic roles.</w:t>
      </w:r>
    </w:p>
    <w:p>
      <w:pPr>
        <w:pStyle w:val="BodyText"/>
      </w:pPr>
      <w:r>
        <w:t xml:space="preserve">Model choice substantially influenced inferred extinction dynamics. Temporal trajectories of network collapse, interaction loss, and motif reorganisation differed among approaches. Although node-level extinction ranking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267199"/>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To identify which specific structural properties drive the multivariate separation observed above, we partitioned variance at the level of individual network metrics. Results show that reconstruction choice exerted a significantly stronger influence on network topology than the ecological signal of species loss.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Table S3). While the extinction event (time bin) significantly altered network structure (p&lt;0.001), its relative importance remained secondary, typically explaining a smaller fraction of the total topological variation. This is clear in</w:t>
      </w:r>
      <w:r>
        <w:t xml:space="preserve"> </w:t>
      </w:r>
      <w:hyperlink w:anchor="fig-anova">
        <w:r>
          <w:rPr>
            <w:rStyle w:val="Hyperlink"/>
          </w:rPr>
          <w:t xml:space="preserve">Figure 2</w:t>
        </w:r>
      </w:hyperlink>
      <w:r>
        <w:t xml:space="preserve"> </w:t>
      </w:r>
      <w:r>
        <w:t xml:space="preserve">where all metrics are within the bottom-right (model-dominated) quadrant of this space, emphasising that framework assumptions outweigh the ecological signal of species loss. Furthermore, the high inter-model Coefficient of Variation (CV) observed for some metrics (Table S4, Figure S4) highlights a sensitivity. The properties that are influenced by time are also those upon which the models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4267200"/>
                  <wp:effectExtent b="0" l="0" r="0" t="0"/>
                  <wp:docPr descr="" title="" id="26" name="Picture"/>
                  <a:graphic>
                    <a:graphicData uri="http://schemas.openxmlformats.org/drawingml/2006/picture">
                      <pic:pic>
                        <pic:nvPicPr>
                          <pic:cNvPr descr="figures/ANOVA_summary.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Scatter plot illustrating the influence of model (x-axis) and time (y-axis) across network metrics. The dashed 1:1 diagonal represents the parity of influence; metrics below this line are governed primarily by model choice and those above by time. Bubble size indicates the interaction between model and time while colour indicates inter-model disagreement (Mean CV%); greener bubbles signify metrics where models show the highest divergence in their structural predictions.</w:t>
            </w:r>
          </w:p>
          <w:bookmarkEnd w:id="28"/>
        </w:tc>
      </w:tr>
    </w:tbl>
    <w:bookmarkEnd w:id="29"/>
    <w:bookmarkStart w:id="34" w:name="Xca278d7ce6c574c14aff7ca9b02b1cbc12fc1e8"/>
    <w:p>
      <w:pPr>
        <w:pStyle w:val="Heading3"/>
      </w:pPr>
      <w:r>
        <w:t xml:space="preserve">3.1.3 Inferred pairwise interactions vary widely among models</w:t>
      </w:r>
    </w:p>
    <w:p>
      <w:pPr>
        <w:pStyle w:val="FirstParagraph"/>
      </w:pPr>
      <w:r>
        <w:t xml:space="preserve">Despite some models showing similar global metrics, specific pairwise interactions often differed. Pairwise</w:t>
      </w:r>
      <w:r>
        <w:t xml:space="preserve"> </w:t>
      </w:r>
      <m:oMath>
        <m:sSub>
          <m:e>
            <m:r>
              <m:t>β</m:t>
            </m:r>
          </m:e>
          <m:sub>
            <m:r>
              <m:t>O</m:t>
            </m:r>
            <m:r>
              <m:t>S</m:t>
            </m:r>
          </m:sub>
        </m:sSub>
      </m:oMath>
      <w:r>
        <w:t xml:space="preserve"> </w:t>
      </w:r>
      <w:r>
        <w:t xml:space="preserve">revealed that certain model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w:t>
            </w:r>
            <w:r>
              <w:t xml:space="preserve"> </w:t>
            </w:r>
            <m:oMath>
              <m:sSub>
                <m:e>
                  <m:r>
                    <m:t>β</m:t>
                  </m:r>
                </m:e>
                <m:sub>
                  <m:r>
                    <m:t>O</m:t>
                  </m:r>
                  <m:r>
                    <m:t>S</m:t>
                  </m:r>
                </m:sub>
              </m:sSub>
            </m:oMath>
            <w:r>
              <w:t xml:space="preserve"> </w:t>
            </w:r>
            <w:r>
              <w:t xml:space="preserve">in species interactions among four ecological network models (ADBM, ATN, Body-size ratio, and PFIM). Each cell represents the mean turnover value between a pair of models, with darker colours indicating greater dissimilarity in inferred interactions. High turnover values indicate strong disagreement in pairwise interactions between models, whereas lower values indicate greater similarity. Note that we do not include the Random or Niche model as these models are species agnostic and thus we cannot truly evaluate differences in pairwise interactions</w:t>
            </w:r>
          </w:p>
          <w:bookmarkEnd w:id="33"/>
        </w:tc>
      </w:tr>
    </w:tbl>
    <w:bookmarkEnd w:id="34"/>
    <w:bookmarkEnd w:id="35"/>
    <w:bookmarkStart w:id="40" w:name="X89fa4ae4a79b9f155d568a7de94120882524285"/>
    <w:p>
      <w:pPr>
        <w:pStyle w:val="Heading2"/>
      </w:pPr>
      <w:r>
        <w:t xml:space="preserve">3.2 Model choice influences inferred extinction dynamics</w:t>
      </w:r>
    </w:p>
    <w:p>
      <w:pPr>
        <w:pStyle w:val="FirstParagraph"/>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weak but generally positive concordance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(Kendall’s</w:t>
      </w:r>
      <w:r>
        <w:t xml:space="preserve"> </w:t>
      </w:r>
      <m:oMath>
        <m:r>
          <m:t>τ</m:t>
        </m:r>
      </m:oMath>
      <w:r>
        <w:t xml:space="preserve"> </w:t>
      </w:r>
      <w:r>
        <w:t xml:space="preserve">= 0.26–0.90), reflecting broadly comparable node-level removal sequences. In contrast, link-level outcomes were far more variable (Kendall’s</w:t>
      </w:r>
      <w:r>
        <w:t xml:space="preserv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paleoecological data. Because interactions in fossil ecosystems are never observed directly, they must explicitly be reconstructed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Reconstruction framework explained the overwhelming majority of variance in inferred food web topology, far outweighing the influence of temporal turnover across extinction phases. Across an identical regional taxon pool, alternative reconstruction approaches generated distinct structural signatures that occupied non-overlapping regions of multivariate space</w:t>
      </w:r>
      <w:r>
        <w:t xml:space="preserve"> </w:t>
      </w:r>
      <w:hyperlink w:anchor="fig-structure">
        <w:r>
          <w:rPr>
            <w:rStyle w:val="Hyperlink"/>
          </w:rPr>
          <w:t xml:space="preserve">Figure 1</w:t>
        </w:r>
      </w:hyperlink>
      <w:r>
        <w:t xml:space="preserve">, demonstrating that divergence among models reflects intrinsic differences in how interactions are organised rather than temporal shifts in community composition. Even after centring metrics within extinction phases to remove between-bin mean differences, model identity remained the dominant driver of structural variation. These results indicate that reconstruction approaches impose distinct</w:t>
      </w:r>
      <w:r>
        <w:t xml:space="preserve"> </w:t>
      </w:r>
      <w:r>
        <w:t xml:space="preserve">‘structural priors’</w:t>
      </w:r>
      <w:r>
        <w:t xml:space="preserve"> </w:t>
      </w:r>
      <w:r>
        <w:t xml:space="preserve">on ecological inference. These priors are not subtle; they propagate into emergent topology, species roles, and predictions of disturbance dynamics. Network structure is therefore not solely a property of ecological communities, but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Crucially, this dominance was not confined to multivariate summaries. Variance partitioning at the level of individual network properties revealed that model identity overwhelmingly structured specific ecological metrics, with partial η² values exceeding 0.9 for meso-scale motif composition and remaining consistently high across macro- and micro-scale properties. Thus the imprint of reconstruction framework is visible not only in aggregate topology but in the very structural features often interpreted as ecological signals — trophic height, competition, and variability in species roles. Notably, the few properties that exhibited detectable temporal sensitivity were also those with the greatest inter-model disagreement, indicating that temporal trends is most difficult to disentangle when reconstruction frameworks diverge most strongly. These results suggest that structural assumptions do not merely shift networks within a shared architectural space; they condition the specific patterns through which ecological change is perceived and interpreted.</w:t>
      </w:r>
    </w:p>
    <w:p>
      <w:pPr>
        <w:pStyle w:val="BodyText"/>
      </w:pPr>
      <w:r>
        <w:t xml:space="preserve">This has direct implications for the interpretation of comparative network studies. Feasible, realised, and structural models encode different assumptions about constraint, optimisation, and topology, with these assumptions propagating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Node-level extinction rankings were broadly consistent among model classes, whereas interaction-level outcomes and cascade trajectories were highly contingent on reconstruction approach. The predominance of reconstruction framework over temporal turnover (~80% vs. 6% variance explained) illustrates why coarse-grained patterns like node-level extinction rankings are more robust. Model-imposed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 et al. (2024)</w:t>
      </w:r>
      <w:r>
        <w:t xml:space="preserve"> </w:t>
      </w:r>
      <w:r>
        <w:t xml:space="preserve">selected a different reconstruction method, the resulting inferences regarding the drivers of extinctions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 ‘wrong’,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(Gilman et al., 2010; Tylianakis et al., 2008)</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 et al., 2025; Marjakangas et al., 2025)</w:t>
      </w:r>
      <w:r>
        <w:t xml:space="preserve">. These studies frequently interpret variation in connectance, trophic height, interaction β-diversity, or robustness as indicators of ecological differentiation among regions or time intervals</w:t>
      </w:r>
      <w:r>
        <w:t xml:space="preserve"> </w:t>
      </w:r>
      <w:r>
        <w:t xml:space="preserve">(</w:t>
      </w:r>
      <w:r>
        <w:rPr>
          <w:i/>
          <w:iCs/>
        </w:rPr>
        <w:t xml:space="preserve">e.g.,</w:t>
      </w:r>
      <w:r>
        <w:t xml:space="preserve"> </w:t>
      </w:r>
      <w:r>
        <w:t xml:space="preserve">Pellissier et al.,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reconstruction as much as ecological process.</w:t>
      </w:r>
    </w:p>
    <w:p>
      <w:pPr>
        <w:pStyle w:val="BodyText"/>
      </w:pPr>
      <w:r>
        <w:t xml:space="preserve">Deep-time paleo-food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 et al. (2024)</w:t>
      </w:r>
      <w:r>
        <w:t xml:space="preserve">;</w:t>
      </w:r>
      <w:r>
        <w:t xml:space="preserve"> </w:t>
      </w:r>
      <w:r>
        <w:t xml:space="preserve">Karapunar et al. (2026)</w:t>
      </w:r>
      <w:r>
        <w:t xml:space="preserve">;</w:t>
      </w:r>
      <w:r>
        <w:t xml:space="preserve"> </w:t>
      </w:r>
      <w:r>
        <w:t xml:space="preserve">Smith et al. (2025)</w:t>
      </w:r>
      <w:r>
        <w:t xml:space="preserve">). Fossil networks therefore represent natural experiments for evaluating resilience, trophic reorganisation, and recovery following extreme environmental change. Studies of fossil food webs have demonstrated how network structure mediates extinction cascades and post-disturbance reassembly</w:t>
      </w:r>
      <w:r>
        <w:t xml:space="preserve"> </w:t>
      </w:r>
      <w:r>
        <w:t xml:space="preserve">(Dunne et al., 2008; Roopnarine, 2006)</w:t>
      </w:r>
      <w:r>
        <w:t xml:space="preserve">, providing empirical constraints on long-term ecological stability.</w:t>
      </w:r>
    </w:p>
    <w:p>
      <w:pPr>
        <w:pStyle w:val="BodyText"/>
      </w:pPr>
      <w:r>
        <w:t xml:space="preserve">However, our results emphasise that even in deep-time systems structural conclusions remain sensitive to modelling assumptions. Treating reconstructed networks as ensembles rather than single deterministic representations provides a more transparent framework for incorporating uncertainty into comparative macroecology and for using paleo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model based assumptions as testable,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different reconstruction approaches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model reconstruction as fundamental determinants of inference is critical for advancing food web ecology from descriptive reconstruction toward rigorous comparative synthesis.</w:t>
      </w:r>
    </w:p>
    <w:bookmarkEnd w:id="47"/>
    <w:bookmarkStart w:id="168" w:name="references"/>
    <w:p>
      <w:pPr>
        <w:pStyle w:val="Heading1"/>
      </w:pPr>
      <w:r>
        <w:t xml:space="preserve">References</w:t>
      </w:r>
    </w:p>
    <w:bookmarkStart w:id="167"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0">
        <w:r>
          <w:rPr>
            <w:rStyle w:val="Hyperlink"/>
          </w:rPr>
          <w:t xml:space="preserve">https://doi.org/10.1111/j.1475-4983.2006.00611.x</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4">
        <w:r>
          <w:rPr>
            <w:rStyle w:val="Hyperlink"/>
          </w:rPr>
          <w:t xml:space="preserve">https://doi.org/10.1371/journal.pcbi.1002321</w:t>
        </w:r>
      </w:hyperlink>
    </w:p>
    <w:bookmarkEnd w:id="55"/>
    <w:bookmarkStart w:id="57"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6">
        <w:r>
          <w:rPr>
            <w:rStyle w:val="Hyperlink"/>
          </w:rPr>
          <w:t xml:space="preserve">https://doi.org/10.1137/141000671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60">
        <w:r>
          <w:rPr>
            <w:rStyle w:val="Hyperlink"/>
          </w:rPr>
          <w:t xml:space="preserve">https://doi.org/10.1371/journal.pone.0112903</w:t>
        </w:r>
      </w:hyperlink>
    </w:p>
    <w:bookmarkEnd w:id="61"/>
    <w:bookmarkStart w:id="63"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62">
        <w:r>
          <w:rPr>
            <w:rStyle w:val="Hyperlink"/>
          </w:rPr>
          <w:t xml:space="preserve">https://ecoevorxiv.org/repository/view/5348/</w:t>
        </w:r>
      </w:hyperlink>
    </w:p>
    <w:bookmarkEnd w:id="63"/>
    <w:bookmarkStart w:id="65"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4">
        <w:r>
          <w:rPr>
            <w:rStyle w:val="Hyperlink"/>
          </w:rPr>
          <w:t xml:space="preserve">https://doi.org/10.1016/j.baae.2011.09.008</w:t>
        </w:r>
      </w:hyperlink>
    </w:p>
    <w:bookmarkEnd w:id="65"/>
    <w:bookmarkStart w:id="67"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6">
        <w:r>
          <w:rPr>
            <w:rStyle w:val="Hyperlink"/>
          </w:rPr>
          <w:t xml:space="preserve">https://doi.org/10.1111/brv.12433</w:t>
        </w:r>
      </w:hyperlink>
    </w:p>
    <w:bookmarkEnd w:id="67"/>
    <w:bookmarkStart w:id="69"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8">
        <w:r>
          <w:rPr>
            <w:rStyle w:val="Hyperlink"/>
          </w:rPr>
          <w:t xml:space="preserve">https://doi.org/10.1038/s41467-024-53000-2</w:t>
        </w:r>
      </w:hyperlink>
    </w:p>
    <w:bookmarkEnd w:id="69"/>
    <w:bookmarkStart w:id="71"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0">
        <w:r>
          <w:rPr>
            <w:rStyle w:val="Hyperlink"/>
          </w:rPr>
          <w:t xml:space="preserve">https://doi.org/10.1098/rspb.2013.3280</w:t>
        </w:r>
      </w:hyperlink>
    </w:p>
    <w:bookmarkEnd w:id="71"/>
    <w:bookmarkStart w:id="73"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2">
        <w:r>
          <w:rPr>
            <w:rStyle w:val="Hyperlink"/>
          </w:rPr>
          <w:t xml:space="preserve">https://doi.org/10.1371/journal.pbio.0060102</w:t>
        </w:r>
      </w:hyperlink>
    </w:p>
    <w:bookmarkEnd w:id="73"/>
    <w:bookmarkStart w:id="74"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4"/>
    <w:bookmarkStart w:id="76"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5">
        <w:r>
          <w:rPr>
            <w:rStyle w:val="Hyperlink"/>
          </w:rPr>
          <w:t xml:space="preserve">https://doi.org/10.1214/19-AOAS1296</w:t>
        </w:r>
      </w:hyperlink>
    </w:p>
    <w:bookmarkEnd w:id="76"/>
    <w:bookmarkStart w:id="78"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7">
        <w:r>
          <w:rPr>
            <w:rStyle w:val="Hyperlink"/>
          </w:rPr>
          <w:t xml:space="preserve">https://doi.org/10.5486/pmd.1959.6.3-4.12</w:t>
        </w:r>
      </w:hyperlink>
    </w:p>
    <w:bookmarkEnd w:id="78"/>
    <w:bookmarkStart w:id="80"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9">
        <w:r>
          <w:rPr>
            <w:rStyle w:val="Hyperlink"/>
          </w:rPr>
          <w:t xml:space="preserve">https://doi.org/10.1126/science.abn4012</w:t>
        </w:r>
      </w:hyperlink>
    </w:p>
    <w:bookmarkEnd w:id="80"/>
    <w:bookmarkStart w:id="82"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1">
        <w:r>
          <w:rPr>
            <w:rStyle w:val="Hyperlink"/>
          </w:rPr>
          <w:t xml:space="preserve">https://doi.org/10.1111/oik.02256</w:t>
        </w:r>
      </w:hyperlink>
    </w:p>
    <w:bookmarkEnd w:id="82"/>
    <w:bookmarkStart w:id="84"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3">
        <w:r>
          <w:rPr>
            <w:rStyle w:val="Hyperlink"/>
          </w:rPr>
          <w:t xml:space="preserve">https://doi.org/10.1111/2041-210X.14212</w:t>
        </w:r>
      </w:hyperlink>
    </w:p>
    <w:bookmarkEnd w:id="84"/>
    <w:bookmarkStart w:id="86"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5">
        <w:r>
          <w:rPr>
            <w:rStyle w:val="Hyperlink"/>
          </w:rPr>
          <w:t xml:space="preserve">https://doi.org/10.1038/s44358-025-00056-7</w:t>
        </w:r>
      </w:hyperlink>
    </w:p>
    <w:bookmarkEnd w:id="86"/>
    <w:bookmarkStart w:id="88"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7">
        <w:r>
          <w:rPr>
            <w:rStyle w:val="Hyperlink"/>
          </w:rPr>
          <w:t xml:space="preserve">https://doi.org/10.1016/j.tree.2010.03.002</w:t>
        </w:r>
      </w:hyperlink>
    </w:p>
    <w:bookmarkEnd w:id="88"/>
    <w:bookmarkStart w:id="90"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9">
        <w:r>
          <w:rPr>
            <w:rStyle w:val="Hyperlink"/>
          </w:rPr>
          <w:t xml:space="preserve">https://doi.org/10.1111/ecog.04006</w:t>
        </w:r>
      </w:hyperlink>
    </w:p>
    <w:bookmarkEnd w:id="90"/>
    <w:bookmarkStart w:id="92"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1">
        <w:r>
          <w:rPr>
            <w:rStyle w:val="Hyperlink"/>
          </w:rPr>
          <w:t xml:space="preserve">https://doi.org/10.1146/annurev-ecolsys-012220-120819</w:t>
        </w:r>
      </w:hyperlink>
    </w:p>
    <w:bookmarkEnd w:id="92"/>
    <w:bookmarkStart w:id="94"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3">
        <w:r>
          <w:rPr>
            <w:rStyle w:val="Hyperlink"/>
          </w:rPr>
          <w:t xml:space="preserve">https://doi.org/10.1111/gcb.70061</w:t>
        </w:r>
      </w:hyperlink>
    </w:p>
    <w:bookmarkEnd w:id="94"/>
    <w:bookmarkStart w:id="96"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5">
        <w:r>
          <w:rPr>
            <w:rStyle w:val="Hyperlink"/>
          </w:rPr>
          <w:t xml:space="preserve">https://doi.org/10.1111/1365-2435.12763</w:t>
        </w:r>
      </w:hyperlink>
    </w:p>
    <w:bookmarkEnd w:id="96"/>
    <w:bookmarkStart w:id="98" w:name="ref-karapunar2026"/>
    <w:p>
      <w:pPr>
        <w:pStyle w:val="Bibliography"/>
      </w:pPr>
      <w:r>
        <w:t xml:space="preserve">Karapunar, B., Strydom, T., Beckerman, A. P., Ridgwell, A., Wignall, P. B., Dunne, J. A., Little, C. T. S., Hull, P., Pimiento, C., &amp; Dunhill, A. (2026). No global collapse of food webs across the permian-triassic mass extinction.</w:t>
      </w:r>
      <w:r>
        <w:t xml:space="preserve"> </w:t>
      </w:r>
      <w:r>
        <w:rPr>
          <w:i/>
          <w:iCs/>
        </w:rPr>
        <w:t xml:space="preserve">BioRxiv</w:t>
      </w:r>
      <w:r>
        <w:t xml:space="preserve">.</w:t>
      </w:r>
      <w:r>
        <w:t xml:space="preserve"> </w:t>
      </w:r>
      <w:hyperlink r:id="rId97">
        <w:r>
          <w:rPr>
            <w:rStyle w:val="Hyperlink"/>
          </w:rPr>
          <w:t xml:space="preserve">https://doi.org/10.64898/2026.02.24.707709</w:t>
        </w:r>
      </w:hyperlink>
    </w:p>
    <w:bookmarkEnd w:id="98"/>
    <w:bookmarkStart w:id="100"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9">
        <w:r>
          <w:rPr>
            <w:rStyle w:val="Hyperlink"/>
          </w:rPr>
          <w:t xml:space="preserve">https://doi.org/10.1016/j.earscirev.2024.104946</w:t>
        </w:r>
      </w:hyperlink>
    </w:p>
    <w:bookmarkEnd w:id="100"/>
    <w:bookmarkStart w:id="102"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101">
        <w:r>
          <w:rPr>
            <w:rStyle w:val="Hyperlink"/>
          </w:rPr>
          <w:t xml:space="preserve">https://doi.org/10.1111/ele.70146</w:t>
        </w:r>
      </w:hyperlink>
    </w:p>
    <w:bookmarkEnd w:id="102"/>
    <w:bookmarkStart w:id="104"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3">
        <w:r>
          <w:rPr>
            <w:rStyle w:val="Hyperlink"/>
          </w:rPr>
          <w:t xml:space="preserve">https://doi.org/10.1371/journal.pcbi.1007076</w:t>
        </w:r>
      </w:hyperlink>
    </w:p>
    <w:bookmarkEnd w:id="104"/>
    <w:bookmarkStart w:id="106"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5">
        <w:r>
          <w:rPr>
            <w:rStyle w:val="Hyperlink"/>
          </w:rPr>
          <w:t xml:space="preserve">https://doi.org/10.1126/science.298.5594.824</w:t>
        </w:r>
      </w:hyperlink>
    </w:p>
    <w:bookmarkEnd w:id="106"/>
    <w:bookmarkStart w:id="108"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7">
        <w:r>
          <w:rPr>
            <w:rStyle w:val="Hyperlink"/>
          </w:rPr>
          <w:t xml:space="preserve">https://doi.org/10.1016/j.tree.2015.03.014</w:t>
        </w:r>
      </w:hyperlink>
    </w:p>
    <w:bookmarkEnd w:id="108"/>
    <w:bookmarkStart w:id="110"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9">
        <w:r>
          <w:rPr>
            <w:rStyle w:val="Hyperlink"/>
          </w:rPr>
          <w:t xml:space="preserve">https://doi.org/10.1111/brv.12366</w:t>
        </w:r>
      </w:hyperlink>
    </w:p>
    <w:bookmarkEnd w:id="110"/>
    <w:bookmarkStart w:id="112"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111">
        <w:r>
          <w:rPr>
            <w:rStyle w:val="Hyperlink"/>
          </w:rPr>
          <w:t xml:space="preserve">https://doi.org/10.1101/2025.10.08.681159</w:t>
        </w:r>
      </w:hyperlink>
    </w:p>
    <w:bookmarkEnd w:id="112"/>
    <w:bookmarkStart w:id="114"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3">
        <w:r>
          <w:rPr>
            <w:rStyle w:val="Hyperlink"/>
          </w:rPr>
          <w:t xml:space="preserve">https://doi.org/10.1073/pnas.0710672105</w:t>
        </w:r>
      </w:hyperlink>
    </w:p>
    <w:bookmarkEnd w:id="114"/>
    <w:bookmarkStart w:id="116"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5">
        <w:r>
          <w:rPr>
            <w:rStyle w:val="Hyperlink"/>
          </w:rPr>
          <w:t xml:space="preserve">https://doi.org/10.1016/j.jtbi.2011.03.019</w:t>
        </w:r>
      </w:hyperlink>
    </w:p>
    <w:bookmarkEnd w:id="116"/>
    <w:bookmarkStart w:id="118"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17">
        <w:r>
          <w:rPr>
            <w:rStyle w:val="Hyperlink"/>
          </w:rPr>
          <w:t xml:space="preserve">https://doi.org/10.1111/2041-210X.14061</w:t>
        </w:r>
      </w:hyperlink>
    </w:p>
    <w:bookmarkEnd w:id="118"/>
    <w:bookmarkStart w:id="120"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9">
        <w:r>
          <w:rPr>
            <w:rStyle w:val="Hyperlink"/>
          </w:rPr>
          <w:t xml:space="preserve">https://doi.org/10.1111/jbi.14127</w:t>
        </w:r>
      </w:hyperlink>
    </w:p>
    <w:bookmarkEnd w:id="120"/>
    <w:bookmarkStart w:id="122"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21">
        <w:r>
          <w:rPr>
            <w:rStyle w:val="Hyperlink"/>
          </w:rPr>
          <w:t xml:space="preserve">https://doi.org/10.1111/ele.12002</w:t>
        </w:r>
      </w:hyperlink>
    </w:p>
    <w:bookmarkEnd w:id="122"/>
    <w:bookmarkStart w:id="124"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3">
        <w:r>
          <w:rPr>
            <w:rStyle w:val="Hyperlink"/>
          </w:rPr>
          <w:t xml:space="preserve">https://doi.org/10</w:t>
        </w:r>
      </w:hyperlink>
    </w:p>
    <w:bookmarkEnd w:id="124"/>
    <w:bookmarkStart w:id="126"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5">
        <w:r>
          <w:rPr>
            <w:rStyle w:val="Hyperlink"/>
          </w:rPr>
          <w:t xml:space="preserve">https://doi.org/10.7717/peerj.251</w:t>
        </w:r>
      </w:hyperlink>
    </w:p>
    <w:bookmarkEnd w:id="126"/>
    <w:bookmarkStart w:id="128"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7">
        <w:r>
          <w:rPr>
            <w:rStyle w:val="Hyperlink"/>
          </w:rPr>
          <w:t xml:space="preserve">https://doi.org/10.1111/oik.01719</w:t>
        </w:r>
      </w:hyperlink>
    </w:p>
    <w:bookmarkEnd w:id="128"/>
    <w:bookmarkStart w:id="130"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9">
        <w:r>
          <w:rPr>
            <w:rStyle w:val="Hyperlink"/>
          </w:rPr>
          <w:t xml:space="preserve">https://www.R-project.org/</w:t>
        </w:r>
      </w:hyperlink>
    </w:p>
    <w:bookmarkEnd w:id="130"/>
    <w:bookmarkStart w:id="132"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31">
        <w:r>
          <w:rPr>
            <w:rStyle w:val="Hyperlink"/>
          </w:rPr>
          <w:t xml:space="preserve">https://doi.org/10.1086/653667</w:t>
        </w:r>
      </w:hyperlink>
    </w:p>
    <w:bookmarkEnd w:id="132"/>
    <w:bookmarkStart w:id="134"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3">
        <w:r>
          <w:rPr>
            <w:rStyle w:val="Hyperlink"/>
          </w:rPr>
          <w:t xml:space="preserve">https://www.jstor.org/stable/4096814</w:t>
        </w:r>
      </w:hyperlink>
    </w:p>
    <w:bookmarkEnd w:id="134"/>
    <w:bookmarkStart w:id="136"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5">
        <w:r>
          <w:rPr>
            <w:rStyle w:val="Hyperlink"/>
          </w:rPr>
          <w:t xml:space="preserve">https://doi.org/10.1016/j.ecoinf.2025.103183</w:t>
        </w:r>
      </w:hyperlink>
    </w:p>
    <w:bookmarkEnd w:id="136"/>
    <w:bookmarkStart w:id="138"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7">
        <w:r>
          <w:rPr>
            <w:rStyle w:val="Hyperlink"/>
          </w:rPr>
          <w:t xml:space="preserve">https://doi.org/10.1101/2024.01.30.578036</w:t>
        </w:r>
      </w:hyperlink>
    </w:p>
    <w:bookmarkEnd w:id="138"/>
    <w:bookmarkStart w:id="140"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9">
        <w:r>
          <w:rPr>
            <w:rStyle w:val="Hyperlink"/>
          </w:rPr>
          <w:t xml:space="preserve">https://doi.org/10.1111/geb.70113</w:t>
        </w:r>
      </w:hyperlink>
    </w:p>
    <w:bookmarkEnd w:id="140"/>
    <w:bookmarkStart w:id="142"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41">
        <w:r>
          <w:rPr>
            <w:rStyle w:val="Hyperlink"/>
          </w:rPr>
          <w:t xml:space="preserve">https://doi.org/10.1098/rspb.2001.1767</w:t>
        </w:r>
      </w:hyperlink>
    </w:p>
    <w:bookmarkEnd w:id="142"/>
    <w:bookmarkStart w:id="144"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3">
        <w:r>
          <w:rPr>
            <w:rStyle w:val="Hyperlink"/>
          </w:rPr>
          <w:t xml:space="preserve">https://doi.org/10.1111/1365-2656.12949</w:t>
        </w:r>
      </w:hyperlink>
    </w:p>
    <w:bookmarkEnd w:id="144"/>
    <w:bookmarkStart w:id="146"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45">
        <w:r>
          <w:rPr>
            <w:rStyle w:val="Hyperlink"/>
          </w:rPr>
          <w:t xml:space="preserve">https://doi.org/10.1098/rspb.2007.0571</w:t>
        </w:r>
      </w:hyperlink>
    </w:p>
    <w:bookmarkEnd w:id="146"/>
    <w:bookmarkStart w:id="148"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7">
        <w:r>
          <w:rPr>
            <w:rStyle w:val="Hyperlink"/>
          </w:rPr>
          <w:t xml:space="preserve">https://doi.org/10.1098/rstb.2021.0063</w:t>
        </w:r>
      </w:hyperlink>
    </w:p>
    <w:bookmarkEnd w:id="148"/>
    <w:bookmarkStart w:id="150"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49">
        <w:r>
          <w:rPr>
            <w:rStyle w:val="Hyperlink"/>
          </w:rPr>
          <w:t xml:space="preserve">https://doi.org/10.32942/X2JW8K</w:t>
        </w:r>
      </w:hyperlink>
    </w:p>
    <w:bookmarkEnd w:id="150"/>
    <w:bookmarkStart w:id="152"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51">
        <w:r>
          <w:rPr>
            <w:rStyle w:val="Hyperlink"/>
          </w:rPr>
          <w:t xml:space="preserve">https://doi.org/10.1111/jbi.14734</w:t>
        </w:r>
      </w:hyperlink>
    </w:p>
    <w:bookmarkEnd w:id="152"/>
    <w:bookmarkStart w:id="154"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53">
        <w:r>
          <w:rPr>
            <w:rStyle w:val="Hyperlink"/>
          </w:rPr>
          <w:t xml:space="preserve">https://doi.org/10.1111/1365-2435.12710</w:t>
        </w:r>
      </w:hyperlink>
    </w:p>
    <w:bookmarkEnd w:id="154"/>
    <w:bookmarkStart w:id="156"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5">
        <w:r>
          <w:rPr>
            <w:rStyle w:val="Hyperlink"/>
          </w:rPr>
          <w:t xml:space="preserve">https://doi.org/10.1111/j.1461-0248.2008.01250.x</w:t>
        </w:r>
      </w:hyperlink>
    </w:p>
    <w:bookmarkEnd w:id="156"/>
    <w:bookmarkStart w:id="158"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7">
        <w:r>
          <w:rPr>
            <w:rStyle w:val="Hyperlink"/>
          </w:rPr>
          <w:t xml:space="preserve">https://doi.org/10.1146/annurev-ecolsys-110316-022821</w:t>
        </w:r>
      </w:hyperlink>
    </w:p>
    <w:bookmarkEnd w:id="158"/>
    <w:bookmarkStart w:id="160"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9">
        <w:r>
          <w:rPr>
            <w:rStyle w:val="Hyperlink"/>
          </w:rPr>
          <w:t xml:space="preserve">https://doi.org/10.1140/epjb/e2004-00122-1</w:t>
        </w:r>
      </w:hyperlink>
    </w:p>
    <w:bookmarkEnd w:id="160"/>
    <w:bookmarkStart w:id="162"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61">
        <w:r>
          <w:rPr>
            <w:rStyle w:val="Hyperlink"/>
          </w:rPr>
          <w:t xml:space="preserve">https://doi.org/10.1038/35004572</w:t>
        </w:r>
      </w:hyperlink>
    </w:p>
    <w:bookmarkEnd w:id="162"/>
    <w:bookmarkStart w:id="164"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63">
        <w:r>
          <w:rPr>
            <w:rStyle w:val="Hyperlink"/>
          </w:rPr>
          <w:t xml:space="preserve">https://doi.org/10.1111/j.1365-2656.2008.01362.x</w:t>
        </w:r>
      </w:hyperlink>
    </w:p>
    <w:bookmarkEnd w:id="164"/>
    <w:bookmarkStart w:id="166"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5">
        <w:r>
          <w:rPr>
            <w:rStyle w:val="Hyperlink"/>
          </w:rPr>
          <w:t xml:space="preserve">https://doi.org/10.1073/pnas.1408471111</w:t>
        </w:r>
      </w:hyperlink>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3"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9" Target="https://doi.org/10.1016/j.earscirev.2024.104946" TargetMode="External" /><Relationship Type="http://schemas.openxmlformats.org/officeDocument/2006/relationships/hyperlink" Id="rId135" Target="https://doi.org/10.1016/j.ecoinf.2025.103183" TargetMode="External" /><Relationship Type="http://schemas.openxmlformats.org/officeDocument/2006/relationships/hyperlink" Id="rId115"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7" Target="https://doi.org/10.1016/j.tree.2015.03.014" TargetMode="External" /><Relationship Type="http://schemas.openxmlformats.org/officeDocument/2006/relationships/hyperlink" Id="rId161"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3" Target="https://doi.org/10.1073/pnas.0710672105" TargetMode="External" /><Relationship Type="http://schemas.openxmlformats.org/officeDocument/2006/relationships/hyperlink" Id="rId165" Target="https://doi.org/10.1073/pnas.1408471111" TargetMode="External" /><Relationship Type="http://schemas.openxmlformats.org/officeDocument/2006/relationships/hyperlink" Id="rId131" Target="https://doi.org/10.1086/653667" TargetMode="External" /><Relationship Type="http://schemas.openxmlformats.org/officeDocument/2006/relationships/hyperlink" Id="rId141" Target="https://doi.org/10.1098/rspb.2001.1767" TargetMode="External" /><Relationship Type="http://schemas.openxmlformats.org/officeDocument/2006/relationships/hyperlink" Id="rId145"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7" Target="https://doi.org/10.1098/rstb.2021.0063" TargetMode="External" /><Relationship Type="http://schemas.openxmlformats.org/officeDocument/2006/relationships/hyperlink" Id="rId137" Target="https://doi.org/10.1101/2024.01.30.578036" TargetMode="External" /><Relationship Type="http://schemas.openxmlformats.org/officeDocument/2006/relationships/hyperlink" Id="rId111" Target="https://doi.org/10.1101/2025.10.08.681159" TargetMode="External" /><Relationship Type="http://schemas.openxmlformats.org/officeDocument/2006/relationships/hyperlink" Id="rId153"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3" Target="https://doi.org/10.1111/1365-2656.12949" TargetMode="External" /><Relationship Type="http://schemas.openxmlformats.org/officeDocument/2006/relationships/hyperlink" Id="rId117"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9"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21" Target="https://doi.org/10.1111/ele.12002" TargetMode="External" /><Relationship Type="http://schemas.openxmlformats.org/officeDocument/2006/relationships/hyperlink" Id="rId101"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9" Target="https://doi.org/10.1111/geb.70113" TargetMode="External" /><Relationship Type="http://schemas.openxmlformats.org/officeDocument/2006/relationships/hyperlink" Id="rId163" Target="https://doi.org/10.1111/j.1365-2656.2008.01362.x" TargetMode="External" /><Relationship Type="http://schemas.openxmlformats.org/officeDocument/2006/relationships/hyperlink" Id="rId155"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9" Target="https://doi.org/10.1111/jbi.14127" TargetMode="External" /><Relationship Type="http://schemas.openxmlformats.org/officeDocument/2006/relationships/hyperlink" Id="rId151" Target="https://doi.org/10.1111/jbi.14734" TargetMode="External" /><Relationship Type="http://schemas.openxmlformats.org/officeDocument/2006/relationships/hyperlink" Id="rId127"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5"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9"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7"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3"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9"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97" Target="https://doi.org/10.64898/2026.02.24.707709" TargetMode="External" /><Relationship Type="http://schemas.openxmlformats.org/officeDocument/2006/relationships/hyperlink" Id="rId125"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9" Target="https://www.R-project.org/" TargetMode="External" /><Relationship Type="http://schemas.openxmlformats.org/officeDocument/2006/relationships/hyperlink" Id="rId133"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Jennifer A. Dunne; Andy Ridgwell; Pincelli Hull; Crispin T.S. Little; Catalina Pimiento; Paul B. Wignall; Andrew P. Beckerman; Alexander Dunhill</dc:creator>
  <cp:keywords>Ecological networks, Biotic interactions, Community assembly, Environmental gradients, Interaction turnover, Trophic organisation, Ecosystem resilience, Macroecology</cp:keywords>
  <dcterms:created xsi:type="dcterms:W3CDTF">2026-03-18T12:33:37Z</dcterms:created>
  <dcterms:modified xsi:type="dcterms:W3CDTF">2026-03-18T12:33:37Z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2026-03-18</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