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Dunhill</w:t>
      </w:r>
    </w:p>
    <w:p>
      <w:pPr>
        <w:pStyle w:val="Date"/>
      </w:pPr>
      <w:r>
        <w:t xml:space="preserve">2026-04-24</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Shelly 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If reconstruction approaches encode distinct structural constraints over interaction topology, then differences among communities may reflect reconstruction assumptions rather than ecological processes.</w:t>
      </w:r>
    </w:p>
    <w:p>
      <w:pPr>
        <w:pStyle w:val="BodyText"/>
      </w:pPr>
      <w:r>
        <w:t xml:space="preserve">Deep-time ecosystems provide an especially useful test of this issue because trophic interactions are not observed directly and must be inferred from traits, co-occurrence, and theoretical constraints</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Karapunar</w:t>
      </w:r>
      <w:r>
        <w:t xml:space="preserve"> </w:t>
      </w:r>
      <w:r>
        <w:rPr>
          <w:i/>
          <w:iCs/>
        </w:rPr>
        <w:t xml:space="preserve">et al.</w:t>
      </w:r>
      <w:r>
        <w:t xml:space="preserve">, 2026)</w:t>
      </w:r>
      <w:r>
        <w:t xml:space="preserve">. As a result, ecological networks in these systems are inherently reconstruction-dependent, rendering the assumptions embedded within different reconstruction frameworks both explicit and consequential. Among such systems, the Early Toarcian Extinction Event (ETEE; ~183 Ma) provides a particularly informative case study. The ETEE was a volcanically driven hyperthermal event associated with widespread marine anoxia, biodiversity loss, and major ecological restructuring</w:t>
      </w:r>
      <w:r>
        <w:t xml:space="preserve"> </w:t>
      </w:r>
      <w:r>
        <w:t xml:space="preserve">(Kemp</w:t>
      </w:r>
      <w:r>
        <w:t xml:space="preserve"> </w:t>
      </w:r>
      <w:r>
        <w:rPr>
          <w:i/>
          <w:iCs/>
        </w:rPr>
        <w:t xml:space="preserve">et al.</w:t>
      </w:r>
      <w:r>
        <w:t xml:space="preserve">, 2024)</w:t>
      </w:r>
      <w:r>
        <w:t xml:space="preserve">, representing one of the most significant environmental perturbations of the Early Jurassic. Fossil assemblages spanning this interval therefore capture both community collapse and subsequent reassembly under rapidly changing climatic and environmental conditions.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 In particular, recent work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 has used reconstructed food webs to draw ecological conclusions about community stability and collapse during this event. This creates a rare opportunity to ask a more general question: to what extent are such inferences contingent on the specific reconstruction framework used to generate the network?</w:t>
      </w:r>
    </w:p>
    <w:p>
      <w:pPr>
        <w:pStyle w:val="BodyText"/>
      </w:pPr>
      <w:r>
        <w:t xml:space="preserve">Here, we reconstruct ecological networks for four successive assemblages across the ETEE using six contrasting reconstruction frameworks spanning feasibility-based, realised, and structural models. By holding species composition constant while varying only the reconstruction approach, we isolate the influence of structural assumptions on inferred food web organisation, interaction turnover, and extinction dynamics. This design allows us to explicitly evaluate whether conclusions drawn from a single reconstruction approach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reconstruction choices would lead to fundamentally different ecological inferences. More broadly, our study tests whether macroecological conclusions derived from ecological networks reflect underlying biological processes or are conditioned by the assumptions embedded within the reconstruction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upper Pliensbachian to the upper Toarcian. This interval encompasses a major volcanic-driven hyperthermal and marine extinction event. To capture network dynamics across this transition, we defined four successive palaeo-assemblages: pre-extinction (Pliensbachian), post-extinction (Lower Toarcian), early recovery (Lower–Middle Toarcian) and late recovery (Upper Toarcian). Each taxon was characterized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a given community. In palaeoecological contexts, where direct observation of interactions is not possible, such models provide a biologically grounded, formalised representation, of</w:t>
      </w:r>
      <w:r>
        <w:t xml:space="preserve"> </w:t>
      </w:r>
      <w:r>
        <w:t xml:space="preserve">‘expert knowledge’</w:t>
      </w:r>
      <w:r>
        <w:t xml:space="preserve"> </w:t>
      </w:r>
      <w:r>
        <w:t xml:space="preserve">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 These models are species-agnostic and therefore cannot be interpreted as reconstructions of specific ecological communities. Rather, they serve as null or end-member hypotheses, providing reference expectations against which the structure and dynamics of data-informed reconstructions can be evaluated. For example, random networks represent an unconstrained baseline in which interactions occur independently of species identity, whereas the niche model captures well-established statistical regularities of food webs (</w:t>
      </w:r>
      <w:r>
        <w:rPr>
          <w:i/>
          <w:iCs/>
        </w:rPr>
        <w:t xml:space="preserve">e.g.,</w:t>
      </w:r>
      <w:r>
        <w:t xml:space="preserve"> </w:t>
      </w:r>
      <w:r>
        <w:t xml:space="preserve">interval feeding and trophic hierarchy) without incorporating empirical trait information.</w:t>
      </w:r>
    </w:p>
    <w:p>
      <w:pPr>
        <w:pStyle w:val="BodyText"/>
      </w:pPr>
      <w:r>
        <w:t xml:space="preserve">In this study, we selected models to span these three conceptual classes (</w:t>
      </w:r>
      <w:hyperlink w:anchor="tbl-models">
        <w:r>
          <w:rPr>
            <w:rStyle w:val="Hyperlink"/>
          </w:rPr>
          <w:t xml:space="preserve">Table 1</w:t>
        </w:r>
      </w:hyperlink>
      <w:r>
        <w:t xml:space="preserve">) and, critically, to sample distinct mechanistic interpretations of trophic interactions rather than exhaustively include all available implementations. Specifically, we include: a feasibility-based model (PFIM), representing trait-constrained interactions; multiple realised models (ADBM, ATN, and Body-size ratio), capturing energetic optimisation, mechanical constraints, and probabilistic allometric structure, respectively; and structural models (Random and Niche), providing theoretical reference points. Although some approaches share common inputs (</w:t>
      </w:r>
      <w:r>
        <w:rPr>
          <w:i/>
          <w:iCs/>
        </w:rPr>
        <w:t xml:space="preserve">e.g.,</w:t>
      </w:r>
      <w:r>
        <w:t xml:space="preserve"> </w:t>
      </w:r>
      <w:r>
        <w:t xml:space="preserve">body mass), they encode fundamentally different assumptions about how interactions arise. Conversely, some alternative palaeoecological approaches (</w:t>
      </w:r>
      <w:r>
        <w:rPr>
          <w:i/>
          <w:iCs/>
        </w:rPr>
        <w:t xml:space="preserve">e.g.,</w:t>
      </w:r>
      <w:r>
        <w:t xml:space="preserve"> </w:t>
      </w:r>
      <w:r>
        <w:t xml:space="preserve">guild- or feasibility-based frameworks) are conceptually aligned with PFIM and would therefore provide limited additional contrast for the purposes of this analysis.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reconstruction frameworks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frameworks using the approaches listed in</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reconstruction approach assumptions, parameterisation, and link-generation rules are provided in Supplementary Material S1, including full mathematical formulations and parameter definitions. For each community, 100 stochastic network realisations were generated per reconstruction approach (n = 2400 per time bin) to capture uncertainty in link assignment. Where reconstruction approaches required species body mass or trait values, these were sampled within biologically reasonable ranges to preserve relative differences among species. We adopted a uniform sampling by default, as alternative distributions (lognormal, truncated lognormal) have negligible impact on topology (Supplementary Material S1; Figure S1). Structural models were parameterised using connectance values drawn from an empirically realistic range (0.07–0.15). For models requiring link number explicitly (Random model), connectance was first converted to expected link number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reconstruction approaches. Richness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and excluded the latent trait terms. Sensitivity of network structure to these parameter choices is evaluated in Supplementary Material S1. The PFIM generates a deterministic feasible metaweb for a given trait configuration. To allow for statistical analyses we introduced controlled variation in interaction subsets by applying a downsampling procedure that stochastically samples feasible interactions. This step allowed us to introduce</w:t>
      </w:r>
      <w:r>
        <w:t xml:space="preserve"> </w:t>
      </w:r>
      <w:r>
        <w:t xml:space="preserve">‘statistical noise’</w:t>
      </w:r>
      <w:r>
        <w:t xml:space="preserve"> </w:t>
      </w:r>
      <w:r>
        <w:t xml:space="preserve">while still preserving most of the metaweb structure . The choice of downsampling parameter and its effects on network structure are evaluated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PFIM). We excluded the purely structural Random and Niche models as they are inherently species agnostic.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reconstruction approach rather than species turnover.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89f4cf6a33fc88184218f6a581bc75601516373"/>
    <w:p>
      <w:pPr>
        <w:pStyle w:val="Heading2"/>
      </w:pPr>
      <w:r>
        <w:t xml:space="preserve">2.4 Extinction simulations and reconstruction approach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custom scripts and model implementations provided in Supplementary Material S1. All statistical analyses, including MANOVA, PERMANOVA, redundancy analysis,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p>
      <w:pPr>
        <w:pStyle w:val="BodyText"/>
      </w:pPr>
      <w:r>
        <w:t xml:space="preserve">The empirical data, derived network datasets, and all analysis scripts are archived in a public Zenodo repository (</w:t>
      </w:r>
      <w:r>
        <w:rPr>
          <w:b/>
          <w:bCs/>
        </w:rPr>
        <w:t xml:space="preserve">TODO</w:t>
      </w:r>
      <w:r>
        <w:t xml:space="preserve"> </w:t>
      </w:r>
      <w:r>
        <w:t xml:space="preserve">DOI), which includes a complete README file describing software dependencies, execution order, and reproduction instructions.</w:t>
      </w:r>
    </w:p>
    <w:bookmarkEnd w:id="18"/>
    <w:bookmarkEnd w:id="19"/>
    <w:bookmarkStart w:id="41" w:name="results"/>
    <w:p>
      <w:pPr>
        <w:pStyle w:val="Heading1"/>
      </w:pPr>
      <w:r>
        <w:t xml:space="preserve">3. Results</w:t>
      </w:r>
    </w:p>
    <w:p>
      <w:pPr>
        <w:pStyle w:val="FirstParagraph"/>
      </w:pPr>
      <w:r>
        <w:t xml:space="preserve">We found that when evaluated using network metrics, different reconstruction approaches, even those that appear to be similar, yield fundamentally different ecological inferences. Across six network reconstruction approaches, inferred food web structure, species interactions, and extinction dynamics differed consistently. Multivariate analyses showed pronounced separation among reconstruction approaches in network metric space. Reconstruction approach explained most of the variance in structural properties, leaving a distinct signature independent of community composition. Notably, approaches that were statistically similar in multivariate structural space often diverged in inferred interactions or extinction dynamics. This demonstrates that structural similarity does not guarantee concordance in species-level diets or trophic roles.</w:t>
      </w:r>
    </w:p>
    <w:p>
      <w:pPr>
        <w:pStyle w:val="BodyText"/>
      </w:pPr>
      <w:r>
        <w:t xml:space="preserve">Reconstruction approach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reconstruction approach systematically alters inferred food web topology. Canonical discriminant analysis identified two dominant axes of variation, explaining 86% of the differences between reconstruction approach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and ellipses indicate 95% confidence regions for each reconstruction approach.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it is clear that for certain network metrics reconstruction approaches predict different responses across time</w:t>
      </w:r>
      <w:r>
        <w:t xml:space="preserve"> </w:t>
      </w:r>
      <w:r>
        <w:rPr>
          <w:i/>
          <w:iCs/>
        </w:rPr>
        <w:t xml:space="preserve">e.g.,</w:t>
      </w:r>
      <w:r>
        <w:t xml:space="preserve"> </w:t>
      </w:r>
      <w:r>
        <w:t xml:space="preserve">connectance, as well as differing magnitudes of change</w:t>
      </w:r>
      <w:r>
        <w:t xml:space="preserve"> </w:t>
      </w:r>
      <w:r>
        <w:rPr>
          <w:i/>
          <w:iCs/>
        </w:rPr>
        <w:t xml:space="preserve">e.g.,</w:t>
      </w:r>
      <w:r>
        <w:t xml:space="preserve"> </w:t>
      </w:r>
      <w:r>
        <w:t xml:space="preserve">the number of apparent cmpetition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quadrant of this space,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A</w:t>
            </w:r>
            <w:r>
              <w:t xml:space="preserve"> </w:t>
            </w:r>
            <w:r>
              <w:t xml:space="preserve">Changes in network metrics through time, expressed as deviation from Pre-Extinction conditions (Δ). Metrics are faceted and scaled independently to highlight differences in temporal trajectories across different network properties.</w:t>
            </w:r>
            <w:r>
              <w:t xml:space="preserve"> </w:t>
            </w:r>
            <w:r>
              <w:rPr>
                <w:b/>
                <w:bCs/>
              </w:rPr>
              <w:t xml:space="preserve">B</w:t>
            </w:r>
            <w:r>
              <w:t xml:space="preserve"> </w:t>
            </w:r>
            <w:r>
              <w:t xml:space="preserve">Scatter plot illustrating the influence of reconstruction approach (x-axis) and time (y-axis) across network metrics. The dashed 1:1 diagonal represents parity of influence; metrics below this line are governed primarily by reconstruction approach and those above by time. Bubble size indicates the interaction between reconstruction approach and time, while colour indicates inter reconstruction approach disagreement (mean CV%); greener bubbles signify metrics where reconstruction approaches show the highest divergence in their structural predictions.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netwrok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reconstruction approaches (ADBM, ATN, Body-size ratio, and PFIM). Each cell represents the mean turnover value between a pair of reconstruction approaches, with darker colours indicating greater dissimilarity in inferred interactions. High turnover values indicate strong disagreement in pairwise interactions between reconstruction approaches, whereas lower values indicate greater similarity. Note that we do not include the Random or Niche model as these reconstruction approaches are species agnostic and thus we cannot truly evaluate differences in pairwise interactions</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retained, or re-established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palaeoecological data. Because interactions in fossil ecosystems are never observed directly,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in deep-time palaeoecological contexts such as the Early Toarcian Extinction Event, where trophic interactions are never observed directly but must be inferred from incomplete fossil data. In these systems, ecological networks are entirely reconstruction-dependent, rendering the assumptions embedded within different frameworks both explicit and consequential. The risk is therefore not only incomplete data, but that methodological artefacts may be misinterpreted as genuine macroevolutionary or ecological signals. Consequently, deep-time studies provide a stringent test of whether inferred community responses (such as stability, collapse, or recovery during environmental perturbations) reflect underlying ecosystem dynamics or are contingent on how interactions are reconstructed.</w:t>
      </w:r>
    </w:p>
    <w:p>
      <w:pPr>
        <w:pStyle w:val="BodyText"/>
      </w:pPr>
      <w:r>
        <w:t xml:space="preserve">Reconstruction framework explained the overwhelming majority of variance in inferred food web topology, far outweighing the influence of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(extinction phases)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reconstruction assumptions, and level of organisation</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with partial η² values exceeding 0.9 for meso-scale motif composition and remaining consistently high across macro- and micro-scale properties. Thus the imprint of reconstruction framework is visible not only in aggregate topology but in the very structural features often interpreted as ecological signals — trophic height, competition, and variability in species roles. Notably, the few properties that exhibited detectable temporal sensitivity were also those with the greatest inter-reconstruction approach disagreement, indicating that temporal trends is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reconstruction approaches,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Reconstruction approach-imposed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w:t>
      </w:r>
      <w:r>
        <w:t xml:space="preserve"> </w:t>
      </w:r>
      <w:r>
        <w:rPr>
          <w:i/>
          <w:iCs/>
        </w:rPr>
        <w:t xml:space="preserve">et al.</w:t>
      </w:r>
      <w:r>
        <w:t xml:space="preserve"> </w:t>
      </w:r>
      <w:r>
        <w:t xml:space="preserve">(2024)</w:t>
      </w:r>
      <w:r>
        <w:t xml:space="preserve"> </w:t>
      </w:r>
      <w:r>
        <w:t xml:space="preserve">selected a different reconstruction method, the resulting inferences regarding the drivers of extinctions and subsequent recovery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 ‘wrong’, but rather that different reconstruction approaches capture different facets of ecological reality</w:t>
      </w:r>
      <w:r>
        <w:t xml:space="preserve"> </w:t>
      </w:r>
      <w:r>
        <w:t xml:space="preserve">(Petchey</w:t>
      </w:r>
      <w:r>
        <w:t xml:space="preserve"> </w:t>
      </w:r>
      <w:r>
        <w:rPr>
          <w:i/>
          <w:iCs/>
        </w:rPr>
        <w:t xml:space="preserve">et al.</w:t>
      </w:r>
      <w:r>
        <w:t xml:space="preserve">, 2011; Stouffer, 2019)</w:t>
      </w:r>
      <w:r>
        <w:t xml:space="preserve">. Disagreement among reconstruction approaches does not imply that any single approach is</w:t>
      </w:r>
      <w:r>
        <w:t xml:space="preserve"> </w:t>
      </w:r>
      <w:r>
        <w:t xml:space="preserve">‘incorrect’</w:t>
      </w:r>
      <w:r>
        <w:t xml:space="preserve">. Rather, different reconstruction approaches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or robustness as indicators of ecological differentiation among regions or time intervals</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Karapunar</w:t>
      </w:r>
      <w:r>
        <w:t xml:space="preserve"> </w:t>
      </w:r>
      <w:r>
        <w:rPr>
          <w:i/>
          <w:iCs/>
        </w:rPr>
        <w:t xml:space="preserve">et al.</w:t>
      </w:r>
      <w:r>
        <w:t xml:space="preserve"> </w:t>
      </w:r>
      <w:r>
        <w:t xml:space="preserve">(2026)</w:t>
      </w:r>
      <w:r>
        <w:t xml:space="preserve">;</w:t>
      </w:r>
      <w:r>
        <w:t xml:space="preserve"> </w:t>
      </w:r>
      <w:r>
        <w:t xml:space="preserve">Smith</w:t>
      </w:r>
      <w:r>
        <w:t xml:space="preserve"> </w:t>
      </w:r>
      <w:r>
        <w:rPr>
          <w:i/>
          <w:iCs/>
        </w:rPr>
        <w:t xml:space="preserve">et al.</w:t>
      </w:r>
      <w:r>
        <w:t xml:space="preserve"> </w:t>
      </w:r>
      <w:r>
        <w:t xml:space="preserve">(2025)</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(Roopnarine, 2006; Dunne</w:t>
      </w:r>
      <w:r>
        <w:t xml:space="preserve"> </w:t>
      </w:r>
      <w:r>
        <w:rPr>
          <w:i/>
          <w:iCs/>
        </w:rPr>
        <w:t xml:space="preserve">et al.</w:t>
      </w:r>
      <w:r>
        <w:t xml:space="preserve">, 2008)</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ensembles rather than single deterministic representations provides a more transparent framework for incorporating uncertainty into comparative macroecology and for using palaeo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reconstruction approach represents a distinct hypothesis about how interactions are constrained—by trait compatibility, energetic optimisation, or topological regularity</w:t>
      </w:r>
      <w:r>
        <w:t xml:space="preserve"> </w:t>
      </w:r>
      <w:r>
        <w:t xml:space="preserve">(Petchey</w:t>
      </w:r>
      <w:r>
        <w:t xml:space="preserve"> </w:t>
      </w:r>
      <w:r>
        <w:rPr>
          <w:i/>
          <w:iCs/>
        </w:rPr>
        <w:t xml:space="preserve">et al.</w:t>
      </w:r>
      <w:r>
        <w:t xml:space="preserve">,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network reconstruction as fundamental determinants of inference is critical for advancing food web ecology from descriptive reconstruction toward rigorous comparative synthesis.</w:t>
      </w:r>
    </w:p>
    <w:bookmarkEnd w:id="47"/>
    <w:bookmarkStart w:id="154" w:name="references"/>
    <w:p>
      <w:pPr>
        <w:pStyle w:val="Heading1"/>
      </w:pPr>
      <w:r>
        <w:t xml:space="preserve">References</w:t>
      </w:r>
    </w:p>
    <w:bookmarkStart w:id="153" w:name="refs"/>
    <w:bookmarkStart w:id="49" w:name="ref-allesina2012"/>
    <w:p>
      <w:pPr>
        <w:pStyle w:val="Bibliography"/>
      </w:pPr>
      <w:r>
        <w:t xml:space="preserve">Allesina, S. &amp; Tang, S. (2012)</w:t>
      </w:r>
      <w:r>
        <w:t xml:space="preserve"> </w:t>
      </w:r>
      <w:hyperlink r:id="rId48">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49"/>
    <w:bookmarkStart w:id="51" w:name="ref-bambach2007"/>
    <w:p>
      <w:pPr>
        <w:pStyle w:val="Bibliography"/>
      </w:pPr>
      <w:r>
        <w:t xml:space="preserve">Bambach, R.K., Bush, A.M. &amp; Erwin, D.H. (2007)</w:t>
      </w:r>
      <w:r>
        <w:t xml:space="preserve"> </w:t>
      </w:r>
      <w:hyperlink r:id="rId50">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1"/>
    <w:bookmarkStart w:id="53" w:name="ref-banville2025"/>
    <w:p>
      <w:pPr>
        <w:pStyle w:val="Bibliography"/>
      </w:pPr>
      <w:r>
        <w:t xml:space="preserve">Banville, F., Strydom, T., Blyth, P.S.A., Brimacombe, C., Catchen, M.D., Dansereau, G., Higino, G., Malpas, T., Mayall, H., Norman, K., Gravel, D. &amp; Poisot, T. (2025)</w:t>
      </w:r>
      <w:r>
        <w:t xml:space="preserve"> </w:t>
      </w:r>
      <w:hyperlink r:id="rId52">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3"/>
    <w:bookmarkStart w:id="55" w:name="ref-Bezanson2017Julia"/>
    <w:p>
      <w:pPr>
        <w:pStyle w:val="Bibliography"/>
      </w:pPr>
      <w:r>
        <w:t xml:space="preserve">Bezanson, J., Edelman, A., Karpinski, S. &amp; Shah, V.B. (2017)</w:t>
      </w:r>
      <w:r>
        <w:t xml:space="preserve"> </w:t>
      </w:r>
      <w:hyperlink r:id="rId54">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5"/>
    <w:bookmarkStart w:id="57"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6">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57"/>
    <w:bookmarkStart w:id="59" w:name="ref-curtsdotter2011"/>
    <w:p>
      <w:pPr>
        <w:pStyle w:val="Bibliography"/>
      </w:pPr>
      <w:r>
        <w:t xml:space="preserve">Curtsdotter, A., Binzer, A., Brose, U., De Castro, F., Ebenman, B., Eklöf, A., Riede, J.O., Thierry, A. &amp; Rall, B.C. (2011)</w:t>
      </w:r>
      <w:r>
        <w:t xml:space="preserve"> </w:t>
      </w:r>
      <w:hyperlink r:id="rId58">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59"/>
    <w:bookmarkStart w:id="61"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0">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1"/>
    <w:bookmarkStart w:id="63" w:name="ref-dunhill2024"/>
    <w:p>
      <w:pPr>
        <w:pStyle w:val="Bibliography"/>
      </w:pPr>
      <w:r>
        <w:t xml:space="preserve">Dunhill, A.M., Zarzyczny, K., Shaw, J.O., Atkinson, J.W., Little, C.T.S. &amp; Beckerman, A.P. (2024)</w:t>
      </w:r>
      <w:r>
        <w:t xml:space="preserve"> </w:t>
      </w:r>
      <w:hyperlink r:id="rId62">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3"/>
    <w:bookmarkStart w:id="65" w:name="ref-dunne2014"/>
    <w:p>
      <w:pPr>
        <w:pStyle w:val="Bibliography"/>
      </w:pPr>
      <w:r>
        <w:t xml:space="preserve">Dunne, J.A., Labandeira, C.C. &amp; Williams, R.J. (2014)</w:t>
      </w:r>
      <w:r>
        <w:t xml:space="preserve"> </w:t>
      </w:r>
      <w:hyperlink r:id="rId64">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65"/>
    <w:bookmarkStart w:id="66"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66"/>
    <w:bookmarkStart w:id="68" w:name="ref-dunne2008"/>
    <w:p>
      <w:pPr>
        <w:pStyle w:val="Bibliography"/>
      </w:pPr>
      <w:r>
        <w:t xml:space="preserve">Dunne, J.A., Williams, R.J., Martinez, N.D., Wood, R.A. &amp; Erwin, D.H. (2008)</w:t>
      </w:r>
      <w:r>
        <w:t xml:space="preserve"> </w:t>
      </w:r>
      <w:hyperlink r:id="rId67">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68"/>
    <w:bookmarkStart w:id="70" w:name="ref-erdos1959"/>
    <w:p>
      <w:pPr>
        <w:pStyle w:val="Bibliography"/>
      </w:pPr>
      <w:r>
        <w:t xml:space="preserve">Erdős, P. &amp; Rényi, A. (1959)</w:t>
      </w:r>
      <w:r>
        <w:t xml:space="preserve"> </w:t>
      </w:r>
      <w:hyperlink r:id="rId69">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0"/>
    <w:bookmarkStart w:id="72" w:name="ref-fricke2022a"/>
    <w:p>
      <w:pPr>
        <w:pStyle w:val="Bibliography"/>
      </w:pPr>
      <w:r>
        <w:t xml:space="preserve">Fricke, E.C., Hsieh, C., Middleton, O., Gorczynski, D., Cappello, C.D., Sanisidro, O., Rowan, J., Svenning, J.-C. &amp; Beaudrot, L. (2022)</w:t>
      </w:r>
      <w:r>
        <w:t xml:space="preserve"> </w:t>
      </w:r>
      <w:hyperlink r:id="rId71">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2"/>
    <w:bookmarkStart w:id="74" w:name="ref-fründ2016"/>
    <w:p>
      <w:pPr>
        <w:pStyle w:val="Bibliography"/>
      </w:pPr>
      <w:r>
        <w:t xml:space="preserve">Fründ, J., McCann, K.S. &amp; Williams, N.M. (2016)</w:t>
      </w:r>
      <w:r>
        <w:t xml:space="preserve"> </w:t>
      </w:r>
      <w:hyperlink r:id="rId73">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4"/>
    <w:bookmarkStart w:id="76" w:name="ref-gauzens2023"/>
    <w:p>
      <w:pPr>
        <w:pStyle w:val="Bibliography"/>
      </w:pPr>
      <w:r>
        <w:t xml:space="preserve">Gauzens, B., Brose, U., Delmas, E. &amp; Berti, E. (2023)</w:t>
      </w:r>
      <w:r>
        <w:t xml:space="preserve"> </w:t>
      </w:r>
      <w:hyperlink r:id="rId75">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76"/>
    <w:bookmarkStart w:id="78"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77">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78"/>
    <w:bookmarkStart w:id="80" w:name="ref-gilman2010"/>
    <w:p>
      <w:pPr>
        <w:pStyle w:val="Bibliography"/>
      </w:pPr>
      <w:r>
        <w:t xml:space="preserve">Gilman, S.E., Urban, M.C., Tewksbury, J., Gilchrist, G.W. &amp; Holt, R.D. (2010)</w:t>
      </w:r>
      <w:r>
        <w:t xml:space="preserve"> </w:t>
      </w:r>
      <w:hyperlink r:id="rId79">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0"/>
    <w:bookmarkStart w:id="82" w:name="ref-gravel2019"/>
    <w:p>
      <w:pPr>
        <w:pStyle w:val="Bibliography"/>
      </w:pPr>
      <w:r>
        <w:t xml:space="preserve">Gravel, D., Baiser, B., Dunne, J.A., Kopelke, J.-P., Martinez, N.D., Nyman, T., Poisot, T., Stouffer, D.B., Tylianakis, J.M., Wood, S.A. &amp; Roslin, T. (2019)</w:t>
      </w:r>
      <w:r>
        <w:t xml:space="preserve"> </w:t>
      </w:r>
      <w:hyperlink r:id="rId81">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2"/>
    <w:bookmarkStart w:id="84" w:name="ref-guimarães2020"/>
    <w:p>
      <w:pPr>
        <w:pStyle w:val="Bibliography"/>
      </w:pPr>
      <w:r>
        <w:t xml:space="preserve">Guimarães, P.R. (2020)</w:t>
      </w:r>
      <w:r>
        <w:t xml:space="preserve"> </w:t>
      </w:r>
      <w:hyperlink r:id="rId83">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4"/>
    <w:bookmarkStart w:id="86" w:name="ref-hao2025"/>
    <w:p>
      <w:pPr>
        <w:pStyle w:val="Bibliography"/>
      </w:pPr>
      <w:r>
        <w:t xml:space="preserve">Hao, X., Holyoak, M., Zhang, Z. &amp; Yan, C. (2025)</w:t>
      </w:r>
      <w:r>
        <w:t xml:space="preserve"> </w:t>
      </w:r>
      <w:hyperlink r:id="rId85">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86"/>
    <w:bookmarkStart w:id="88" w:name="ref-jordano2016"/>
    <w:p>
      <w:pPr>
        <w:pStyle w:val="Bibliography"/>
      </w:pPr>
      <w:r>
        <w:t xml:space="preserve">Jordano, P. (2016)</w:t>
      </w:r>
      <w:r>
        <w:t xml:space="preserve"> </w:t>
      </w:r>
      <w:hyperlink r:id="rId87">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88"/>
    <w:bookmarkStart w:id="90" w:name="ref-karapunar2026"/>
    <w:p>
      <w:pPr>
        <w:pStyle w:val="Bibliography"/>
      </w:pPr>
      <w:r>
        <w:t xml:space="preserve">Karapunar, B., Strydom, T., Beckerman, A.P., Ridgwell, A., Wignall, P.B., Dunne, J.A., Little, C.T.S., Hull, P., Pimiento, C. &amp; Dunhill, A. (2026)</w:t>
      </w:r>
      <w:r>
        <w:t xml:space="preserve"> </w:t>
      </w:r>
      <w:hyperlink r:id="rId89">
        <w:r>
          <w:rPr>
            <w:rStyle w:val="Hyperlink"/>
          </w:rPr>
          <w:t xml:space="preserve">No global collapse of food webs across the permian-triassic mass extinction</w:t>
        </w:r>
      </w:hyperlink>
      <w:r>
        <w:t xml:space="preserve">.</w:t>
      </w:r>
      <w:r>
        <w:t xml:space="preserve"> </w:t>
      </w:r>
      <w:r>
        <w:rPr>
          <w:i/>
          <w:iCs/>
        </w:rPr>
        <w:t xml:space="preserve">BioRxiv</w:t>
      </w:r>
      <w:r>
        <w:t xml:space="preserve">.</w:t>
      </w:r>
    </w:p>
    <w:bookmarkEnd w:id="90"/>
    <w:bookmarkStart w:id="92" w:name="ref-kemp2024"/>
    <w:p>
      <w:pPr>
        <w:pStyle w:val="Bibliography"/>
      </w:pPr>
      <w:r>
        <w:t xml:space="preserve">Kemp, D.B., Han, Z., Hu, X., Chen, W., Jin, S., Izumi, K., Yan, Q., Baranyi, V., Jin, X., Corso, J.D. &amp; Ge, Y. (2024)</w:t>
      </w:r>
      <w:r>
        <w:t xml:space="preserve"> </w:t>
      </w:r>
      <w:hyperlink r:id="rId91">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2"/>
    <w:bookmarkStart w:id="94" w:name="ref-marjakangas2025"/>
    <w:p>
      <w:pPr>
        <w:pStyle w:val="Bibliography"/>
      </w:pPr>
      <w:r>
        <w:t xml:space="preserve">Marjakangas, E.-L., Dalsgaard, B. &amp; Ordonez, A. (2025)</w:t>
      </w:r>
      <w:r>
        <w:t xml:space="preserve"> </w:t>
      </w:r>
      <w:hyperlink r:id="rId93">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94"/>
    <w:bookmarkStart w:id="96" w:name="ref-michalska-smith2019"/>
    <w:p>
      <w:pPr>
        <w:pStyle w:val="Bibliography"/>
      </w:pPr>
      <w:r>
        <w:t xml:space="preserve">Michalska-Smith, M.J. &amp; Allesina, S. (2019)</w:t>
      </w:r>
      <w:r>
        <w:t xml:space="preserve"> </w:t>
      </w:r>
      <w:hyperlink r:id="rId95">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96"/>
    <w:bookmarkStart w:id="98" w:name="ref-milo2002"/>
    <w:p>
      <w:pPr>
        <w:pStyle w:val="Bibliography"/>
      </w:pPr>
      <w:r>
        <w:t xml:space="preserve">Milo, R., Shen-Orr, S., Itzkovitz, S., Kashtan, N., Chklovskii, D. &amp; Alon, U. (2002)</w:t>
      </w:r>
      <w:r>
        <w:t xml:space="preserve"> </w:t>
      </w:r>
      <w:hyperlink r:id="rId97">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98"/>
    <w:bookmarkStart w:id="100" w:name="ref-morales-castilla2015"/>
    <w:p>
      <w:pPr>
        <w:pStyle w:val="Bibliography"/>
      </w:pPr>
      <w:r>
        <w:t xml:space="preserve">Morales-Castilla, I., Matias, M.G., Gravel, D. &amp; Araújo, M.B. (2015)</w:t>
      </w:r>
      <w:r>
        <w:t xml:space="preserve"> </w:t>
      </w:r>
      <w:hyperlink r:id="rId99">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0"/>
    <w:bookmarkStart w:id="102"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1">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2"/>
    <w:bookmarkStart w:id="104" w:name="ref-petchey2011"/>
    <w:p>
      <w:pPr>
        <w:pStyle w:val="Bibliography"/>
      </w:pPr>
      <w:r>
        <w:t xml:space="preserve">Petchey, O.L., Beckerman, A.P., Riede, J.O. &amp; Warren, P.H. (2011)</w:t>
      </w:r>
      <w:r>
        <w:t xml:space="preserve"> </w:t>
      </w:r>
      <w:hyperlink r:id="rId103">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04"/>
    <w:bookmarkStart w:id="106" w:name="ref-petchey2008"/>
    <w:p>
      <w:pPr>
        <w:pStyle w:val="Bibliography"/>
      </w:pPr>
      <w:r>
        <w:t xml:space="preserve">Petchey, O.L., Beckerman, A.P., Riede, J.O. &amp; Warren, P.H. (2008)</w:t>
      </w:r>
      <w:r>
        <w:t xml:space="preserve"> </w:t>
      </w:r>
      <w:hyperlink r:id="rId105">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06"/>
    <w:bookmarkStart w:id="108" w:name="ref-poisot2021"/>
    <w:p>
      <w:pPr>
        <w:pStyle w:val="Bibliography"/>
      </w:pPr>
      <w:r>
        <w:t xml:space="preserve">Poisot, T., Bergeron, G., Cazelles, K., Dallas, T., Gravel, D., MacDonald, A., Mercier, B., Violet, C. &amp; Vissault, S. (2021)</w:t>
      </w:r>
      <w:r>
        <w:t xml:space="preserve"> </w:t>
      </w:r>
      <w:hyperlink r:id="rId107">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08"/>
    <w:bookmarkStart w:id="110" w:name="ref-poisot2012a"/>
    <w:p>
      <w:pPr>
        <w:pStyle w:val="Bibliography"/>
      </w:pPr>
      <w:r>
        <w:t xml:space="preserve">Poisot, T., Canard, E., Mouillot, D., Mouquet, N. &amp; Gravel, D. (2012)</w:t>
      </w:r>
      <w:r>
        <w:t xml:space="preserve"> </w:t>
      </w:r>
      <w:hyperlink r:id="rId109">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0"/>
    <w:bookmarkStart w:id="112" w:name="ref-poisot2016"/>
    <w:p>
      <w:pPr>
        <w:pStyle w:val="Bibliography"/>
      </w:pPr>
      <w:r>
        <w:t xml:space="preserve">Poisot, T., Cirtwill, A., Cazelles, K., Gravel, D., Fortin, M.-J. &amp; Stouffer, D. (2016)</w:t>
      </w:r>
      <w:r>
        <w:t xml:space="preserve"> </w:t>
      </w:r>
      <w:hyperlink r:id="rId111">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2"/>
    <w:bookmarkStart w:id="114" w:name="ref-poisot2014"/>
    <w:p>
      <w:pPr>
        <w:pStyle w:val="Bibliography"/>
      </w:pPr>
      <w:r>
        <w:t xml:space="preserve">Poisot, T. &amp; Gravel, D. (2014)</w:t>
      </w:r>
      <w:r>
        <w:t xml:space="preserve"> </w:t>
      </w:r>
      <w:hyperlink r:id="rId113">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14"/>
    <w:bookmarkStart w:id="116" w:name="ref-poisot2015"/>
    <w:p>
      <w:pPr>
        <w:pStyle w:val="Bibliography"/>
      </w:pPr>
      <w:r>
        <w:t xml:space="preserve">Poisot, T., Stouffer, D.B. &amp; Gravel, D. (2015)</w:t>
      </w:r>
      <w:r>
        <w:t xml:space="preserve"> </w:t>
      </w:r>
      <w:hyperlink r:id="rId115">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16"/>
    <w:bookmarkStart w:id="118" w:name="ref-RCoreTeam2024"/>
    <w:p>
      <w:pPr>
        <w:pStyle w:val="Bibliography"/>
      </w:pPr>
      <w:r>
        <w:t xml:space="preserve">R Core Team (2024)</w:t>
      </w:r>
      <w:r>
        <w:t xml:space="preserve"> </w:t>
      </w:r>
      <w:hyperlink r:id="rId117">
        <w:r>
          <w:rPr>
            <w:rStyle w:val="Hyperlink"/>
            <w:i/>
            <w:iCs/>
          </w:rPr>
          <w:t xml:space="preserve">R: A language and environment for statistical computing</w:t>
        </w:r>
      </w:hyperlink>
      <w:r>
        <w:t xml:space="preserve">, R Foundation for Statistical Computing, Vienna, Austria.</w:t>
      </w:r>
    </w:p>
    <w:bookmarkEnd w:id="118"/>
    <w:bookmarkStart w:id="120" w:name="ref-rohr2010"/>
    <w:p>
      <w:pPr>
        <w:pStyle w:val="Bibliography"/>
      </w:pPr>
      <w:r>
        <w:t xml:space="preserve">Rohr, R., Scherer, H., Kehrli, P., Mazza, C. &amp; Bersier, L.-F. (2010)</w:t>
      </w:r>
      <w:r>
        <w:t xml:space="preserve"> </w:t>
      </w:r>
      <w:hyperlink r:id="rId119">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0"/>
    <w:bookmarkStart w:id="122" w:name="ref-roopnarine2006"/>
    <w:p>
      <w:pPr>
        <w:pStyle w:val="Bibliography"/>
      </w:pPr>
      <w:r>
        <w:t xml:space="preserve">Roopnarine, P.D. (2006)</w:t>
      </w:r>
      <w:r>
        <w:t xml:space="preserve"> </w:t>
      </w:r>
      <w:hyperlink r:id="rId121">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2"/>
    <w:bookmarkStart w:id="124" w:name="ref-sandra2025"/>
    <w:p>
      <w:pPr>
        <w:pStyle w:val="Bibliography"/>
      </w:pPr>
      <w:r>
        <w:t xml:space="preserve">Sandra, H.-P., Traveset, A., Nogales, M., Heleno, R., Llewelyn, J. &amp; Strona, G. (2025)</w:t>
      </w:r>
      <w:r>
        <w:t xml:space="preserve"> </w:t>
      </w:r>
      <w:hyperlink r:id="rId123">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24"/>
    <w:bookmarkStart w:id="126" w:name="ref-shaw2024"/>
    <w:p>
      <w:pPr>
        <w:pStyle w:val="Bibliography"/>
      </w:pPr>
      <w:r>
        <w:t xml:space="preserve">Shaw, J.O., Dunhill, A.M., Beckerman, A.P., Dunne, J.A. &amp; Hull, P.M. (2024)</w:t>
      </w:r>
      <w:r>
        <w:t xml:space="preserve"> </w:t>
      </w:r>
      <w:hyperlink r:id="rId125">
        <w:r>
          <w:rPr>
            <w:rStyle w:val="Hyperlink"/>
          </w:rPr>
          <w:t xml:space="preserve">A framework for reconstructing ancient food webs using functional trait data</w:t>
        </w:r>
      </w:hyperlink>
      <w:r>
        <w:t xml:space="preserve">. 2024.01.30.578036.</w:t>
      </w:r>
    </w:p>
    <w:bookmarkEnd w:id="126"/>
    <w:bookmarkStart w:id="128" w:name="ref-smith2025"/>
    <w:p>
      <w:pPr>
        <w:pStyle w:val="Bibliography"/>
      </w:pPr>
      <w:r>
        <w:t xml:space="preserve">Smith, Q.A., Tomé, C.P., Gearty, W., Smith, F.A., Shizuka, D. &amp; Lyons, S.K. (2025)</w:t>
      </w:r>
      <w:r>
        <w:t xml:space="preserve"> </w:t>
      </w:r>
      <w:hyperlink r:id="rId127">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28"/>
    <w:bookmarkStart w:id="130" w:name="ref-stouffer2019"/>
    <w:p>
      <w:pPr>
        <w:pStyle w:val="Bibliography"/>
      </w:pPr>
      <w:r>
        <w:t xml:space="preserve">Stouffer, D.B. (2019)</w:t>
      </w:r>
      <w:r>
        <w:t xml:space="preserve"> </w:t>
      </w:r>
      <w:hyperlink r:id="rId129">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0"/>
    <w:bookmarkStart w:id="132" w:name="ref-stouffer2007"/>
    <w:p>
      <w:pPr>
        <w:pStyle w:val="Bibliography"/>
      </w:pPr>
      <w:r>
        <w:t xml:space="preserve">Stouffer, D.B., Camacho, J., Jiang, W. &amp; Nunes Amaral, L.A. (2007)</w:t>
      </w:r>
      <w:r>
        <w:t xml:space="preserve"> </w:t>
      </w:r>
      <w:hyperlink r:id="rId131">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32"/>
    <w:bookmarkStart w:id="134"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33">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34"/>
    <w:bookmarkStart w:id="136" w:name="ref-strydom2026"/>
    <w:p>
      <w:pPr>
        <w:pStyle w:val="Bibliography"/>
      </w:pPr>
      <w:r>
        <w:t xml:space="preserve">Strydom, T., Dunhill, A.M., Dunne, J.A., Poisot, T. &amp; Beckerman, A.P. (2026)</w:t>
      </w:r>
      <w:r>
        <w:t xml:space="preserve"> </w:t>
      </w:r>
      <w:hyperlink r:id="rId135">
        <w:r>
          <w:rPr>
            <w:rStyle w:val="Hyperlink"/>
          </w:rPr>
          <w:t xml:space="preserve">Scaling from metawebs to realised webs: A hierarchical approach to network ecology</w:t>
        </w:r>
      </w:hyperlink>
      <w:r>
        <w:t xml:space="preserve">.</w:t>
      </w:r>
      <w:r>
        <w:t xml:space="preserve"> </w:t>
      </w:r>
      <w:r>
        <w:rPr>
          <w:i/>
          <w:iCs/>
        </w:rPr>
        <w:t xml:space="preserve">EcoEvoRxiv</w:t>
      </w:r>
      <w:r>
        <w:t xml:space="preserve">.</w:t>
      </w:r>
    </w:p>
    <w:bookmarkEnd w:id="136"/>
    <w:bookmarkStart w:id="138" w:name="ref-thuiller2024"/>
    <w:p>
      <w:pPr>
        <w:pStyle w:val="Bibliography"/>
      </w:pPr>
      <w:r>
        <w:t xml:space="preserve">Thuiller, W., Calderón-Sanou, I., Chalmandrier, L., Gaüzère, P., O’Connor, L.M.J., Ohlmann, M., Poggiato, G. &amp; Münkemüller, T. (2024)</w:t>
      </w:r>
      <w:r>
        <w:t xml:space="preserve"> </w:t>
      </w:r>
      <w:hyperlink r:id="rId137">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38"/>
    <w:bookmarkStart w:id="140" w:name="ref-trøjelsgaard2016"/>
    <w:p>
      <w:pPr>
        <w:pStyle w:val="Bibliography"/>
      </w:pPr>
      <w:r>
        <w:t xml:space="preserve">Trøjelsgaard, K. &amp; Olesen, J.M. (2016)</w:t>
      </w:r>
      <w:r>
        <w:t xml:space="preserve"> </w:t>
      </w:r>
      <w:hyperlink r:id="rId139">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0"/>
    <w:bookmarkStart w:id="142" w:name="ref-tylianakis2008"/>
    <w:p>
      <w:pPr>
        <w:pStyle w:val="Bibliography"/>
      </w:pPr>
      <w:r>
        <w:t xml:space="preserve">Tylianakis, J.M., Didham, R.K., Bascompte, J. &amp; Wardle, D.A. (2008)</w:t>
      </w:r>
      <w:r>
        <w:t xml:space="preserve"> </w:t>
      </w:r>
      <w:hyperlink r:id="rId141">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42"/>
    <w:bookmarkStart w:id="144" w:name="ref-tylianakis2017"/>
    <w:p>
      <w:pPr>
        <w:pStyle w:val="Bibliography"/>
      </w:pPr>
      <w:r>
        <w:t xml:space="preserve">Tylianakis, J.M. &amp; Morris, R.J. (2017)</w:t>
      </w:r>
      <w:r>
        <w:t xml:space="preserve"> </w:t>
      </w:r>
      <w:hyperlink r:id="rId143">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44"/>
    <w:bookmarkStart w:id="146" w:name="ref-williams2000"/>
    <w:p>
      <w:pPr>
        <w:pStyle w:val="Bibliography"/>
      </w:pPr>
      <w:r>
        <w:t xml:space="preserve">Williams, R.J. &amp; Martinez, N.D. (2000)</w:t>
      </w:r>
      <w:r>
        <w:t xml:space="preserve"> </w:t>
      </w:r>
      <w:hyperlink r:id="rId145">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46"/>
    <w:bookmarkStart w:id="148" w:name="ref-williams2004"/>
    <w:p>
      <w:pPr>
        <w:pStyle w:val="Bibliography"/>
      </w:pPr>
      <w:r>
        <w:t xml:space="preserve">Williams, R.J. &amp; Martinez, N.D. (2004)</w:t>
      </w:r>
      <w:r>
        <w:t xml:space="preserve"> </w:t>
      </w:r>
      <w:hyperlink r:id="rId147">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48"/>
    <w:bookmarkStart w:id="150" w:name="ref-williams2008"/>
    <w:p>
      <w:pPr>
        <w:pStyle w:val="Bibliography"/>
      </w:pPr>
      <w:r>
        <w:t xml:space="preserve">Williams, R.J. &amp; Martinez, N.D. (2008)</w:t>
      </w:r>
      <w:r>
        <w:t xml:space="preserve"> </w:t>
      </w:r>
      <w:hyperlink r:id="rId149">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0"/>
    <w:bookmarkStart w:id="152" w:name="ref-yeakel2014"/>
    <w:p>
      <w:pPr>
        <w:pStyle w:val="Bibliography"/>
      </w:pPr>
      <w:r>
        <w:t xml:space="preserve">Yeakel, J.D., Pires, M.M., Rudolf, L., Dominy, N.J., Koch, P.L., Guimarães, P.R. &amp; Gross, T. (2014)</w:t>
      </w:r>
      <w:r>
        <w:t xml:space="preserve"> </w:t>
      </w:r>
      <w:hyperlink r:id="rId151">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1" Target="https://doi.org/10" TargetMode="External" /><Relationship Type="http://schemas.openxmlformats.org/officeDocument/2006/relationships/hyperlink" Id="rId58"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3"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79" Target="https://doi.org/10.1016/j.tree.2010.03.002" TargetMode="External" /><Relationship Type="http://schemas.openxmlformats.org/officeDocument/2006/relationships/hyperlink" Id="rId99"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2" Target="https://doi.org/10.1038/s41467-024-53000-2" TargetMode="External" /><Relationship Type="http://schemas.openxmlformats.org/officeDocument/2006/relationships/hyperlink" Id="rId77" Target="https://doi.org/10.1038/s44358-025-00056-7" TargetMode="External" /><Relationship Type="http://schemas.openxmlformats.org/officeDocument/2006/relationships/hyperlink" Id="rId105" Target="https://doi.org/10.1073/pnas.0710672105" TargetMode="External" /><Relationship Type="http://schemas.openxmlformats.org/officeDocument/2006/relationships/hyperlink" Id="rId151" Target="https://doi.org/10.1073/pnas.1408471111" TargetMode="External" /><Relationship Type="http://schemas.openxmlformats.org/officeDocument/2006/relationships/hyperlink" Id="rId119" Target="https://doi.org/10.1086/653667" TargetMode="External" /><Relationship Type="http://schemas.openxmlformats.org/officeDocument/2006/relationships/hyperlink" Id="rId131" Target="https://doi.org/10.1098/rspb.2007.0571" TargetMode="External" /><Relationship Type="http://schemas.openxmlformats.org/officeDocument/2006/relationships/hyperlink" Id="rId64"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5" Target="https://doi.org/10.1101/2024.01.30.578036" TargetMode="External" /><Relationship Type="http://schemas.openxmlformats.org/officeDocument/2006/relationships/hyperlink" Id="rId139" Target="https://doi.org/10.1111/1365-2435.12710" TargetMode="External" /><Relationship Type="http://schemas.openxmlformats.org/officeDocument/2006/relationships/hyperlink" Id="rId87"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75" Target="https://doi.org/10.1111/2041-210X.14212" TargetMode="External" /><Relationship Type="http://schemas.openxmlformats.org/officeDocument/2006/relationships/hyperlink" Id="rId101" Target="https://doi.org/10.1111/brv.12366" TargetMode="External" /><Relationship Type="http://schemas.openxmlformats.org/officeDocument/2006/relationships/hyperlink" Id="rId60" Target="https://doi.org/10.1111/brv.12433" TargetMode="External" /><Relationship Type="http://schemas.openxmlformats.org/officeDocument/2006/relationships/hyperlink" Id="rId81"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93"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85" Target="https://doi.org/10.1111/gcb.70061" TargetMode="External" /><Relationship Type="http://schemas.openxmlformats.org/officeDocument/2006/relationships/hyperlink" Id="rId127" Target="https://doi.org/10.1111/geb.70113" TargetMode="External" /><Relationship Type="http://schemas.openxmlformats.org/officeDocument/2006/relationships/hyperlink" Id="rId149" Target="https://doi.org/10.1111/j.1365-2656.2008.01362.x" TargetMode="External" /><Relationship Type="http://schemas.openxmlformats.org/officeDocument/2006/relationships/hyperlink" Id="rId141"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3" Target="https://doi.org/10.1111/oik.02256" TargetMode="External" /><Relationship Type="http://schemas.openxmlformats.org/officeDocument/2006/relationships/hyperlink" Id="rId97" Target="https://doi.org/10.1126/science.298.5594.824" TargetMode="External" /><Relationship Type="http://schemas.openxmlformats.org/officeDocument/2006/relationships/hyperlink" Id="rId71" Target="https://doi.org/10.1126/science.abn4012" TargetMode="External" /><Relationship Type="http://schemas.openxmlformats.org/officeDocument/2006/relationships/hyperlink" Id="rId54" Target="https://doi.org/10.1137/141000671" TargetMode="External" /><Relationship Type="http://schemas.openxmlformats.org/officeDocument/2006/relationships/hyperlink" Id="rId147" Target="https://doi.org/10.1140/epjb/e2004-00122-1" TargetMode="External" /><Relationship Type="http://schemas.openxmlformats.org/officeDocument/2006/relationships/hyperlink" Id="rId83" Target="https://doi.org/10.1146/annurev-ecolsys-012220-120819" TargetMode="External" /><Relationship Type="http://schemas.openxmlformats.org/officeDocument/2006/relationships/hyperlink" Id="rId143" Target="https://doi.org/10.1146/annurev-ecolsys-110316-022821" TargetMode="External" /><Relationship Type="http://schemas.openxmlformats.org/officeDocument/2006/relationships/hyperlink" Id="rId67" Target="https://doi.org/10.1371/journal.pbio.0060102" TargetMode="External" /><Relationship Type="http://schemas.openxmlformats.org/officeDocument/2006/relationships/hyperlink" Id="rId95" Target="https://doi.org/10.1371/journal.pcbi.1007076" TargetMode="External" /><Relationship Type="http://schemas.openxmlformats.org/officeDocument/2006/relationships/hyperlink" Id="rId56" Target="https://doi.org/10.1890/0012-9658(2006)87[2411:CBRINF]2.0.CO;2" TargetMode="External" /><Relationship Type="http://schemas.openxmlformats.org/officeDocument/2006/relationships/hyperlink" Id="rId135" Target="https://doi.org/10.32942/X2JW8K" TargetMode="External" /><Relationship Type="http://schemas.openxmlformats.org/officeDocument/2006/relationships/hyperlink" Id="rId69" Target="https://doi.org/10.5486/pmd.1959.6.3-4.12" TargetMode="External" /><Relationship Type="http://schemas.openxmlformats.org/officeDocument/2006/relationships/hyperlink" Id="rId89" Target="https://doi.org/10.64898/2026.02.24.707709" TargetMode="External" /><Relationship Type="http://schemas.openxmlformats.org/officeDocument/2006/relationships/hyperlink" Id="rId113" Target="https://doi.org/10.7717/peerj.251" TargetMode="External" /><Relationship Type="http://schemas.openxmlformats.org/officeDocument/2006/relationships/hyperlink" Id="rId117" Target="https://www.R-project.org/" TargetMode="External" /><Relationship Type="http://schemas.openxmlformats.org/officeDocument/2006/relationships/hyperlink" Id="rId121"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 TargetMode="External" /><Relationship Type="http://schemas.openxmlformats.org/officeDocument/2006/relationships/hyperlink" Id="rId58"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3"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79" Target="https://doi.org/10.1016/j.tree.2010.03.002" TargetMode="External" /><Relationship Type="http://schemas.openxmlformats.org/officeDocument/2006/relationships/hyperlink" Id="rId99"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2" Target="https://doi.org/10.1038/s41467-024-53000-2" TargetMode="External" /><Relationship Type="http://schemas.openxmlformats.org/officeDocument/2006/relationships/hyperlink" Id="rId77" Target="https://doi.org/10.1038/s44358-025-00056-7" TargetMode="External" /><Relationship Type="http://schemas.openxmlformats.org/officeDocument/2006/relationships/hyperlink" Id="rId105" Target="https://doi.org/10.1073/pnas.0710672105" TargetMode="External" /><Relationship Type="http://schemas.openxmlformats.org/officeDocument/2006/relationships/hyperlink" Id="rId151" Target="https://doi.org/10.1073/pnas.1408471111" TargetMode="External" /><Relationship Type="http://schemas.openxmlformats.org/officeDocument/2006/relationships/hyperlink" Id="rId119" Target="https://doi.org/10.1086/653667" TargetMode="External" /><Relationship Type="http://schemas.openxmlformats.org/officeDocument/2006/relationships/hyperlink" Id="rId131" Target="https://doi.org/10.1098/rspb.2007.0571" TargetMode="External" /><Relationship Type="http://schemas.openxmlformats.org/officeDocument/2006/relationships/hyperlink" Id="rId64"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5" Target="https://doi.org/10.1101/2024.01.30.578036" TargetMode="External" /><Relationship Type="http://schemas.openxmlformats.org/officeDocument/2006/relationships/hyperlink" Id="rId139" Target="https://doi.org/10.1111/1365-2435.12710" TargetMode="External" /><Relationship Type="http://schemas.openxmlformats.org/officeDocument/2006/relationships/hyperlink" Id="rId87"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75" Target="https://doi.org/10.1111/2041-210X.14212" TargetMode="External" /><Relationship Type="http://schemas.openxmlformats.org/officeDocument/2006/relationships/hyperlink" Id="rId101" Target="https://doi.org/10.1111/brv.12366" TargetMode="External" /><Relationship Type="http://schemas.openxmlformats.org/officeDocument/2006/relationships/hyperlink" Id="rId60" Target="https://doi.org/10.1111/brv.12433" TargetMode="External" /><Relationship Type="http://schemas.openxmlformats.org/officeDocument/2006/relationships/hyperlink" Id="rId81"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93"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85" Target="https://doi.org/10.1111/gcb.70061" TargetMode="External" /><Relationship Type="http://schemas.openxmlformats.org/officeDocument/2006/relationships/hyperlink" Id="rId127" Target="https://doi.org/10.1111/geb.70113" TargetMode="External" /><Relationship Type="http://schemas.openxmlformats.org/officeDocument/2006/relationships/hyperlink" Id="rId149" Target="https://doi.org/10.1111/j.1365-2656.2008.01362.x" TargetMode="External" /><Relationship Type="http://schemas.openxmlformats.org/officeDocument/2006/relationships/hyperlink" Id="rId141"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3" Target="https://doi.org/10.1111/oik.02256" TargetMode="External" /><Relationship Type="http://schemas.openxmlformats.org/officeDocument/2006/relationships/hyperlink" Id="rId97" Target="https://doi.org/10.1126/science.298.5594.824" TargetMode="External" /><Relationship Type="http://schemas.openxmlformats.org/officeDocument/2006/relationships/hyperlink" Id="rId71" Target="https://doi.org/10.1126/science.abn4012" TargetMode="External" /><Relationship Type="http://schemas.openxmlformats.org/officeDocument/2006/relationships/hyperlink" Id="rId54" Target="https://doi.org/10.1137/141000671" TargetMode="External" /><Relationship Type="http://schemas.openxmlformats.org/officeDocument/2006/relationships/hyperlink" Id="rId147" Target="https://doi.org/10.1140/epjb/e2004-00122-1" TargetMode="External" /><Relationship Type="http://schemas.openxmlformats.org/officeDocument/2006/relationships/hyperlink" Id="rId83" Target="https://doi.org/10.1146/annurev-ecolsys-012220-120819" TargetMode="External" /><Relationship Type="http://schemas.openxmlformats.org/officeDocument/2006/relationships/hyperlink" Id="rId143" Target="https://doi.org/10.1146/annurev-ecolsys-110316-022821" TargetMode="External" /><Relationship Type="http://schemas.openxmlformats.org/officeDocument/2006/relationships/hyperlink" Id="rId67" Target="https://doi.org/10.1371/journal.pbio.0060102" TargetMode="External" /><Relationship Type="http://schemas.openxmlformats.org/officeDocument/2006/relationships/hyperlink" Id="rId95" Target="https://doi.org/10.1371/journal.pcbi.1007076" TargetMode="External" /><Relationship Type="http://schemas.openxmlformats.org/officeDocument/2006/relationships/hyperlink" Id="rId56" Target="https://doi.org/10.1890/0012-9658(2006)87[2411:CBRINF]2.0.CO;2" TargetMode="External" /><Relationship Type="http://schemas.openxmlformats.org/officeDocument/2006/relationships/hyperlink" Id="rId135" Target="https://doi.org/10.32942/X2JW8K" TargetMode="External" /><Relationship Type="http://schemas.openxmlformats.org/officeDocument/2006/relationships/hyperlink" Id="rId69" Target="https://doi.org/10.5486/pmd.1959.6.3-4.12" TargetMode="External" /><Relationship Type="http://schemas.openxmlformats.org/officeDocument/2006/relationships/hyperlink" Id="rId89" Target="https://doi.org/10.64898/2026.02.24.707709" TargetMode="External" /><Relationship Type="http://schemas.openxmlformats.org/officeDocument/2006/relationships/hyperlink" Id="rId113" Target="https://doi.org/10.7717/peerj.251" TargetMode="External" /><Relationship Type="http://schemas.openxmlformats.org/officeDocument/2006/relationships/hyperlink" Id="rId117" Target="https://www.R-project.org/" TargetMode="External" /><Relationship Type="http://schemas.openxmlformats.org/officeDocument/2006/relationships/hyperlink" Id="rId121"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Pincelli M. Hull; Crispin T.S. Little; Catalina Pimiento; Andy Ridgwell; Andrew P. Beckerman; Alexander Dunhill</dc:creator>
  <cp:keywords>Ecological networks, Biotic interactions, Community assembly, Environmental gradients, Interaction turnover, Trophic organisation, Ecosystem resilience, Macroecology</cp:keywords>
  <dcterms:created xsi:type="dcterms:W3CDTF">2026-04-24T10:22:28Z</dcterms:created>
  <dcterms:modified xsi:type="dcterms:W3CDTF">2026-04-24T10:22:28Z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studiedShelly 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https://www.zotero.org/styles/global-ecology-and-biogeography</vt:lpwstr>
  </property>
  <property fmtid="{D5CDD505-2E9C-101B-9397-08002B2CF9AE}" pid="12" name="date">
    <vt:lpwstr>2026-04-24</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