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PFIM configs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2025-03-17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[1]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dunhill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Dunhill, A.M.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</w:t>
      </w:r>
      <w:r>
        <w:t xml:space="preserve"> </w:t>
      </w:r>
      <w:hyperlink r:id="rId20">
        <w:r>
          <w:rPr>
            <w:rStyle w:val="Hyperlink"/>
          </w:rPr>
          <w:t xml:space="preserve">Extinction cascades, community collapse, and recovery across a Mesozoic hyperthermal event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15, 8599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38/s41467-024-53000-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38/s41467-024-53000-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PFIM configs</dc:title>
  <dc:creator>Tanya Strydom; Andrew P. Beckerman</dc:creator>
  <cp:keywords>food web, network construction</cp:keywords>
  <dcterms:created xsi:type="dcterms:W3CDTF">2025-03-17T11:42:45Z</dcterms:created>
  <dcterms:modified xsi:type="dcterms:W3CDTF">2025-03-17T11:42:45Z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sl">
    <vt:lpwstr>https://www.zotero.org/styles/trends-in-ecology-and-evolution</vt:lpwstr>
  </property>
  <property fmtid="{D5CDD505-2E9C-101B-9397-08002B2CF9AE}" pid="12" name="date">
    <vt:lpwstr>2025-03-17</vt:lpwstr>
  </property>
  <property fmtid="{D5CDD505-2E9C-101B-9397-08002B2CF9AE}" pid="13" name="funding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