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PFIM configs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2025-03-17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[1]</w:t>
      </w:r>
    </w:p>
    <w:bookmarkStart w:id="23" w:name="references"/>
    <w:p>
      <w:pPr>
        <w:pStyle w:val="Heading1"/>
      </w:pPr>
      <w:r>
        <w:t xml:space="preserve">References</w:t>
      </w:r>
    </w:p>
    <w:bookmarkStart w:id="22" w:name="refs"/>
    <w:bookmarkStart w:id="21" w:name="ref-dunhill2024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Dunhill, A.M.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(2024)</w:t>
      </w:r>
      <w:r>
        <w:t xml:space="preserve"> </w:t>
      </w:r>
      <w:hyperlink r:id="rId20">
        <w:r>
          <w:rPr>
            <w:rStyle w:val="Hyperlink"/>
          </w:rPr>
          <w:t xml:space="preserve">Extinction cascades, community collapse, and recovery across a Mesozoic hyperthermal event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 </w:t>
      </w:r>
      <w:r>
        <w:t xml:space="preserve">15, 8599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38/s41467-024-53000-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38/s41467-024-53000-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PFIM configs</dc:title>
  <dc:creator>Tanya Strydom; Andrew P. Beckerman</dc:creator>
  <cp:keywords>food web, network construction</cp:keywords>
  <dcterms:created xsi:type="dcterms:W3CDTF">2025-03-17T12:23:14Z</dcterms:created>
  <dcterms:modified xsi:type="dcterms:W3CDTF">2025-03-17T12:23:14Z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sl">
    <vt:lpwstr>https://www.zotero.org/styles/trends-in-ecology-and-evolution</vt:lpwstr>
  </property>
  <property fmtid="{D5CDD505-2E9C-101B-9397-08002B2CF9AE}" pid="12" name="date">
    <vt:lpwstr>2025-03-17</vt:lpwstr>
  </property>
  <property fmtid="{D5CDD505-2E9C-101B-9397-08002B2CF9AE}" pid="13" name="funding">
    <vt:lpwstr/>
  </property>
  <property fmtid="{D5CDD505-2E9C-101B-9397-08002B2CF9AE}" pid="14" name="google-scholar">
    <vt:lpwstr>True</vt:lpwstr>
  </property>
  <property fmtid="{D5CDD505-2E9C-101B-9397-08002B2CF9AE}" pid="15" name="header-includes">
    <vt:lpwstr/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