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2024-03-18</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1"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Cs/>
          <w:i/>
        </w:rPr>
        <w:t xml:space="preserve">i.e.,</w:t>
      </w:r>
      <w:r>
        <w:t xml:space="preserve"> </w:t>
      </w:r>
      <w:r>
        <w:t xml:space="preserve">one which</w:t>
      </w:r>
      <w:r>
        <w:t xml:space="preserve"> </w:t>
      </w:r>
      <w:r>
        <w:rPr>
          <w:iCs/>
          <w:i/>
        </w:rPr>
        <w:t xml:space="preserve">perfectly</w:t>
      </w:r>
      <w:r>
        <w:t xml:space="preserve"> </w:t>
      </w:r>
      <w:r>
        <w:t xml:space="preserve">captures the dynamics for a specific community one needs to consider and account for many different moving parts (</w:t>
      </w:r>
      <w:r>
        <w:rPr>
          <w:iCs/>
          <w:i/>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networks for the purpose of running further simulations (</w:t>
      </w:r>
      <w:r>
        <w:rPr>
          <w:iCs/>
          <w:i/>
        </w:rPr>
        <w:t xml:space="preserve">e.g.,</w:t>
      </w:r>
      <w:r>
        <w:t xml:space="preserve"> </w:t>
      </w:r>
      <w:r>
        <w:t xml:space="preserve">extinction sim</w:t>
      </w:r>
      <w:r>
        <w:t xml:space="preserve"> </w:t>
      </w:r>
      <w:r>
        <w:rPr>
          <w:bCs/>
          <w:b/>
        </w:rPr>
        <w:t xml:space="preserve">TODO</w:t>
      </w:r>
      <w:r>
        <w:t xml:space="preserve">) or understanding some higher-level process/concept (</w:t>
      </w:r>
      <w:r>
        <w:rPr>
          <w:iCs/>
          <w:i/>
        </w:rPr>
        <w:t xml:space="preserve">e.g.,</w:t>
      </w:r>
      <w:r>
        <w:t xml:space="preserve"> </w:t>
      </w:r>
      <w:r>
        <w:t xml:space="preserve">energetics</w:t>
      </w:r>
      <w:r>
        <w:t xml:space="preserve"> </w:t>
      </w:r>
      <w:r>
        <w:rPr>
          <w:bCs/>
          <w:b/>
        </w:rPr>
        <w:t xml:space="preserve">TODO</w:t>
      </w:r>
      <w:r>
        <w:t xml:space="preserve">). This researcher is contrasted by one that is interested in constructing real-world, location specific, interaction data in lieu of inventorying interactions based n observations made in the field</w:t>
      </w:r>
      <w:r>
        <w:t xml:space="preserve"> </w:t>
      </w:r>
      <w:r>
        <w:t xml:space="preserve">(Strydom et al. 2021)</w:t>
      </w:r>
      <w:r>
        <w:t xml:space="preserve">. Of course these two categories are not two distinct, mutually exclusive, groups but can rather be viewed as operating on a gradient ranging from a need for generality (</w:t>
      </w:r>
      <w:r>
        <w:rPr>
          <w:iCs/>
          <w:i/>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A breakdown of network generators; statement of need and core philosophies</w:t>
      </w:r>
    </w:p>
    <w:p>
      <w:pPr>
        <w:numPr>
          <w:ilvl w:val="0"/>
          <w:numId w:val="1002"/>
        </w:numPr>
      </w:pPr>
      <w:r>
        <w:t xml:space="preserve">A breakdown of interaction predictors; statement of need (</w:t>
      </w:r>
      <w:r>
        <w:t xml:space="preserve">(Jordano 2016b, 2016a; Poisot et al. 2021)</w:t>
      </w:r>
      <w:r>
        <w:t xml:space="preserve">) and core philosophies (trait-matching, coexistence)</w:t>
      </w:r>
    </w:p>
    <w:p>
      <w:pPr>
        <w:numPr>
          <w:ilvl w:val="0"/>
          <w:numId w:val="1002"/>
        </w:numPr>
      </w:pPr>
      <w:r>
        <w:t xml:space="preserve">Stands to reason then that we have developed methods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 and that is kinda what we are trying to achieve.</w:t>
      </w:r>
    </w:p>
    <w:p>
      <w:pPr>
        <w:pStyle w:val="FirstParagraph"/>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Start w:id="20" w:name="the-history-behind-the-approach"/>
    <w:p>
      <w:pPr>
        <w:pStyle w:val="Heading3"/>
      </w:pPr>
      <w:r>
        <w:t xml:space="preserve">1.1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End w:id="21"/>
    <w:bookmarkStart w:id="28" w:name="sec-data-methods"/>
    <w:p>
      <w:pPr>
        <w:pStyle w:val="Heading2"/>
      </w:pPr>
      <w:r>
        <w:t xml:space="preserve">2 Data &amp; Methods</w:t>
      </w:r>
    </w:p>
    <w:p>
      <w:pPr>
        <w:pStyle w:val="FirstParagraph"/>
      </w:pPr>
      <w:r>
        <w:t xml:space="preserve">Here we only look at families of models that are explicitly developed to construct</w:t>
      </w:r>
      <w:r>
        <w:t xml:space="preserve"> </w:t>
      </w:r>
      <w:r>
        <w:rPr>
          <w:iCs/>
          <w:i/>
        </w:rPr>
        <w:t xml:space="preserve">de novo</w:t>
      </w:r>
      <w:r>
        <w:t xml:space="preserve"> </w:t>
      </w:r>
      <w:r>
        <w:t xml:space="preserve">networks, be this in the form of either artificial or synthetic networks.</w:t>
      </w:r>
    </w:p>
    <w:bookmarkStart w:id="22" w:name="topology-generators"/>
    <w:p>
      <w:pPr>
        <w:pStyle w:val="Heading3"/>
      </w:pPr>
      <w:r>
        <w:t xml:space="preserve">2.1 Topology Generators</w:t>
      </w:r>
    </w:p>
    <w:p>
      <w:pPr>
        <w:pStyle w:val="FirstParagraph"/>
      </w:pPr>
      <w:r>
        <w:rPr>
          <w:bCs/>
          <w:b/>
        </w:rPr>
        <w:t xml:space="preserve">Null models</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Neutral models</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models</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p>
      <w:pPr>
        <w:pStyle w:val="BlockText"/>
      </w:pPr>
      <w:r>
        <w:t xml:space="preserve">Gravel et al. (2013)</w:t>
      </w:r>
      <w:r>
        <w:t xml:space="preserve"> </w:t>
      </w:r>
      <w:r>
        <w:t xml:space="preserve">also poses an interesting cross-over between the adbm and niche model.</w:t>
      </w:r>
    </w:p>
    <w:bookmarkEnd w:id="22"/>
    <w:bookmarkStart w:id="24" w:name="interaction-predictors"/>
    <w:p>
      <w:pPr>
        <w:pStyle w:val="Heading3"/>
      </w:pPr>
      <w:r>
        <w:t xml:space="preserve">2.2 Interaction Predictors</w:t>
      </w:r>
    </w:p>
    <w:p>
      <w:pPr>
        <w:pStyle w:val="FirstParagraph"/>
      </w:pPr>
      <w:r>
        <w:rPr>
          <w:bCs/>
          <w:b/>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w:t>
      </w:r>
      <w:r>
        <w:t xml:space="preserve"> </w:t>
      </w:r>
      <w:r>
        <w:t xml:space="preserve">Pires et al. (2020)</w:t>
      </w:r>
      <w:r>
        <w:t xml:space="preserve">)</w:t>
      </w:r>
    </w:p>
    <w:p>
      <w:pPr>
        <w:pStyle w:val="BodyText"/>
      </w:pPr>
      <w:r>
        <w:rPr>
          <w:bCs/>
          <w:b/>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3"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tblLook w:firstRow="1" w:lastRow="0" w:firstColumn="0" w:lastColumn="0" w:noHBand="0" w:noVBand="0" w:val="0020"/>
              <w:jc w:val="start"/>
              <w:tblLayout w:type="fixed"/>
            </w:tblPr>
            <w:tblGrid>
              <w:gridCol w:w="1320"/>
              <w:gridCol w:w="1320"/>
              <w:gridCol w:w="1320"/>
              <w:gridCol w:w="1320"/>
              <w:gridCol w:w="1320"/>
              <w:gridCol w:w="132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Predicts</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Data-driven</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jc w:val="left"/>
                    <w:jc w:val="center"/>
                  </w:pPr>
                  <w:r>
                    <w:t xml:space="preserve">interactions</w:t>
                  </w: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interactions</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jc w:val="left"/>
                    <w:jc w:val="center"/>
                  </w:pPr>
                  <w:r>
                    <w:t xml:space="preserve">yes</w:t>
                  </w: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jc w:val="left"/>
                    <w:jc w:val="center"/>
                  </w:pPr>
                  <w:r>
                    <w:t xml:space="preserve">yes</w:t>
                  </w: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3"/>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4"/>
    <w:bookmarkStart w:id="25" w:name="datasets-used"/>
    <w:p>
      <w:pPr>
        <w:pStyle w:val="Heading3"/>
      </w:pPr>
      <w:r>
        <w:t xml:space="preserve">2.3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5"/>
    <w:bookmarkStart w:id="27" w:name="comparing-different-models"/>
    <w:p>
      <w:pPr>
        <w:pStyle w:val="Heading3"/>
      </w:pPr>
      <w:r>
        <w:t xml:space="preserve">2.4 Comparing different models</w:t>
      </w:r>
    </w:p>
    <w:p>
      <w:pPr>
        <w:pStyle w:val="FirstParagraph"/>
      </w:pPr>
      <w:r>
        <w:t xml:space="preserve">For now the (still essentially pending) workflow/associated code can be found at the following repository</w:t>
      </w:r>
      <w:r>
        <w:t xml:space="preserve"> </w:t>
      </w:r>
      <w:hyperlink r:id="rId26">
        <w:r>
          <w:rPr>
            <w:rStyle w:val="Hyperlink"/>
          </w:rPr>
          <w:t xml:space="preserve">BecksLab/topology_generators</w:t>
        </w:r>
      </w:hyperlink>
    </w:p>
    <w:p>
      <w:pPr>
        <w:numPr>
          <w:ilvl w:val="0"/>
          <w:numId w:val="1003"/>
        </w:numPr>
        <w:pStyle w:val="Compact"/>
      </w:pPr>
      <w:r>
        <w:t xml:space="preserve">Shortlist/finalise the different topo generators</w:t>
      </w:r>
    </w:p>
    <w:p>
      <w:pPr>
        <w:numPr>
          <w:ilvl w:val="0"/>
          <w:numId w:val="1003"/>
        </w:numPr>
        <w:pStyle w:val="Compact"/>
      </w:pPr>
      <w:r>
        <w:t xml:space="preserve">collate/translate into</w:t>
      </w:r>
      <w:r>
        <w:t xml:space="preserve"> </w:t>
      </w:r>
      <w:r>
        <w:rPr>
          <w:rStyle w:val="VerbatimChar"/>
        </w:rPr>
        <w:t xml:space="preserve">Julia</w:t>
      </w:r>
    </w:p>
    <w:p>
      <w:pPr>
        <w:numPr>
          <w:ilvl w:val="1"/>
          <w:numId w:val="1004"/>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4"/>
        </w:numPr>
        <w:pStyle w:val="Compact"/>
      </w:pPr>
      <w:r>
        <w:t xml:space="preserve">others will need to be coded out (the more simpler models should be easier)</w:t>
      </w:r>
    </w:p>
    <w:p>
      <w:pPr>
        <w:numPr>
          <w:ilvl w:val="1"/>
          <w:numId w:val="1004"/>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3"/>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5"/>
        </w:numPr>
        <w:pStyle w:val="Compact"/>
      </w:pPr>
      <w:r>
        <w:t xml:space="preserve">Need to also think about where one might find the additional data for some of the models…</w:t>
      </w:r>
    </w:p>
    <w:p>
      <w:pPr>
        <w:numPr>
          <w:ilvl w:val="2"/>
          <w:numId w:val="1006"/>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6"/>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6"/>
        </w:numPr>
        <w:pStyle w:val="Compact"/>
      </w:pPr>
      <w:r>
        <w:t xml:space="preserve">This is where we’ll get the paleo traits from if I’m correct</w:t>
      </w:r>
      <w:r>
        <w:t xml:space="preserve"> </w:t>
      </w:r>
      <w:r>
        <w:t xml:space="preserve">Bambach, Bush, and Erwin (2007)</w:t>
      </w:r>
    </w:p>
    <w:p>
      <w:pPr>
        <w:numPr>
          <w:ilvl w:val="2"/>
          <w:numId w:val="1006"/>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5"/>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5"/>
        </w:numPr>
        <w:pStyle w:val="Compact"/>
      </w:pPr>
      <w:r>
        <w:t xml:space="preserve">Taxonomic harmonisation - something to think about and check</w:t>
      </w:r>
    </w:p>
    <w:p>
      <w:pPr>
        <w:numPr>
          <w:ilvl w:val="0"/>
          <w:numId w:val="1003"/>
        </w:numPr>
        <w:pStyle w:val="Compact"/>
      </w:pPr>
      <w:r>
        <w:t xml:space="preserve">compare model performance based on the ideas currently listed in the results section.</w:t>
      </w:r>
    </w:p>
    <w:p>
      <w:pPr>
        <w:numPr>
          <w:ilvl w:val="0"/>
          <w:numId w:val="1003"/>
        </w:numPr>
        <w:pStyle w:val="Compact"/>
      </w:pPr>
      <w:r>
        <w:t xml:space="preserve">Make a pretty picture that summarises things - maybe overlapping Venn circles that showcase which models do well in the different spheres/aspects of life</w:t>
      </w:r>
    </w:p>
    <w:bookmarkEnd w:id="27"/>
    <w:bookmarkEnd w:id="28"/>
    <w:bookmarkStart w:id="35"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7"/>
        </w:numPr>
        <w:pStyle w:val="Compact"/>
      </w:pPr>
      <w:r>
        <w:t xml:space="preserve">Structural vs pairwise link predictions (graph vs node level)</w:t>
      </w:r>
    </w:p>
    <w:p>
      <w:pPr>
        <w:numPr>
          <w:ilvl w:val="1"/>
          <w:numId w:val="1008"/>
        </w:numPr>
        <w:pStyle w:val="Compact"/>
      </w:pPr>
      <w:r>
        <w:t xml:space="preserve">% of links correctly retrieved</w:t>
      </w:r>
    </w:p>
    <w:p>
      <w:pPr>
        <w:numPr>
          <w:ilvl w:val="1"/>
          <w:numId w:val="1008"/>
        </w:numPr>
        <w:pStyle w:val="Compact"/>
      </w:pPr>
      <w:r>
        <w:t xml:space="preserve">connectance</w:t>
      </w:r>
    </w:p>
    <w:p>
      <w:pPr>
        <w:numPr>
          <w:ilvl w:val="1"/>
          <w:numId w:val="1008"/>
        </w:numPr>
        <w:pStyle w:val="Compact"/>
      </w:pPr>
      <w:r>
        <w:t xml:space="preserve">trophic level</w:t>
      </w:r>
    </w:p>
    <w:p>
      <w:pPr>
        <w:numPr>
          <w:ilvl w:val="1"/>
          <w:numId w:val="1008"/>
        </w:numPr>
        <w:pStyle w:val="Compact"/>
      </w:pPr>
      <w:r>
        <w:t xml:space="preserve">generalism vs specialism</w:t>
      </w:r>
    </w:p>
    <w:p>
      <w:pPr>
        <w:numPr>
          <w:ilvl w:val="1"/>
          <w:numId w:val="1008"/>
        </w:numPr>
        <w:pStyle w:val="Compact"/>
      </w:pPr>
      <w:r>
        <w:t xml:space="preserve">something related to false positives/negatives</w:t>
      </w:r>
    </w:p>
    <w:p>
      <w:pPr>
        <w:numPr>
          <w:ilvl w:val="1"/>
          <w:numId w:val="1008"/>
        </w:numPr>
        <w:pStyle w:val="Compact"/>
      </w:pPr>
      <w:r>
        <w:t xml:space="preserve">intervality</w:t>
      </w:r>
    </w:p>
    <w:p>
      <w:pPr>
        <w:numPr>
          <w:ilvl w:val="0"/>
          <w:numId w:val="1007"/>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7"/>
        </w:numPr>
        <w:pStyle w:val="Compact"/>
      </w:pPr>
      <w:r>
        <w:t xml:space="preserve">I think it would be remiss to not also take into consideration computational cost</w:t>
      </w:r>
    </w:p>
    <w:p>
      <w:pPr>
        <w:numPr>
          <w:ilvl w:val="0"/>
          <w:numId w:val="1007"/>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34" w:name="quantitative-stuff"/>
    <w:p>
      <w:pPr>
        <w:pStyle w:val="Heading3"/>
      </w:pPr>
      <w:r>
        <w:t xml:space="preserve">3.1 Quantitative stuff</w:t>
      </w:r>
    </w:p>
    <w:tbl>
      <w:tblPr>
        <w:tblStyle w:val="Table"/>
        <w:tblW w:type="pct" w:w="5000"/>
        <w:tblLook w:firstRow="0" w:lastRow="0" w:firstColumn="0" w:lastColumn="0" w:noHBand="0" w:noVBand="0" w:val="0000"/>
        <w:jc w:val="start"/>
        <w:tblLayout w:type="fixed"/>
      </w:tblPr>
      <w:tblGrid>
        <w:gridCol w:w="7920"/>
      </w:tblGrid>
      <w:tr>
        <w:tc>
          <w:tcPr/>
          <w:bookmarkStart w:id="32" w:name="fig-topology"/>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model_quantitative-fig-topology-output-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Cs/>
                <w:i/>
              </w:rPr>
              <w:t xml:space="preserve">i.e.,</w:t>
            </w:r>
            <w:r>
              <w:t xml:space="preserve"> </w:t>
            </w:r>
            <w:r>
              <w:t xml:space="preserve">are basal AFAIK</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34"/>
    <w:bookmarkEnd w:id="35"/>
    <w:bookmarkStart w:id="36"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36"/>
    <w:bookmarkStart w:id="104"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103" w:name="refs"/>
    <w:bookmarkStart w:id="3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37">
        <w:r>
          <w:rPr>
            <w:rStyle w:val="Hyperlink"/>
          </w:rPr>
          <w:t xml:space="preserve">https://doi.org/10.1111/j.1475-4983.2006.00611.x</w:t>
        </w:r>
      </w:hyperlink>
      <w:r>
        <w:t xml:space="preserve">.</w:t>
      </w:r>
    </w:p>
    <w:bookmarkEnd w:id="38"/>
    <w:bookmarkStart w:id="40"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Cs/>
          <w:i/>
        </w:rPr>
        <w:t xml:space="preserve">Proceedings of the National Academy of Sciences</w:t>
      </w:r>
      <w:r>
        <w:t xml:space="preserve"> </w:t>
      </w:r>
      <w:r>
        <w:t xml:space="preserve">103 (37): 13745–49.</w:t>
      </w:r>
      <w:r>
        <w:t xml:space="preserve"> </w:t>
      </w:r>
      <w:hyperlink r:id="rId39">
        <w:r>
          <w:rPr>
            <w:rStyle w:val="Hyperlink"/>
          </w:rPr>
          <w:t xml:space="preserve">https://doi.org/10.1073/pnas.0603039103</w:t>
        </w:r>
      </w:hyperlink>
      <w:r>
        <w:t xml:space="preserve">.</w:t>
      </w:r>
    </w:p>
    <w:bookmarkEnd w:id="40"/>
    <w:bookmarkStart w:id="42"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41">
        <w:r>
          <w:rPr>
            <w:rStyle w:val="Hyperlink"/>
          </w:rPr>
          <w:t xml:space="preserve">https://doi.org/10.1073/pnas.0800967105</w:t>
        </w:r>
      </w:hyperlink>
      <w:r>
        <w:t xml:space="preserve">.</w:t>
      </w:r>
    </w:p>
    <w:bookmarkEnd w:id="42"/>
    <w:bookmarkStart w:id="44"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 </w:t>
      </w:r>
      <w:hyperlink r:id="rId43">
        <w:r>
          <w:rPr>
            <w:rStyle w:val="Hyperlink"/>
          </w:rPr>
          <w:t xml:space="preserve">https://doi.org/10.32942/X29K55</w:t>
        </w:r>
      </w:hyperlink>
      <w:r>
        <w:t xml:space="preserve">.</w:t>
      </w:r>
    </w:p>
    <w:bookmarkEnd w:id="44"/>
    <w:bookmarkStart w:id="46"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45">
        <w:r>
          <w:rPr>
            <w:rStyle w:val="Hyperlink"/>
          </w:rPr>
          <w:t xml:space="preserve">https://doi.org/10.1111/ele.13966</w:t>
        </w:r>
      </w:hyperlink>
      <w:r>
        <w:t xml:space="preserve">.</w:t>
      </w:r>
    </w:p>
    <w:bookmarkEnd w:id="46"/>
    <w:bookmarkStart w:id="48"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47">
        <w:r>
          <w:rPr>
            <w:rStyle w:val="Hyperlink"/>
          </w:rPr>
          <w:t xml:space="preserve">https://doi.org/10.1038/nature02327</w:t>
        </w:r>
      </w:hyperlink>
      <w:r>
        <w:t xml:space="preserve">.</w:t>
      </w:r>
    </w:p>
    <w:bookmarkEnd w:id="48"/>
    <w:bookmarkStart w:id="49"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 Berlin Heidelberg: Springer-Verlag.</w:t>
      </w:r>
    </w:p>
    <w:bookmarkEnd w:id="49"/>
    <w:bookmarkStart w:id="51"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50">
        <w:r>
          <w:rPr>
            <w:rStyle w:val="Hyperlink"/>
          </w:rPr>
          <w:t xml:space="preserve">https://doi.org/10.1098/rspb.1985.0042</w:t>
        </w:r>
      </w:hyperlink>
      <w:r>
        <w:t xml:space="preserve">.</w:t>
      </w:r>
    </w:p>
    <w:bookmarkEnd w:id="51"/>
    <w:bookmarkStart w:id="52"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 Oxford University Press.</w:t>
      </w:r>
    </w:p>
    <w:bookmarkEnd w:id="52"/>
    <w:bookmarkStart w:id="54"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53">
        <w:r>
          <w:rPr>
            <w:rStyle w:val="Hyperlink"/>
          </w:rPr>
          <w:t xml:space="preserve">https://doi.org/10.1371/journal.pbio.0060102</w:t>
        </w:r>
      </w:hyperlink>
      <w:r>
        <w:t xml:space="preserve">.</w:t>
      </w:r>
    </w:p>
    <w:bookmarkEnd w:id="54"/>
    <w:bookmarkStart w:id="56"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55">
        <w:r>
          <w:rPr>
            <w:rStyle w:val="Hyperlink"/>
          </w:rPr>
          <w:t xml:space="preserve">https://doi.org/10.5486/PMD.1959.6.3-4.12</w:t>
        </w:r>
      </w:hyperlink>
      <w:r>
        <w:t xml:space="preserve">.</w:t>
      </w:r>
    </w:p>
    <w:bookmarkEnd w:id="56"/>
    <w:bookmarkStart w:id="58"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w:t>
      </w:r>
      <w:r>
        <w:t xml:space="preserve"> </w:t>
      </w:r>
      <w:hyperlink r:id="rId57">
        <w:r>
          <w:rPr>
            <w:rStyle w:val="Hyperlink"/>
          </w:rPr>
          <w:t xml:space="preserve">https://doi.org/10.1111/2041-210X.12103</w:t>
        </w:r>
      </w:hyperlink>
      <w:r>
        <w:t xml:space="preserve">.</w:t>
      </w:r>
    </w:p>
    <w:bookmarkEnd w:id="58"/>
    <w:bookmarkStart w:id="60"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59">
        <w:r>
          <w:rPr>
            <w:rStyle w:val="Hyperlink"/>
          </w:rPr>
          <w:t xml:space="preserve">https://doi.org/10.1038/s41597-022-01364-9</w:t>
        </w:r>
      </w:hyperlink>
      <w:r>
        <w:t xml:space="preserve">.</w:t>
      </w:r>
    </w:p>
    <w:bookmarkEnd w:id="60"/>
    <w:bookmarkStart w:id="62"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61">
        <w:r>
          <w:rPr>
            <w:rStyle w:val="Hyperlink"/>
          </w:rPr>
          <w:t xml:space="preserve">https://doi.org/10.1890/08-1494.1</w:t>
        </w:r>
      </w:hyperlink>
      <w:r>
        <w:t xml:space="preserve">.</w:t>
      </w:r>
    </w:p>
    <w:bookmarkEnd w:id="62"/>
    <w:bookmarkStart w:id="64"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63">
        <w:r>
          <w:rPr>
            <w:rStyle w:val="Hyperlink"/>
          </w:rPr>
          <w:t xml:space="preserve">https://doi.org/10.1371/journal.pbio.1002559</w:t>
        </w:r>
      </w:hyperlink>
      <w:r>
        <w:t xml:space="preserve">.</w:t>
      </w:r>
    </w:p>
    <w:bookmarkEnd w:id="64"/>
    <w:bookmarkStart w:id="66"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65">
        <w:r>
          <w:rPr>
            <w:rStyle w:val="Hyperlink"/>
          </w:rPr>
          <w:t xml:space="preserve">https://doi.org/10.1111/1365-2435.12763</w:t>
        </w:r>
      </w:hyperlink>
      <w:r>
        <w:t xml:space="preserve">.</w:t>
      </w:r>
    </w:p>
    <w:bookmarkEnd w:id="66"/>
    <w:bookmarkStart w:id="68"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67">
        <w:r>
          <w:rPr>
            <w:rStyle w:val="Hyperlink"/>
          </w:rPr>
          <w:t xml:space="preserve">https://doi.org/10.1073/pnas.0710672105</w:t>
        </w:r>
      </w:hyperlink>
      <w:r>
        <w:t xml:space="preserve">.</w:t>
      </w:r>
    </w:p>
    <w:bookmarkEnd w:id="68"/>
    <w:bookmarkStart w:id="70"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69">
        <w:r>
          <w:rPr>
            <w:rStyle w:val="Hyperlink"/>
          </w:rPr>
          <w:t xml:space="preserve">https://doi.org/10.1016/j.jtbi.2011.03.019</w:t>
        </w:r>
      </w:hyperlink>
      <w:r>
        <w:t xml:space="preserve">.</w:t>
      </w:r>
    </w:p>
    <w:bookmarkEnd w:id="70"/>
    <w:bookmarkStart w:id="72"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71">
        <w:r>
          <w:rPr>
            <w:rStyle w:val="Hyperlink"/>
          </w:rPr>
          <w:t xml:space="preserve">https://doi.org/10.1016/j.quascirev.2020.106696</w:t>
        </w:r>
      </w:hyperlink>
      <w:r>
        <w:t xml:space="preserve">.</w:t>
      </w:r>
    </w:p>
    <w:bookmarkEnd w:id="72"/>
    <w:bookmarkStart w:id="74"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73">
        <w:r>
          <w:rPr>
            <w:rStyle w:val="Hyperlink"/>
          </w:rPr>
          <w:t xml:space="preserve">https://doi.org/10.1111/jbi.14127</w:t>
        </w:r>
      </w:hyperlink>
      <w:r>
        <w:t xml:space="preserve">.</w:t>
      </w:r>
    </w:p>
    <w:bookmarkEnd w:id="74"/>
    <w:bookmarkStart w:id="76"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75">
        <w:r>
          <w:rPr>
            <w:rStyle w:val="Hyperlink"/>
          </w:rPr>
          <w:t xml:space="preserve">https://doi.org/10.1111/oik.01719</w:t>
        </w:r>
      </w:hyperlink>
      <w:r>
        <w:t xml:space="preserve">.</w:t>
      </w:r>
    </w:p>
    <w:bookmarkEnd w:id="76"/>
    <w:bookmarkStart w:id="78"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77">
        <w:r>
          <w:rPr>
            <w:rStyle w:val="Hyperlink"/>
          </w:rPr>
          <w:t xml:space="preserve">https://doi.org/10.1086/653667</w:t>
        </w:r>
      </w:hyperlink>
      <w:r>
        <w:t xml:space="preserve">.</w:t>
      </w:r>
    </w:p>
    <w:bookmarkEnd w:id="78"/>
    <w:bookmarkStart w:id="80"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79">
        <w:r>
          <w:rPr>
            <w:rStyle w:val="Hyperlink"/>
          </w:rPr>
          <w:t xml:space="preserve">https://doi.org/10.1016/j.jtbi.2005.12.021</w:t>
        </w:r>
      </w:hyperlink>
      <w:r>
        <w:t xml:space="preserve">.</w:t>
      </w:r>
    </w:p>
    <w:bookmarkEnd w:id="80"/>
    <w:bookmarkStart w:id="82"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81">
        <w:r>
          <w:rPr>
            <w:rStyle w:val="Hyperlink"/>
          </w:rPr>
          <w:t xml:space="preserve">https://doi.org/10.1101/2024.01.30.578036</w:t>
        </w:r>
      </w:hyperlink>
      <w:r>
        <w:t xml:space="preserve">.</w:t>
      </w:r>
    </w:p>
    <w:bookmarkEnd w:id="82"/>
    <w:bookmarkStart w:id="84"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83">
        <w:r>
          <w:rPr>
            <w:rStyle w:val="Hyperlink"/>
          </w:rPr>
          <w:t xml:space="preserve">https://doi.org/10.1890/04-0957</w:t>
        </w:r>
      </w:hyperlink>
      <w:r>
        <w:t xml:space="preserve">.</w:t>
      </w:r>
    </w:p>
    <w:bookmarkEnd w:id="84"/>
    <w:bookmarkStart w:id="86"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85">
        <w:r>
          <w:rPr>
            <w:rStyle w:val="Hyperlink"/>
          </w:rPr>
          <w:t xml:space="preserve">https://doi.org/10.1111/2041-210X.13835</w:t>
        </w:r>
      </w:hyperlink>
      <w:r>
        <w:t xml:space="preserve">.</w:t>
      </w:r>
    </w:p>
    <w:bookmarkEnd w:id="86"/>
    <w:bookmarkStart w:id="88"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87">
        <w:r>
          <w:rPr>
            <w:rStyle w:val="Hyperlink"/>
          </w:rPr>
          <w:t xml:space="preserve">https://doi.org/10.1111/2041-210X.14228</w:t>
        </w:r>
      </w:hyperlink>
      <w:r>
        <w:t xml:space="preserve">.</w:t>
      </w:r>
    </w:p>
    <w:bookmarkEnd w:id="88"/>
    <w:bookmarkStart w:id="90"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89">
        <w:r>
          <w:rPr>
            <w:rStyle w:val="Hyperlink"/>
          </w:rPr>
          <w:t xml:space="preserve">https://doi.org/10.1098/rstb.2021.0063</w:t>
        </w:r>
      </w:hyperlink>
      <w:r>
        <w:t xml:space="preserve">.</w:t>
      </w:r>
    </w:p>
    <w:bookmarkEnd w:id="90"/>
    <w:bookmarkStart w:id="92"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91">
        <w:r>
          <w:rPr>
            <w:rStyle w:val="Hyperlink"/>
          </w:rPr>
          <w:t xml:space="preserve">https://doi.org/10.1371/journal.pbio.3000494</w:t>
        </w:r>
      </w:hyperlink>
      <w:r>
        <w:t xml:space="preserve">.</w:t>
      </w:r>
    </w:p>
    <w:bookmarkEnd w:id="92"/>
    <w:bookmarkStart w:id="94"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93">
        <w:r>
          <w:rPr>
            <w:rStyle w:val="Hyperlink"/>
          </w:rPr>
          <w:t xml:space="preserve">https://doi.org/10.1016/j.tree.2022.11.004</w:t>
        </w:r>
      </w:hyperlink>
      <w:r>
        <w:t xml:space="preserve">.</w:t>
      </w:r>
    </w:p>
    <w:bookmarkEnd w:id="94"/>
    <w:bookmarkStart w:id="96"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95">
        <w:r>
          <w:rPr>
            <w:rStyle w:val="Hyperlink"/>
          </w:rPr>
          <w:t xml:space="preserve">https://doi.org/10.1038/35004572</w:t>
        </w:r>
      </w:hyperlink>
      <w:r>
        <w:t xml:space="preserve">.</w:t>
      </w:r>
    </w:p>
    <w:bookmarkEnd w:id="96"/>
    <w:bookmarkStart w:id="98"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97">
        <w:r>
          <w:rPr>
            <w:rStyle w:val="Hyperlink"/>
          </w:rPr>
          <w:t xml:space="preserve">https://doi.org/10.1111/j.1365-2656.2008.01362.x</w:t>
        </w:r>
      </w:hyperlink>
      <w:r>
        <w:t xml:space="preserve">.</w:t>
      </w:r>
    </w:p>
    <w:bookmarkEnd w:id="98"/>
    <w:bookmarkStart w:id="100"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99">
        <w:r>
          <w:rPr>
            <w:rStyle w:val="Hyperlink"/>
          </w:rPr>
          <w:t xml:space="preserve">https://doi.org/10.1890/13-1917.1</w:t>
        </w:r>
      </w:hyperlink>
      <w:r>
        <w:t xml:space="preserve">.</w:t>
      </w:r>
    </w:p>
    <w:bookmarkEnd w:id="100"/>
    <w:bookmarkStart w:id="102"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01">
        <w:r>
          <w:rPr>
            <w:rStyle w:val="Hyperlink"/>
          </w:rPr>
          <w:t xml:space="preserve">https://doi.org/10.1073/pnas.1408471111</w:t>
        </w:r>
      </w:hyperlink>
      <w:r>
        <w:t xml:space="preserve">.</w:t>
      </w:r>
    </w:p>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2024-03-19T07:59:27Z</dcterms:created>
  <dcterms:modified xsi:type="dcterms:W3CDTF">2024-03-19T07:59:27Z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2024-03-18</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