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40.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2024-06-17</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5"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Cs/>
          <w:i/>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Cs/>
          <w:i/>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w:t>
      </w:r>
      <w:r>
        <w:t xml:space="preserve"> </w:t>
      </w:r>
      <w:r>
        <w:rPr>
          <w:iCs/>
          <w:i/>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Cs/>
          <w:i/>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34"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Cs/>
          <w:i/>
        </w:rPr>
        <w:t xml:space="preserve">e.g.,</w:t>
      </w:r>
      <w:r>
        <w:t xml:space="preserve"> </w:t>
      </w:r>
      <w:r>
        <w:t xml:space="preserve">stability), and potentially the function of communities (</w:t>
      </w:r>
      <w:r>
        <w:rPr>
          <w:iCs/>
          <w:i/>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Moving between the feasibility and reality of interactions</w:t>
            </w:r>
          </w:p>
          <w:p>
            <w:pPr>
              <w:pStyle w:val="BodyText"/>
            </w:pPr>
            <w:pPr>
              <w:spacing w:before="16"/>
            </w:pPr>
            <w:r>
              <w:t xml:space="preserve">Before thinking about the ways in which we can predict networks it is perhaps meaningful to take a step back and think about the different criteria that must be met in order for an interaction to be able to occur between two species, specifically thinking of this in terms of distinguishing between the feasibility or realisation of an interaction and how these are determined (and defined by) different</w:t>
            </w:r>
            <w:r>
              <w:t xml:space="preserve"> </w:t>
            </w:r>
            <w:r>
              <w:t xml:space="preserve">‘</w:t>
            </w:r>
            <w:r>
              <w:t xml:space="preserve">rules</w:t>
            </w:r>
            <w:r>
              <w:t xml:space="preserve">’</w:t>
            </w:r>
            <w:r>
              <w:t xml:space="preserve">/hierarchical mechanisms. If we look at this feasibility-reality continuum (</w:t>
            </w:r>
            <w:hyperlink w:anchor="fig-feasibility">
              <w:r>
                <w:rPr>
                  <w:rStyle w:val="Hyperlink"/>
                </w:rPr>
                <w:t xml:space="preserve">Figure 2</w:t>
              </w:r>
            </w:hyperlink>
            <w:r>
              <w:t xml:space="preserve">) it is clear how the different predictive approaches usually encapsulate one specific</w:t>
            </w:r>
            <w:r>
              <w:t xml:space="preserve"> </w:t>
            </w:r>
            <w:r>
              <w:t xml:space="preserve">‘</w:t>
            </w:r>
            <w:r>
              <w:t xml:space="preserve">rule</w:t>
            </w:r>
            <w:r>
              <w:t xml:space="preserve">’</w:t>
            </w:r>
            <w:r>
              <w:t xml:space="preserve"> </w:t>
            </w:r>
            <w:r>
              <w:t xml:space="preserve">and fail to account for the rest. This is not to say that this shortcoming should be viewed as a</w:t>
            </w:r>
            <w:r>
              <w:t xml:space="preserve"> </w:t>
            </w:r>
            <w:r>
              <w:t xml:space="preserve">‘</w:t>
            </w:r>
            <w:r>
              <w:t xml:space="preserve">bug</w:t>
            </w:r>
            <w:r>
              <w:t xml:space="preserve">’</w:t>
            </w:r>
            <w:r>
              <w:t xml:space="preserve"> </w:t>
            </w:r>
            <w:r>
              <w:t xml:space="preserve">but rather a</w:t>
            </w:r>
            <w:r>
              <w:t xml:space="preserve"> </w:t>
            </w:r>
            <w:r>
              <w:t xml:space="preserve">‘</w:t>
            </w:r>
            <w:r>
              <w:t xml:space="preserve">feature</w:t>
            </w:r>
            <w:r>
              <w:t xml:space="preserve">’</w:t>
            </w:r>
            <w:r>
              <w:t xml:space="preserve"> </w:t>
            </w:r>
            <w:r>
              <w:t xml:space="preserve">of the field as it allows one to engage with, as well as construct networks at different scales, which is particularly valuable if one take into consideration the considerable</w:t>
            </w:r>
            <w:r>
              <w:t xml:space="preserve"> </w:t>
            </w:r>
            <w:r>
              <w:t xml:space="preserve">‘</w:t>
            </w:r>
            <w:r>
              <w:t xml:space="preserve">data cost</w:t>
            </w:r>
            <w:r>
              <w:t xml:space="preserve">’</w:t>
            </w:r>
            <w:r>
              <w:t xml:space="preserve"> </w:t>
            </w:r>
            <w:r>
              <w:t xml:space="preserve">of predicting well resolved, realised networks in comparison to constructing high-level metawebs. However, it is important that there is an awareness and acknowledgement of where within this feasibility-reality one is working at and how this will impact and limit the contexts in which the resulting network can be used and applied within.</w:t>
            </w:r>
          </w:p>
          <w:tbl>
            <w:tblPr>
              <w:tblStyle w:val="Table"/>
              <w:tblW w:type="pct" w:w="5000"/>
              <w:tblLook w:firstRow="0" w:lastRow="0" w:firstColumn="0" w:lastColumn="0" w:noHBand="0" w:noVBand="0" w:val="0000"/>
              <w:jc w:val="start"/>
              <w:tblLayout w:type="fixed"/>
            </w:tblPr>
            <w:tblGrid>
              <w:gridCol w:w="7920"/>
            </w:tblGrid>
            <w:tr>
              <w:tc>
                <w:tcPr/>
                <w:bookmarkStart w:id="31" w:name="fig-feasibility"/>
                <w:p>
                  <w:pPr>
                    <w:pStyle w:val="Compact"/>
                    <w:jc w:val="center"/>
                  </w:pPr>
                  <w:r>
                    <w:drawing>
                      <wp:inline>
                        <wp:extent cx="5334000" cy="5929297"/>
                        <wp:effectExtent b="0" l="0" r="0" t="0"/>
                        <wp:docPr descr="" title="" id="29" name="Picture"/>
                        <a:graphic>
                          <a:graphicData uri="http://schemas.openxmlformats.org/drawingml/2006/picture">
                            <pic:pic>
                              <pic:nvPicPr>
                                <pic:cNvPr descr="images/concept_2.png" id="30"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schematic overview of the feasibility-reality axis that defines species interactions (and the resulting networks), specifically in the context of the underling mechanisms that determine the</w:t>
                  </w:r>
                  <w:r>
                    <w:t xml:space="preserve"> </w:t>
                  </w:r>
                  <w:r>
                    <w:t xml:space="preserve">‘</w:t>
                  </w:r>
                  <w:r>
                    <w:t xml:space="preserve">rules of engagement</w:t>
                  </w:r>
                  <w:r>
                    <w:t xml:space="preserve">’</w:t>
                  </w:r>
                  <w:r>
                    <w:t xml:space="preserve">. As one moves from feasibility towards reality the way in which the edges between nodes are defined (but not necessarily quantified) begins to shift from representing the</w:t>
                  </w:r>
                  <w:r>
                    <w:t xml:space="preserve"> </w:t>
                  </w:r>
                  <w:r>
                    <w:rPr>
                      <w:iCs/>
                      <w:i/>
                    </w:rPr>
                    <w:t xml:space="preserve">possibility</w:t>
                  </w:r>
                  <w:r>
                    <w:t xml:space="preserve"> </w:t>
                  </w:r>
                  <w:r>
                    <w:t xml:space="preserve">of an interaction occurring between two species to the quantification of</w:t>
                  </w:r>
                  <w:r>
                    <w:t xml:space="preserve"> </w:t>
                  </w:r>
                  <w:r>
                    <w:rPr>
                      <w:iCs/>
                      <w:i/>
                    </w:rPr>
                    <w:t xml:space="preserve">strength</w:t>
                  </w:r>
                  <w:r>
                    <w:t xml:space="preserve"> </w:t>
                  </w:r>
                  <w:r>
                    <w:t xml:space="preserve">of the interaction. This is because as we move down this axis we begin to incorporate additional</w:t>
                  </w:r>
                  <w:r>
                    <w:t xml:space="preserve"> </w:t>
                  </w:r>
                  <w:r>
                    <w:t xml:space="preserve">‘</w:t>
                  </w:r>
                  <w:r>
                    <w:t xml:space="preserve">rules</w:t>
                  </w:r>
                  <w:r>
                    <w:t xml:space="preserve">’</w:t>
                  </w:r>
                  <w:r>
                    <w:t xml:space="preserve"> </w:t>
                  </w:r>
                  <w:r>
                    <w:t xml:space="preserve">that allow us to begin approaching a much more resolved reality of the interactions for a specific location until we reach a point where we are able to encapsulate the energetics of the system. Moving from the most general to the most specific it goes: 1.) the co-occurrence of species, 2.) the mechanistic feasibility of the interaction, 3.) the likelihood of two potentially interacting species to meet, 4.) the energetic</w:t>
                  </w:r>
                  <w:r>
                    <w:t xml:space="preserve"> </w:t>
                  </w:r>
                  <w:r>
                    <w:t xml:space="preserve">‘</w:t>
                  </w:r>
                  <w:r>
                    <w:t xml:space="preserve">cost</w:t>
                  </w:r>
                  <w:r>
                    <w:t xml:space="preserve">’</w:t>
                  </w:r>
                  <w:r>
                    <w:t xml:space="preserve"> </w:t>
                  </w:r>
                  <w:r>
                    <w:t xml:space="preserve">of interaction (building on the feeding ecology framework) and 5.) the environmental cost of searching for and capturing prey (building on the movement ecology framework).</w:t>
                  </w:r>
                </w:p>
                <w:bookmarkEnd w:id="31"/>
              </w:tc>
            </w:tr>
          </w:tbl>
          <w:p>
            <w:pPr>
              <w:pStyle w:val="BlockText"/>
            </w:pPr>
            <w:r>
              <w:t xml:space="preserve">Aside: this is maybe not the IRL mechanisms (e.g. we species must co-occur, then they must meet, then we can determine if the interaction will happen) but it makes modelling sense? IDK… anyway we can shuffles things around</w:t>
            </w:r>
          </w:p>
          <w:bookmarkStart w:id="32" w:name="mechanisms"/>
          <w:p>
            <w:pPr>
              <w:pStyle w:val="Heading3"/>
            </w:pPr>
            <w:r>
              <w:t xml:space="preserve">1.4 Mechanisms</w:t>
            </w:r>
          </w:p>
          <w:p>
            <w:pPr>
              <w:pStyle w:val="FirstParagraph"/>
            </w:pPr>
            <w:r>
              <w:rPr>
                <w:bCs/>
                <w:b/>
              </w:rPr>
              <w:t xml:space="preserve">1. Co-occurrence</w:t>
            </w:r>
          </w:p>
          <w:p>
            <w:pPr>
              <w:pStyle w:val="BodyText"/>
            </w:pPr>
            <w:r>
              <w:t xml:space="preserve">Although the assumption that because two species are co-occurring it must mean that they are interacting is presumptive</w:t>
            </w:r>
            <w:r>
              <w:t xml:space="preserve"> </w:t>
            </w:r>
            <w:r>
              <w:t xml:space="preserve">[27]</w:t>
            </w:r>
            <w:r>
              <w:t xml:space="preserve"> </w:t>
            </w:r>
            <w:r>
              <w:t xml:space="preserve">it is of course impossible for two species to interact (in terms of feeding links) if they are not co-occurring We are co-occurring and so it represents the</w:t>
            </w:r>
            <w:r>
              <w:t xml:space="preserve"> </w:t>
            </w:r>
            <w:r>
              <w:rPr>
                <w:iCs/>
                <w:i/>
              </w:rPr>
              <w:t xml:space="preserve">basic</w:t>
            </w:r>
            <w:r>
              <w:t xml:space="preserve"> </w:t>
            </w:r>
            <w:r>
              <w:t xml:space="preserve">requirement for the interaction between a species pair</w:t>
            </w:r>
          </w:p>
          <w:p>
            <w:pPr>
              <w:pStyle w:val="BodyText"/>
            </w:pPr>
            <w:r>
              <w:rPr>
                <w:bCs/>
                <w:b/>
              </w:rPr>
              <w:t xml:space="preserve">2. Mechanistic feasibility</w:t>
            </w:r>
          </w:p>
          <w:p>
            <w:pPr>
              <w:pStyle w:val="BodyText"/>
            </w:pPr>
            <w:r>
              <w:t xml:space="preserve">This is based on the idea of forbidden links introduced by</w:t>
            </w:r>
            <w:r>
              <w:t xml:space="preserve"> </w:t>
            </w:r>
            <w:r>
              <w:t xml:space="preserve">[5]</w:t>
            </w:r>
            <w:r>
              <w:t xml:space="preserve">, specifically that there must be some degree of</w:t>
            </w:r>
            <w:r>
              <w:t xml:space="preserve"> </w:t>
            </w:r>
            <w:r>
              <w:rPr>
                <w:iCs/>
                <w:i/>
              </w:rPr>
              <w:t xml:space="preserve">trait complementarity</w:t>
            </w:r>
            <w:r>
              <w:t xml:space="preserve"> </w:t>
            </w:r>
            <w:r>
              <w:t xml:space="preserve">that allows a predator to chase, capture, kill, and consume, its prey. This is probably the level that the idea of a metaweb</w:t>
            </w:r>
            <w:r>
              <w:t xml:space="preserve"> </w:t>
            </w:r>
            <w:r>
              <w:t xml:space="preserve">[21]</w:t>
            </w:r>
            <w:r>
              <w:t xml:space="preserve"> </w:t>
            </w:r>
            <w:r>
              <w:t xml:space="preserve">is most applicable. Within the network prediction</w:t>
            </w:r>
            <w:r>
              <w:t xml:space="preserve"> </w:t>
            </w:r>
            <w:r>
              <w:t xml:space="preserve">‘</w:t>
            </w:r>
            <w:r>
              <w:t xml:space="preserve">field</w:t>
            </w:r>
            <w:r>
              <w:t xml:space="preserve">’</w:t>
            </w:r>
            <w:r>
              <w:t xml:space="preserve"> </w:t>
            </w:r>
            <w:r>
              <w:t xml:space="preserve">this is perhaps the most developed space. Predictive models run the gamut including mechanistic models</w:t>
            </w:r>
            <w:r>
              <w:t xml:space="preserve"> </w:t>
            </w:r>
            <w:r>
              <w:t xml:space="preserve">[6]</w:t>
            </w:r>
            <w:r>
              <w:t xml:space="preserve">, binary classifiers</w:t>
            </w:r>
            <w:r>
              <w:t xml:space="preserve"> </w:t>
            </w:r>
            <w:r>
              <w:t xml:space="preserve">[12]</w:t>
            </w:r>
            <w:r>
              <w:t xml:space="preserve">, and graph embedding</w:t>
            </w:r>
            <w:r>
              <w:t xml:space="preserve"> </w:t>
            </w:r>
            <w:r>
              <w:t xml:space="preserve">[28]</w:t>
            </w:r>
            <w:r>
              <w:t xml:space="preserve">. It is probably worth having a brief interlude here to be really clear that just because an interaction is probabilistic it does not make it quantitative - it is still binary but at least we do have some way of saying how confident we are in the feasibility of an interaction - not how likely it is to occur - per se.</w:t>
            </w:r>
          </w:p>
          <w:p>
            <w:pPr>
              <w:pStyle w:val="BodyText"/>
            </w:pPr>
            <w:r>
              <w:rPr>
                <w:bCs/>
                <w:b/>
              </w:rPr>
              <w:t xml:space="preserve">3. Likelihood of meeting (there must be a better word)</w:t>
            </w:r>
          </w:p>
          <w:p>
            <w:pPr>
              <w:pStyle w:val="BodyText"/>
            </w:pPr>
            <w:r>
              <w:t xml:space="preserve">This is probably the point where we start to shift from a presence/absence way of defining interactions and start moving into the</w:t>
            </w:r>
            <w:r>
              <w:t xml:space="preserve"> </w:t>
            </w:r>
            <w:r>
              <w:t xml:space="preserve">‘</w:t>
            </w:r>
            <w:r>
              <w:t xml:space="preserve">qualitative</w:t>
            </w:r>
            <w:r>
              <w:t xml:space="preserve">’</w:t>
            </w:r>
            <w:r>
              <w:t xml:space="preserve">/weighted space - we are not</w:t>
            </w:r>
            <w:r>
              <w:t xml:space="preserve"> </w:t>
            </w:r>
            <w:r>
              <w:t xml:space="preserve">‘</w:t>
            </w:r>
            <w:r>
              <w:t xml:space="preserve">determining</w:t>
            </w:r>
            <w:r>
              <w:t xml:space="preserve">’</w:t>
            </w:r>
            <w:r>
              <w:t xml:space="preserve"> </w:t>
            </w:r>
            <w:r>
              <w:t xml:space="preserve">if the interaction is feasible but rather making an assumption on prey selection based on species likelihood of</w:t>
            </w:r>
            <w:r>
              <w:t xml:space="preserve"> </w:t>
            </w:r>
            <w:r>
              <w:t xml:space="preserve">‘</w:t>
            </w:r>
            <w:r>
              <w:t xml:space="preserve">meeting</w:t>
            </w:r>
            <w:r>
              <w:t xml:space="preserve">’</w:t>
            </w:r>
            <w:r>
              <w:t xml:space="preserve">.</w:t>
            </w:r>
          </w:p>
          <w:p>
            <w:pPr>
              <w:pStyle w:val="BlockText"/>
            </w:pPr>
            <w:r>
              <w:t xml:space="preserve">Not sure if there are models that</w:t>
            </w:r>
            <w:r>
              <w:t xml:space="preserve"> </w:t>
            </w:r>
            <w:r>
              <w:t xml:space="preserve">‘</w:t>
            </w:r>
            <w:r>
              <w:t xml:space="preserve">only</w:t>
            </w:r>
            <w:r>
              <w:t xml:space="preserve">’</w:t>
            </w:r>
            <w:r>
              <w:t xml:space="preserve"> </w:t>
            </w:r>
            <w:r>
              <w:t xml:space="preserve">consider abundance but it is rather more of a building block in some of the models that are more relevant to the next steps.</w:t>
            </w:r>
          </w:p>
          <w:p>
            <w:pPr>
              <w:pStyle w:val="FirstParagraph"/>
            </w:pPr>
            <w:r>
              <w:rPr>
                <w:bCs/>
                <w:b/>
              </w:rPr>
              <w:t xml:space="preserve">4. Prey choice (energy cost-benefit)</w:t>
            </w:r>
          </w:p>
          <w:p>
            <w:pPr>
              <w:pStyle w:val="BodyText"/>
            </w:pPr>
            <w:r>
              <w:t xml:space="preserve">Now we move into the</w:t>
            </w:r>
            <w:r>
              <w:t xml:space="preserve"> </w:t>
            </w:r>
            <w:r>
              <w:t xml:space="preserve">‘</w:t>
            </w:r>
            <w:r>
              <w:t xml:space="preserve">prey choice</w:t>
            </w:r>
            <w:r>
              <w:t xml:space="preserve">’</w:t>
            </w:r>
            <w:r>
              <w:t xml:space="preserve"> </w:t>
            </w:r>
            <w:r>
              <w:t xml:space="preserve">space - specifically the cost-benefit side of things that falls under feeding ecology. Examples of models</w:t>
            </w:r>
            <w:r>
              <w:t xml:space="preserve"> </w:t>
            </w:r>
            <w:r>
              <w:t xml:space="preserve">[10,29]</w:t>
            </w:r>
          </w:p>
          <w:p>
            <w:pPr>
              <w:pStyle w:val="BodyText"/>
            </w:pPr>
            <w:r>
              <w:rPr>
                <w:bCs/>
                <w:b/>
              </w:rPr>
              <w:t xml:space="preserve">5. Environmental</w:t>
            </w:r>
            <w:r>
              <w:rPr>
                <w:bCs/>
                <w:b/>
              </w:rPr>
              <w:t xml:space="preserve"> </w:t>
            </w:r>
            <w:r>
              <w:rPr>
                <w:bCs/>
                <w:b/>
              </w:rPr>
              <w:t xml:space="preserve">‘</w:t>
            </w:r>
            <w:r>
              <w:rPr>
                <w:bCs/>
                <w:b/>
              </w:rPr>
              <w:t xml:space="preserve">energy budget</w:t>
            </w:r>
            <w:r>
              <w:rPr>
                <w:bCs/>
                <w:b/>
              </w:rPr>
              <w:t xml:space="preserve">’</w:t>
            </w:r>
          </w:p>
          <w:p>
            <w:pPr>
              <w:pStyle w:val="BodyText"/>
            </w:pPr>
            <w:r>
              <w:t xml:space="preserve">Builds primarily on the ideas presented in</w:t>
            </w:r>
            <w:r>
              <w:t xml:space="preserve"> </w:t>
            </w:r>
            <w:r>
              <w:t xml:space="preserve">[30]</w:t>
            </w:r>
            <w:r>
              <w:t xml:space="preserve">, which is essentially a take on movement ecology? What it boils down to is being able to quantify the cost of movement</w:t>
            </w:r>
            <w:r>
              <w:t xml:space="preserve"> </w:t>
            </w:r>
            <w:r>
              <w:rPr>
                <w:iCs/>
                <w:i/>
              </w:rPr>
              <w:t xml:space="preserve">i.e.,</w:t>
            </w:r>
            <w:r>
              <w:t xml:space="preserve"> </w:t>
            </w:r>
            <w:r>
              <w:t xml:space="preserve">the physical constraints that the environment imposes on a species…</w:t>
            </w:r>
          </w:p>
          <w:p>
            <w:pPr>
              <w:pStyle w:val="BlockText"/>
            </w:pPr>
            <w:r>
              <w:t xml:space="preserve">The role of the environment: Although we only explicitly take the environment into consideration in the final</w:t>
            </w:r>
            <w:r>
              <w:t xml:space="preserve"> </w:t>
            </w:r>
            <w:r>
              <w:t xml:space="preserve">‘</w:t>
            </w:r>
            <w:r>
              <w:t xml:space="preserve">rule</w:t>
            </w:r>
            <w:r>
              <w:t xml:space="preserve">’</w:t>
            </w:r>
            <w:r>
              <w:t xml:space="preserve"> </w:t>
            </w:r>
            <w:r>
              <w:t xml:space="preserve">the role of the environment (at least from a modelling perspective) is perhaps also meaningful at the first step (we expect environmental filtering to be the main determinant of species distributions in the absence of species interactions) I think the way in which we perceive the environment at the extreme of these two ends of the spectrum comes down to a question of scale?? Or at least the degree of information that we need at need at these two points is very different. RE occurrence it is a case of survival and for movement it is a case of performance??</w:t>
            </w:r>
          </w:p>
          <w:bookmarkEnd w:id="32"/>
          <w:bookmarkStart w:id="33" w:name="notes-on-the-ensemble-approach"/>
          <w:p>
            <w:pPr>
              <w:pStyle w:val="Heading3"/>
            </w:pPr>
            <w:r>
              <w:t xml:space="preserve">1.5 Notes on the</w:t>
            </w:r>
            <w:r>
              <w:t xml:space="preserve"> </w:t>
            </w:r>
            <w:r>
              <w:t xml:space="preserve">‘</w:t>
            </w:r>
            <w:r>
              <w:t xml:space="preserve">ensemble</w:t>
            </w:r>
            <w:r>
              <w:t xml:space="preserve">’</w:t>
            </w:r>
            <w:r>
              <w:t xml:space="preserve"> </w:t>
            </w:r>
            <w:r>
              <w:t xml:space="preserve">approach</w:t>
            </w:r>
          </w:p>
          <w:p>
            <w:pPr>
              <w:pStyle w:val="FirstParagraph"/>
            </w:pPr>
            <w:pPr>
              <w:spacing w:after="16"/>
            </w:pPr>
            <w:r>
              <w:t xml:space="preserve">IDK I just really want to articulate that we can’t feasibly be functioning at a</w:t>
            </w:r>
            <w:r>
              <w:t xml:space="preserve"> </w:t>
            </w:r>
            <w:r>
              <w:t xml:space="preserve">‘</w:t>
            </w:r>
            <w:r>
              <w:t xml:space="preserve">level 5</w:t>
            </w:r>
            <w:r>
              <w:t xml:space="preserve">’</w:t>
            </w:r>
            <w:r>
              <w:t xml:space="preserve"> </w:t>
            </w:r>
            <w:r>
              <w:t xml:space="preserve">at all times because of other real world constraints such as the fact that the amount of data one needs is simply not going to be feasible in most cases… Also that you (probably) need to go through the whole step-wise process because (at least for now) models at the</w:t>
            </w:r>
            <w:r>
              <w:t xml:space="preserve"> </w:t>
            </w:r>
            <w:r>
              <w:t xml:space="preserve">‘</w:t>
            </w:r>
            <w:r>
              <w:t xml:space="preserve">higher</w:t>
            </w:r>
            <w:r>
              <w:t xml:space="preserve">’</w:t>
            </w:r>
            <w:r>
              <w:t xml:space="preserve"> </w:t>
            </w:r>
            <w:r>
              <w:t xml:space="preserve">levels are overlooking some of the</w:t>
            </w:r>
            <w:r>
              <w:t xml:space="preserve"> </w:t>
            </w:r>
            <w:r>
              <w:t xml:space="preserve">‘</w:t>
            </w:r>
            <w:r>
              <w:t xml:space="preserve">lower</w:t>
            </w:r>
            <w:r>
              <w:t xml:space="preserve">’</w:t>
            </w:r>
            <w:r>
              <w:t xml:space="preserve"> </w:t>
            </w:r>
            <w:r>
              <w:t xml:space="preserve">levels</w:t>
            </w:r>
            <w:r>
              <w:t xml:space="preserve"> </w:t>
            </w:r>
            <w:r>
              <w:rPr>
                <w:iCs/>
                <w:i/>
              </w:rPr>
              <w:t xml:space="preserve">e.g.,</w:t>
            </w:r>
            <w:r>
              <w:t xml:space="preserve"> </w:t>
            </w:r>
            <w:r>
              <w:t xml:space="preserve">the the ADBM model (in its current form) has no way of accounting for forbidden links and so it is probably going to end up predicting some links that are strictly speaking</w:t>
            </w:r>
            <w:r>
              <w:t xml:space="preserve"> </w:t>
            </w:r>
            <w:r>
              <w:t xml:space="preserve">‘</w:t>
            </w:r>
            <w:r>
              <w:t xml:space="preserve">forbidden</w:t>
            </w:r>
            <w:r>
              <w:t xml:space="preserve">’</w:t>
            </w:r>
            <w:r>
              <w:t xml:space="preserve"> </w:t>
            </w:r>
            <w:r>
              <w:t xml:space="preserve">at the trait level (I guess this kind of thinking will probably open the door for talking about benchmarking should we still want to keep the model comparison angle).</w:t>
            </w:r>
          </w:p>
        </w:tc>
      </w:tr>
    </w:tbl>
    <w:bookmarkEnd w:id="33"/>
    <w:bookmarkEnd w:id="34"/>
    <w:bookmarkEnd w:id="35"/>
    <w:bookmarkStart w:id="36"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Cs/>
          <w:i/>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[31,32]</w:t>
      </w:r>
      <w:r>
        <w:t xml:space="preserve">, using pairwise interactions to understand species distributions</w:t>
      </w:r>
      <w:r>
        <w:t xml:space="preserve"> </w:t>
      </w:r>
      <w:r>
        <w:t xml:space="preserve">[33]</w:t>
      </w:r>
      <w:r>
        <w:t xml:space="preserve"> </w:t>
      </w:r>
      <w:r>
        <w:t xml:space="preserve">or even co-extinction risk</w:t>
      </w:r>
      <w:r>
        <w:t xml:space="preserve"> </w:t>
      </w:r>
      <w:r>
        <w:t xml:space="preserve">[34]</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6"/>
    <w:bookmarkStart w:id="52"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Cs/>
          <w:b/>
        </w:rPr>
        <w:t xml:space="preserve">topology generators</w:t>
      </w:r>
      <w:r>
        <w:t xml:space="preserve"> </w:t>
      </w:r>
      <w:r>
        <w:t xml:space="preserve">and models developed to infer the interactions for a given species pool as</w:t>
      </w:r>
      <w:r>
        <w:t xml:space="preserve"> </w:t>
      </w:r>
      <w:r>
        <w:rPr>
          <w:bCs/>
          <w:b/>
        </w:rPr>
        <w:t xml:space="preserve">interaction predictors</w:t>
      </w:r>
      <w:r>
        <w:t xml:space="preserve">. It is meaningful to make this distinction because although it is possible to construct a food web given using an</w:t>
      </w:r>
      <w:r>
        <w:t xml:space="preserve"> </w:t>
      </w:r>
      <w:r>
        <w:rPr>
          <w:iCs/>
          <w:i/>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[35]</w:t>
      </w:r>
      <w:r>
        <w:t xml:space="preserve">. This is primarily because</w:t>
      </w:r>
      <w:r>
        <w:t xml:space="preserve"> </w:t>
      </w:r>
      <w:r>
        <w:rPr>
          <w:iCs/>
          <w:i/>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[36]</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[37]</w:t>
      </w:r>
      <w:r>
        <w:t xml:space="preserve"> </w:t>
      </w:r>
      <w:r>
        <w:t xml:space="preserve">or trait hierarchy</w:t>
      </w:r>
      <w:r>
        <w:t xml:space="preserve"> </w:t>
      </w:r>
      <w:r>
        <w:t xml:space="preserve">[38]</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39]</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51"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3</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7">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8">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jc w:val="left"/>
                    <w:jc w:val="center"/>
                  </w:pPr>
                  <w:r>
                    <w:t xml:space="preserve">[40]</w:t>
                  </w:r>
                  <w:r>
                    <w:t xml:space="preserve"> </w:t>
                  </w:r>
                  <w:r>
                    <w:t xml:space="preserve">(although more plant-plant</w:t>
                  </w:r>
                  <w:r>
                    <w:t xml:space="preserve"> </w:t>
                  </w:r>
                  <w:r>
                    <w:rPr>
                      <w:iCs/>
                      <w:i/>
                    </w:rPr>
                    <w:t xml:space="preserve">i.e.</w:t>
                  </w:r>
                  <w:r>
                    <w:t xml:space="preserve"> </w:t>
                  </w:r>
                  <w:r>
                    <w:t xml:space="preserve">non-trophic…)</w:t>
                  </w:r>
                </w:p>
              </w:tc>
            </w:tr>
          </w:tbl>
          <w:bookmarkEnd w:id="39"/>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3" w:name="fig-dendro"/>
          <w:p>
            <w:pPr>
              <w:pStyle w:val="Compact"/>
              <w:jc w:val="center"/>
            </w:pPr>
            <w:r>
              <w:drawing>
                <wp:inline>
                  <wp:extent cx="5334000" cy="3809273"/>
                  <wp:effectExtent b="0" l="0" r="0" t="0"/>
                  <wp:docPr descr="" title="" id="41" name="Picture"/>
                  <a:graphic>
                    <a:graphicData uri="http://schemas.openxmlformats.org/drawingml/2006/picture">
                      <pic:pic>
                        <pic:nvPicPr>
                          <pic:cNvPr descr="images/dendo.png" id="42" name="Picture"/>
                          <pic:cNvPicPr>
                            <a:picLocks noChangeArrowheads="1" noChangeAspect="1"/>
                          </pic:cNvPicPr>
                        </pic:nvPicPr>
                        <pic:blipFill>
                          <a:blip r:embed="rId40"/>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Dendrogram of the trait table using a hierarchical clustering model, This is based off of the traits table in SuppMat 2)</w:t>
            </w:r>
          </w:p>
          <w:bookmarkEnd w:id="43"/>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Users/tanyastrydom/Applications/quarto/share/formats/docx/note.png" id="4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[41]</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[42]</w:t>
            </w:r>
            <w:r>
              <w:t xml:space="preserve">. For more detailed methods as to how benchmarking was done refer to</w:t>
            </w:r>
            <w:r>
              <w:t xml:space="preserve"> </w:t>
            </w:r>
            <w:hyperlink r:id="rId46">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50" w:name="fig-topology"/>
                <w:p>
                  <w:pPr>
                    <w:pStyle w:val="Compact"/>
                    <w:jc w:val="center"/>
                  </w:pPr>
                  <w:r>
                    <w:drawing>
                      <wp:inline>
                        <wp:extent cx="5334000" cy="3809273"/>
                        <wp:effectExtent b="0" l="0" r="0" t="0"/>
                        <wp:docPr descr="" title="" id="48" name="Picture"/>
                        <a:graphic>
                          <a:graphicData uri="http://schemas.openxmlformats.org/drawingml/2006/picture">
                            <pic:pic>
                              <pic:nvPicPr>
                                <pic:cNvPr descr="images/topology.png" id="49" name="Picture"/>
                                <pic:cNvPicPr>
                                  <a:picLocks noChangeArrowheads="1" noChangeAspect="1"/>
                                </pic:cNvPicPr>
                              </pic:nvPicPr>
                              <pic:blipFill>
                                <a:blip r:embed="rId47"/>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Difference between real and model network property. S1 - S5 represent the different motif structures identified in</w:t>
                  </w:r>
                  <w:r>
                    <w:t xml:space="preserve"> </w:t>
                  </w:r>
                  <w:r>
                    <w:t xml:space="preserve">[43]</w:t>
                  </w:r>
                  <w:r>
                    <w:t xml:space="preserve"> </w:t>
                  </w:r>
                  <w:r>
                    <w:t xml:space="preserve">which are S1: Number of linear chains, S2: Number of omnivory motifs, S4: Number of apparent competition motifs, and S5: Number of direct competition motifs</w:t>
                  </w:r>
                </w:p>
                <w:bookmarkEnd w:id="50"/>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[39]</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51"/>
    <w:bookmarkEnd w:id="52"/>
    <w:bookmarkStart w:id="55" w:name="concluding-remarks"/>
    <w:p>
      <w:pPr>
        <w:pStyle w:val="Heading2"/>
      </w:pPr>
      <w:r>
        <w:t xml:space="preserve">4 Concluding remarks</w:t>
      </w:r>
    </w:p>
    <w:p>
      <w:pPr>
        <w:numPr>
          <w:ilvl w:val="0"/>
          <w:numId w:val="1001"/>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4</w:t>
        </w:r>
      </w:hyperlink>
      <w:r>
        <w:t xml:space="preserve"> </w:t>
      </w:r>
      <w:r>
        <w:t xml:space="preserve">end up looking… But it will also be important to tie in some of the other considerations/constraints that are listed in what is currently Box 2</w:t>
      </w:r>
    </w:p>
    <w:p>
      <w:pPr>
        <w:numPr>
          <w:ilvl w:val="1"/>
          <w:numId w:val="1002"/>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1"/>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3"/>
        </w:numPr>
        <w:pStyle w:val="Compact"/>
      </w:pPr>
      <w:r>
        <w:t xml:space="preserve">We can briefly shoehorn downsampling here maybe??</w:t>
      </w:r>
    </w:p>
    <w:p>
      <w:pPr>
        <w:numPr>
          <w:ilvl w:val="0"/>
          <w:numId w:val="1001"/>
        </w:numPr>
      </w:pPr>
      <w:r>
        <w:t xml:space="preserve">It will be interesting to bring up the idea that if a model is missing a specific pairwise link but doing well overall then when does it matter?</w:t>
      </w:r>
    </w:p>
    <w:p>
      <w:pPr>
        <w:numPr>
          <w:ilvl w:val="1"/>
          <w:numId w:val="1004"/>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[20,44]</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4"/>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[44]</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5"/>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[45]</w:t>
      </w:r>
      <w:r>
        <w:t xml:space="preserve"> </w:t>
      </w:r>
      <w:r>
        <w:t xml:space="preserve">but maybe not exactly in this context but vaguely adjacent.</w:t>
      </w:r>
    </w:p>
    <w:p>
      <w:pPr>
        <w:numPr>
          <w:ilvl w:val="1"/>
          <w:numId w:val="1006"/>
        </w:numPr>
        <w:pStyle w:val="Compact"/>
      </w:pPr>
      <w:r>
        <w:t xml:space="preserve">I think this is sort of the crux of the argument presented in</w:t>
      </w:r>
      <w:r>
        <w:t xml:space="preserve"> </w:t>
      </w:r>
      <w:r>
        <w:t xml:space="preserve">[46]</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[42]</w:t>
      </w:r>
    </w:p>
    <w:p>
      <w:pPr>
        <w:numPr>
          <w:ilvl w:val="0"/>
          <w:numId w:val="1007"/>
        </w:numPr>
      </w:pPr>
      <w:r>
        <w:t xml:space="preserve">Do we need network models to predict interactions and interaction models to predict structure?</w:t>
      </w:r>
    </w:p>
    <w:p>
      <w:pPr>
        <w:numPr>
          <w:ilvl w:val="1"/>
          <w:numId w:val="1008"/>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8"/>
        </w:numPr>
      </w:pPr>
      <w:r>
        <w:t xml:space="preserve">Aligning (dove-tailing) with this the idea of ensemble modelling as presented by</w:t>
      </w:r>
      <w:r>
        <w:t xml:space="preserve"> </w:t>
      </w:r>
      <w:r>
        <w:t xml:space="preserve">[47]</w:t>
      </w:r>
    </w:p>
    <w:p>
      <w:pPr>
        <w:numPr>
          <w:ilvl w:val="0"/>
          <w:numId w:val="1007"/>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7"/>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numPr>
          <w:ilvl w:val="1"/>
          <w:numId w:val="1009"/>
        </w:numPr>
        <w:pStyle w:val="Compact"/>
      </w:pPr>
      <w:r>
        <w:t xml:space="preserve">The</w:t>
      </w:r>
      <w:r>
        <w:t xml:space="preserve"> </w:t>
      </w:r>
      <w:r>
        <w:t xml:space="preserve">[48]</w:t>
      </w:r>
      <w:r>
        <w:t xml:space="preserve"> </w:t>
      </w:r>
      <w:r>
        <w:t xml:space="preserve">paper looks at some methods but is specifically looking at a bipartite world…</w:t>
      </w:r>
    </w:p>
    <w:bookmarkStart w:id="53"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[49]</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[50]</w:t>
      </w:r>
      <w:r>
        <w:t xml:space="preserve"> </w:t>
      </w:r>
      <w:r>
        <w:t xml:space="preserve">and that we should also start thinking about the interplay of time and space</w:t>
      </w:r>
      <w:r>
        <w:t xml:space="preserve"> </w:t>
      </w:r>
      <w:r>
        <w:t xml:space="preserve">[51]</w:t>
      </w:r>
      <w:r>
        <w:t xml:space="preserve">. Although deciding exactly what measure might actually be driving differences between local networks and the regional metaweb might not be that simple</w:t>
      </w:r>
      <w:r>
        <w:t xml:space="preserve"> </w:t>
      </w:r>
      <w:r>
        <w:t xml:space="preserve">[52]</w:t>
      </w:r>
      <w:r>
        <w:t xml:space="preserve">.</w:t>
      </w:r>
      <w:r>
        <w:t xml:space="preserve">”</w:t>
      </w:r>
    </w:p>
    <w:bookmarkEnd w:id="53"/>
    <w:bookmarkStart w:id="54" w:name="time"/>
    <w:p>
      <w:pPr>
        <w:pStyle w:val="Heading3"/>
      </w:pPr>
      <w:r>
        <w:t xml:space="preserve">4.2 Time</w:t>
      </w:r>
    </w:p>
    <w:p>
      <w:pPr>
        <w:pStyle w:val="FirstParagraph"/>
      </w:pPr>
      <w:r>
        <w:t xml:space="preserve">We lack a clear agenda (and conceptualisation) as to what the appropriate level of aggregation is for a</w:t>
      </w:r>
      <w:r>
        <w:t xml:space="preserve"> </w:t>
      </w:r>
      <w:r>
        <w:t xml:space="preserve">‘</w:t>
      </w:r>
      <w:r>
        <w:t xml:space="preserve">network</w:t>
      </w:r>
      <w:r>
        <w:t xml:space="preserve">’</w:t>
      </w:r>
      <w:r>
        <w:t xml:space="preserve">. Realistically most empirical networks are more aligned with</w:t>
      </w:r>
      <w:r>
        <w:t xml:space="preserve"> </w:t>
      </w:r>
      <w:r>
        <w:t xml:space="preserve">‘</w:t>
      </w:r>
      <w:r>
        <w:t xml:space="preserve">feasibility networks</w:t>
      </w:r>
      <w:r>
        <w:t xml:space="preserve">’</w:t>
      </w:r>
      <w:r>
        <w:t xml:space="preserve"> </w:t>
      </w:r>
      <w:r>
        <w:t xml:space="preserve">as opposed to</w:t>
      </w:r>
      <w:r>
        <w:t xml:space="preserve"> </w:t>
      </w:r>
      <w:r>
        <w:t xml:space="preserve">‘</w:t>
      </w:r>
      <w:r>
        <w:t xml:space="preserve">realised networks</w:t>
      </w:r>
      <w:r>
        <w:t xml:space="preserve">’</w:t>
      </w:r>
      <w:r>
        <w:t xml:space="preserve"> </w:t>
      </w:r>
      <w:r>
        <w:t xml:space="preserve">as they are often the result of some sort of aggregation of observations across time. This</w:t>
      </w:r>
      <w:r>
        <w:t xml:space="preserve"> </w:t>
      </w:r>
      <w:r>
        <w:t xml:space="preserve">‘</w:t>
      </w:r>
      <w:r>
        <w:t xml:space="preserve">problem</w:t>
      </w:r>
      <w:r>
        <w:t xml:space="preserve">’</w:t>
      </w:r>
      <w:r>
        <w:t xml:space="preserve"> </w:t>
      </w:r>
      <w:r>
        <w:t xml:space="preserve">is two-fold. Firstly we need to think about how this affects any sort of development of theory that sits closer to the</w:t>
      </w:r>
      <w:r>
        <w:t xml:space="preserve"> </w:t>
      </w:r>
      <w:r>
        <w:t xml:space="preserve">‘</w:t>
      </w:r>
      <w:r>
        <w:t xml:space="preserve">realised network</w:t>
      </w:r>
      <w:r>
        <w:t xml:space="preserve">’</w:t>
      </w:r>
      <w:r>
        <w:t xml:space="preserve"> </w:t>
      </w:r>
      <w:r>
        <w:t xml:space="preserve">side of the spectrum - how often are we trying to ask and answer questions about realised networks using feasible networks? The second is that this lack of</w:t>
      </w:r>
      <w:r>
        <w:t xml:space="preserve"> </w:t>
      </w:r>
      <w:r>
        <w:t xml:space="preserve">‘</w:t>
      </w:r>
      <w:r>
        <w:t xml:space="preserve">direction</w:t>
      </w:r>
      <w:r>
        <w:t xml:space="preserve">’</w:t>
      </w:r>
      <w:r>
        <w:t xml:space="preserve"> </w:t>
      </w:r>
      <w:r>
        <w:t xml:space="preserve">as to how we should define a network is (actually) probably one of the biggest barriers that is affecting the use of networks in applied settings…</w:t>
      </w:r>
    </w:p>
    <w:bookmarkEnd w:id="54"/>
    <w:bookmarkEnd w:id="55"/>
    <w:bookmarkStart w:id="56"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6"/>
    <w:bookmarkStart w:id="57"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7"/>
    <w:bookmarkStart w:id="158" w:name="references"/>
    <w:p>
      <w:pPr>
        <w:pStyle w:val="Heading2"/>
      </w:pPr>
      <w:r>
        <w:t xml:space="preserve">References</w:t>
      </w:r>
    </w:p>
    <w:bookmarkStart w:id="157" w:name="refs"/>
    <w:bookmarkStart w:id="58"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8"/>
    <w:bookmarkStart w:id="60"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9">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60"/>
    <w:bookmarkStart w:id="62"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61">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62"/>
    <w:bookmarkStart w:id="64" w:name="Xf53c03f1c3fea4e4289657cbb0682f5f23e8b1d"/>
    <w:p>
      <w:pPr>
        <w:pStyle w:val="Bibliography"/>
      </w:pPr>
      <w:r>
        <w:t xml:space="preserve">4.</w:t>
      </w:r>
      <w:r>
        <w:t xml:space="preserve"> </w:t>
      </w:r>
      <w:r>
        <w:t xml:space="preserve">	</w:t>
      </w:r>
      <w:r>
        <w:t xml:space="preserve">Jordano, P. (2016)</w:t>
      </w:r>
      <w:r>
        <w:t xml:space="preserve"> </w:t>
      </w:r>
      <w:hyperlink r:id="rId63">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64"/>
    <w:bookmarkStart w:id="66"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65">
        <w:r>
          <w:rPr>
            <w:rStyle w:val="Hyperlink"/>
          </w:rPr>
          <w:t xml:space="preserve">10.1111/1365-2435.12763</w:t>
        </w:r>
      </w:hyperlink>
    </w:p>
    <w:bookmarkEnd w:id="66"/>
    <w:bookmarkStart w:id="68"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7">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8"/>
    <w:bookmarkStart w:id="70"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9">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70"/>
    <w:bookmarkStart w:id="72"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1">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72"/>
    <w:bookmarkStart w:id="74"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73">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74"/>
    <w:bookmarkStart w:id="76"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75">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6"/>
    <w:bookmarkStart w:id="78" w:name="ref-williamsSuccessItsLimits2008"/>
    <w:p>
      <w:pPr>
        <w:pStyle w:val="Bibliography"/>
      </w:pPr>
      <w:r>
        <w:t xml:space="preserve">11.</w:t>
      </w:r>
      <w:r>
        <w:t xml:space="preserve"> </w:t>
      </w:r>
      <w:r>
        <w:t xml:space="preserve">	</w:t>
      </w:r>
      <w:r>
        <w:t xml:space="preserve">Williams, R.J. and Martinez, N.D. (2008)</w:t>
      </w:r>
      <w:r>
        <w:t xml:space="preserve"> </w:t>
      </w:r>
      <w:hyperlink r:id="rId77">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8"/>
    <w:bookmarkStart w:id="80"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9">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80"/>
    <w:bookmarkStart w:id="82"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81">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82"/>
    <w:bookmarkStart w:id="84"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83">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84"/>
    <w:bookmarkStart w:id="86"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8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6"/>
    <w:bookmarkStart w:id="88"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7">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8"/>
    <w:bookmarkStart w:id="90"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9">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90"/>
    <w:bookmarkStart w:id="92" w:name="ref-williamsSimpleRulesYield2000"/>
    <w:p>
      <w:pPr>
        <w:pStyle w:val="Bibliography"/>
      </w:pPr>
      <w:r>
        <w:t xml:space="preserve">18.</w:t>
      </w:r>
      <w:r>
        <w:t xml:space="preserve"> </w:t>
      </w:r>
      <w:r>
        <w:t xml:space="preserve">	</w:t>
      </w:r>
      <w:r>
        <w:t xml:space="preserve">Williams, R.J. and Martinez, N.D. (2000)</w:t>
      </w:r>
      <w:r>
        <w:t xml:space="preserve"> </w:t>
      </w:r>
      <w:hyperlink r:id="rId91">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92"/>
    <w:bookmarkStart w:id="94" w:name="X1e400912f73fb757a731e54197f38b81e74f066"/>
    <w:p>
      <w:pPr>
        <w:pStyle w:val="Bibliography"/>
      </w:pPr>
      <w:r>
        <w:t xml:space="preserve">19.</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93">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94"/>
    <w:bookmarkStart w:id="96" w:name="ref-pringleUntanglingFoodWebs2020"/>
    <w:p>
      <w:pPr>
        <w:pStyle w:val="Bibliography"/>
      </w:pPr>
      <w:r>
        <w:t xml:space="preserve">20.</w:t>
      </w:r>
      <w:r>
        <w:t xml:space="preserve"> </w:t>
      </w:r>
      <w:r>
        <w:t xml:space="preserve">	</w:t>
      </w:r>
      <w:r>
        <w:t xml:space="preserve">Pringle, R.M. (2020)</w:t>
      </w:r>
      <w:r>
        <w:t xml:space="preserve"> </w:t>
      </w:r>
      <w:hyperlink r:id="rId9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96"/>
    <w:bookmarkStart w:id="97"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7"/>
    <w:bookmarkStart w:id="99" w:name="Xe227781537312aad81566d289906b7942bbcf13"/>
    <w:p>
      <w:pPr>
        <w:pStyle w:val="Bibliography"/>
      </w:pPr>
      <w:r>
        <w:t xml:space="preserve">22.</w:t>
      </w:r>
      <w:r>
        <w:t xml:space="preserve"> </w:t>
      </w:r>
      <w:r>
        <w:t xml:space="preserve">	</w:t>
      </w:r>
      <w:r>
        <w:t xml:space="preserve">Lindeman, R.L. (1942)</w:t>
      </w:r>
      <w:r>
        <w:t xml:space="preserve"> </w:t>
      </w:r>
      <w:hyperlink r:id="rId9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9"/>
    <w:bookmarkStart w:id="101" w:name="Xaad5d089781464e09d30bec824bd68c468804d7"/>
    <w:p>
      <w:pPr>
        <w:pStyle w:val="Bibliography"/>
      </w:pPr>
      <w:r>
        <w:t xml:space="preserve">23.</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100">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101"/>
    <w:bookmarkStart w:id="103" w:name="ref-berlowInteractionStrengthsFood2004"/>
    <w:p>
      <w:pPr>
        <w:pStyle w:val="Bibliography"/>
      </w:pPr>
      <w:r>
        <w:t xml:space="preserve">24.</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102">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103"/>
    <w:bookmarkStart w:id="105" w:name="ref-proulxNetworkThinkingEcology2005"/>
    <w:p>
      <w:pPr>
        <w:pStyle w:val="Bibliography"/>
      </w:pPr>
      <w:r>
        <w:t xml:space="preserve">25.</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104">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105"/>
    <w:bookmarkStart w:id="107" w:name="X539896ce86e228708f5963ceeaf0e82711f0c07"/>
    <w:p>
      <w:pPr>
        <w:pStyle w:val="Bibliography"/>
      </w:pPr>
      <w:r>
        <w:t xml:space="preserve">26.</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106">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107"/>
    <w:bookmarkStart w:id="109" w:name="ref-blanchetCooccurrenceNotEvidence2020"/>
    <w:p>
      <w:pPr>
        <w:pStyle w:val="Bibliography"/>
      </w:pPr>
      <w:r>
        <w:t xml:space="preserve">27.</w:t>
      </w:r>
      <w:r>
        <w:t xml:space="preserve"> </w:t>
      </w:r>
      <w:r>
        <w:t xml:space="preserve">	</w:t>
      </w:r>
      <w:r>
        <w:t xml:space="preserve">Blanchet, F.G.</w:t>
      </w:r>
      <w:r>
        <w:t xml:space="preserve"> </w:t>
      </w:r>
      <w:r>
        <w:rPr>
          <w:iCs/>
          <w:i/>
        </w:rPr>
        <w:t xml:space="preserve">et al.</w:t>
      </w:r>
      <w:r>
        <w:t xml:space="preserve"> </w:t>
      </w:r>
      <w:r>
        <w:t xml:space="preserve">(2020)</w:t>
      </w:r>
      <w:r>
        <w:t xml:space="preserve"> </w:t>
      </w:r>
      <w:hyperlink r:id="rId108">
        <w:r>
          <w:rPr>
            <w:rStyle w:val="Hyperlink"/>
          </w:rPr>
          <w:t xml:space="preserve">Co-occurrence is not evidence of ecological interactions</w:t>
        </w:r>
      </w:hyperlink>
      <w:r>
        <w:t xml:space="preserve">.</w:t>
      </w:r>
      <w:r>
        <w:t xml:space="preserve"> </w:t>
      </w:r>
      <w:r>
        <w:rPr>
          <w:iCs/>
          <w:i/>
        </w:rPr>
        <w:t xml:space="preserve">Ecology Letters</w:t>
      </w:r>
      <w:r>
        <w:t xml:space="preserve"> </w:t>
      </w:r>
      <w:r>
        <w:t xml:space="preserve">23, 1050–1063</w:t>
      </w:r>
    </w:p>
    <w:bookmarkEnd w:id="109"/>
    <w:bookmarkStart w:id="111" w:name="ref-strydomGraphEmbeddingTransfer2023"/>
    <w:p>
      <w:pPr>
        <w:pStyle w:val="Bibliography"/>
      </w:pPr>
      <w:r>
        <w:t xml:space="preserve">28.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0">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1"/>
    <w:bookmarkStart w:id="113" w:name="ref-beckermanForagingBiologyPredicts2006"/>
    <w:p>
      <w:pPr>
        <w:pStyle w:val="Bibliography"/>
      </w:pPr>
      <w:r>
        <w:t xml:space="preserve">29.</w:t>
      </w:r>
      <w:r>
        <w:t xml:space="preserve"> </w:t>
      </w:r>
      <w:r>
        <w:t xml:space="preserve">	</w:t>
      </w:r>
      <w:r>
        <w:t xml:space="preserve">Beckerman, A.P.</w:t>
      </w:r>
      <w:r>
        <w:t xml:space="preserve"> </w:t>
      </w:r>
      <w:r>
        <w:rPr>
          <w:iCs/>
          <w:i/>
        </w:rPr>
        <w:t xml:space="preserve">et al.</w:t>
      </w:r>
      <w:r>
        <w:t xml:space="preserve"> </w:t>
      </w:r>
      <w:r>
        <w:t xml:space="preserve">(2006)</w:t>
      </w:r>
      <w:r>
        <w:t xml:space="preserve"> </w:t>
      </w:r>
      <w:hyperlink r:id="rId112">
        <w:r>
          <w:rPr>
            <w:rStyle w:val="Hyperlink"/>
          </w:rPr>
          <w:t xml:space="preserve">Foraging biology predicts food web complexity</w:t>
        </w:r>
      </w:hyperlink>
      <w:r>
        <w:t xml:space="preserve">.</w:t>
      </w:r>
      <w:r>
        <w:t xml:space="preserve"> </w:t>
      </w:r>
      <w:r>
        <w:rPr>
          <w:iCs/>
          <w:i/>
        </w:rPr>
        <w:t xml:space="preserve">Proceedings of the National Academy of Sciences</w:t>
      </w:r>
      <w:r>
        <w:t xml:space="preserve"> </w:t>
      </w:r>
      <w:r>
        <w:t xml:space="preserve">103, 13745–13749</w:t>
      </w:r>
    </w:p>
    <w:bookmarkEnd w:id="113"/>
    <w:bookmarkStart w:id="115" w:name="ref-cherifEnvironmentRescueCan"/>
    <w:p>
      <w:pPr>
        <w:pStyle w:val="Bibliography"/>
      </w:pPr>
      <w:r>
        <w:t xml:space="preserve">30.</w:t>
      </w:r>
      <w:r>
        <w:t xml:space="preserve"> </w:t>
      </w:r>
      <w:r>
        <w:t xml:space="preserve">	</w:t>
      </w:r>
      <w:r>
        <w:t xml:space="preserve">Cherif, M.</w:t>
      </w:r>
      <w:r>
        <w:t xml:space="preserve"> </w:t>
      </w:r>
      <w:r>
        <w:rPr>
          <w:iCs/>
          <w:i/>
        </w:rPr>
        <w:t xml:space="preserve">et al.</w:t>
      </w:r>
      <w:r>
        <w:t xml:space="preserve"> </w:t>
      </w:r>
      <w:hyperlink r:id="rId114">
        <w:r>
          <w:rPr>
            <w:rStyle w:val="Hyperlink"/>
          </w:rPr>
          <w:t xml:space="preserve">The environment to the rescue: Can physics help predict predator–prey interactions?</w:t>
        </w:r>
      </w:hyperlink>
      <w:r>
        <w:t xml:space="preserve"> </w:t>
      </w:r>
      <w:r>
        <w:rPr>
          <w:iCs/>
          <w:i/>
        </w:rPr>
        <w:t xml:space="preserve">Biological Reviews</w:t>
      </w:r>
      <w:r>
        <w:t xml:space="preserve"> </w:t>
      </w:r>
      <w:r>
        <w:t xml:space="preserve">n/a</w:t>
      </w:r>
    </w:p>
    <w:bookmarkEnd w:id="115"/>
    <w:bookmarkStart w:id="117" w:name="ref-dunneCompilationNetworkAnalyses2008"/>
    <w:p>
      <w:pPr>
        <w:pStyle w:val="Bibliography"/>
      </w:pPr>
      <w:r>
        <w:t xml:space="preserve">31.</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1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17"/>
    <w:bookmarkStart w:id="119" w:name="ref-yeakelCollapseEcologicalNetwork2014"/>
    <w:p>
      <w:pPr>
        <w:pStyle w:val="Bibliography"/>
      </w:pPr>
      <w:r>
        <w:t xml:space="preserve">32.</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1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19"/>
    <w:bookmarkStart w:id="121" w:name="X8f3d1de04516835fd1376e2647a281b763af4fc"/>
    <w:p>
      <w:pPr>
        <w:pStyle w:val="Bibliography"/>
      </w:pPr>
      <w:r>
        <w:t xml:space="preserve">33.</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2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21"/>
    <w:bookmarkStart w:id="123" w:name="ref-dunnSixthMassCoextinction2009"/>
    <w:p>
      <w:pPr>
        <w:pStyle w:val="Bibliography"/>
      </w:pPr>
      <w:r>
        <w:t xml:space="preserve">34.</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22">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23"/>
    <w:bookmarkStart w:id="125" w:name="ref-caronTraitmatchingModelsPredict2024"/>
    <w:p>
      <w:pPr>
        <w:pStyle w:val="Bibliography"/>
      </w:pPr>
      <w:r>
        <w:t xml:space="preserve">35.</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24">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25"/>
    <w:bookmarkStart w:id="126" w:name="ref-cohenCommunityFoodWebs1990"/>
    <w:p>
      <w:pPr>
        <w:pStyle w:val="Bibliography"/>
      </w:pPr>
      <w:r>
        <w:t xml:space="preserve">36.</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26"/>
    <w:bookmarkStart w:id="128" w:name="Xb1d8b6b275822be1886d160023287af73cce966"/>
    <w:p>
      <w:pPr>
        <w:pStyle w:val="Bibliography"/>
      </w:pPr>
      <w:r>
        <w:t xml:space="preserve">37.</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27">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28"/>
    <w:bookmarkStart w:id="130" w:name="X0fb50f1746fa9d2b24f89ed5bfe6ae1a2f58cc2"/>
    <w:p>
      <w:pPr>
        <w:pStyle w:val="Bibliography"/>
      </w:pPr>
      <w:r>
        <w:t xml:space="preserve">38.</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29">
        <w:r>
          <w:rPr>
            <w:rStyle w:val="Hyperlink"/>
          </w:rPr>
          <w:t xml:space="preserve">A framework for reconstructing ancient food webs using functional trait data</w:t>
        </w:r>
      </w:hyperlink>
      <w:r>
        <w:t xml:space="preserve">bioRxiv, 2024.01.30.578036</w:t>
      </w:r>
    </w:p>
    <w:bookmarkEnd w:id="130"/>
    <w:bookmarkStart w:id="132" w:name="ref-poisotSpeciesWhyEcological2015"/>
    <w:p>
      <w:pPr>
        <w:pStyle w:val="Bibliography"/>
      </w:pPr>
      <w:r>
        <w:t xml:space="preserve">39.</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31">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32"/>
    <w:bookmarkStart w:id="134" w:name="ref-kuschEcologicalNetworkInference2023"/>
    <w:p>
      <w:pPr>
        <w:pStyle w:val="Bibliography"/>
      </w:pPr>
      <w:r>
        <w:t xml:space="preserve">40.</w:t>
      </w:r>
      <w:r>
        <w:t xml:space="preserve"> </w:t>
      </w:r>
      <w:r>
        <w:t xml:space="preserve">	</w:t>
      </w:r>
      <w:r>
        <w:t xml:space="preserve">Kusch, E.</w:t>
      </w:r>
      <w:r>
        <w:t xml:space="preserve"> </w:t>
      </w:r>
      <w:r>
        <w:rPr>
          <w:iCs/>
          <w:i/>
        </w:rPr>
        <w:t xml:space="preserve">et al.</w:t>
      </w:r>
      <w:r>
        <w:t xml:space="preserve"> </w:t>
      </w:r>
      <w:r>
        <w:t xml:space="preserve">(2023)</w:t>
      </w:r>
      <w:r>
        <w:t xml:space="preserve"> </w:t>
      </w:r>
      <w:hyperlink r:id="rId133">
        <w:r>
          <w:rPr>
            <w:rStyle w:val="Hyperlink"/>
          </w:rPr>
          <w:t xml:space="preserve">Ecological network inference is not consistent across scales or approaches</w:t>
        </w:r>
      </w:hyperlink>
      <w:r>
        <w:t xml:space="preserve">bioRxiv, 2023.07.13.548816</w:t>
      </w:r>
    </w:p>
    <w:bookmarkEnd w:id="134"/>
    <w:bookmarkStart w:id="136" w:name="ref-allesinaGeneralModelFood2008"/>
    <w:p>
      <w:pPr>
        <w:pStyle w:val="Bibliography"/>
      </w:pPr>
      <w:r>
        <w:t xml:space="preserve">41.</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3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36"/>
    <w:bookmarkStart w:id="138" w:name="X023758d2a089016cd8f0c9d2421079cf7d062ff"/>
    <w:p>
      <w:pPr>
        <w:pStyle w:val="Bibliography"/>
      </w:pPr>
      <w:r>
        <w:t xml:space="preserve">42.</w:t>
      </w:r>
      <w:r>
        <w:t xml:space="preserve"> </w:t>
      </w:r>
      <w:r>
        <w:t xml:space="preserve">	</w:t>
      </w:r>
      <w:r>
        <w:t xml:space="preserve">Poisot, T. (2023)</w:t>
      </w:r>
      <w:r>
        <w:t xml:space="preserve"> </w:t>
      </w:r>
      <w:hyperlink r:id="rId137">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38"/>
    <w:bookmarkStart w:id="140" w:name="ref-stoufferEvidenceExistenceRobust2007"/>
    <w:p>
      <w:pPr>
        <w:pStyle w:val="Bibliography"/>
      </w:pPr>
      <w:r>
        <w:t xml:space="preserve">43.</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3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40"/>
    <w:bookmarkStart w:id="142" w:name="ref-pringleResolvingFoodWebStructure2020"/>
    <w:p>
      <w:pPr>
        <w:pStyle w:val="Bibliography"/>
      </w:pPr>
      <w:r>
        <w:t xml:space="preserve">44.</w:t>
      </w:r>
      <w:r>
        <w:t xml:space="preserve"> </w:t>
      </w:r>
      <w:r>
        <w:t xml:space="preserve">	</w:t>
      </w:r>
      <w:r>
        <w:t xml:space="preserve">Pringle, R.M. and Hutchinson, M.C. (2020)</w:t>
      </w:r>
      <w:r>
        <w:t xml:space="preserve"> </w:t>
      </w:r>
      <w:hyperlink r:id="rId14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42"/>
    <w:bookmarkStart w:id="144" w:name="ref-berlowGoldilocksFactorFood2008"/>
    <w:p>
      <w:pPr>
        <w:pStyle w:val="Bibliography"/>
      </w:pPr>
      <w:r>
        <w:t xml:space="preserve">45.</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4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44"/>
    <w:bookmarkStart w:id="146" w:name="ref-brimacombeApplyingMethodIts2024"/>
    <w:p>
      <w:pPr>
        <w:pStyle w:val="Bibliography"/>
      </w:pPr>
      <w:r>
        <w:t xml:space="preserve">46.</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4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46"/>
    <w:bookmarkStart w:id="148" w:name="ref-beckerOptimisingPredictiveModels2022"/>
    <w:p>
      <w:pPr>
        <w:pStyle w:val="Bibliography"/>
      </w:pPr>
      <w:r>
        <w:t xml:space="preserve">47.</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47">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48"/>
    <w:bookmarkStart w:id="150" w:name="ref-terryFindingMissingLinks2020"/>
    <w:p>
      <w:pPr>
        <w:pStyle w:val="Bibliography"/>
      </w:pPr>
      <w:r>
        <w:t xml:space="preserve">48.</w:t>
      </w:r>
      <w:r>
        <w:t xml:space="preserve"> </w:t>
      </w:r>
      <w:r>
        <w:t xml:space="preserve">	</w:t>
      </w:r>
      <w:r>
        <w:t xml:space="preserve">Terry, J.C.D. and Lewis, O.T. (2020)</w:t>
      </w:r>
      <w:r>
        <w:t xml:space="preserve"> </w:t>
      </w:r>
      <w:hyperlink r:id="rId149">
        <w:r>
          <w:rPr>
            <w:rStyle w:val="Hyperlink"/>
          </w:rPr>
          <w:t xml:space="preserve">Finding missing links in interaction networks</w:t>
        </w:r>
      </w:hyperlink>
      <w:r>
        <w:t xml:space="preserve">.</w:t>
      </w:r>
      <w:r>
        <w:t xml:space="preserve"> </w:t>
      </w:r>
      <w:r>
        <w:rPr>
          <w:iCs/>
          <w:i/>
        </w:rPr>
        <w:t xml:space="preserve">Ecology</w:t>
      </w:r>
      <w:r>
        <w:t xml:space="preserve"> </w:t>
      </w:r>
      <w:r>
        <w:t xml:space="preserve">101, e03047</w:t>
      </w:r>
    </w:p>
    <w:bookmarkEnd w:id="150"/>
    <w:bookmarkStart w:id="151" w:name="X1edd2253d2e7e8e6db9e7574240f432ddda2ce1"/>
    <w:p>
      <w:pPr>
        <w:pStyle w:val="Bibliography"/>
      </w:pPr>
      <w:r>
        <w:t xml:space="preserve">49.</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51"/>
    <w:bookmarkStart w:id="153" w:name="ref-fortinNetworkEcologyDynamic2021"/>
    <w:p>
      <w:pPr>
        <w:pStyle w:val="Bibliography"/>
      </w:pPr>
      <w:r>
        <w:t xml:space="preserve">50.</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52">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53"/>
    <w:bookmarkStart w:id="154" w:name="ref-estayEditorialPatternsProcesses2023"/>
    <w:p>
      <w:pPr>
        <w:pStyle w:val="Bibliography"/>
      </w:pPr>
      <w:r>
        <w:t xml:space="preserve">51.</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54"/>
    <w:bookmarkStart w:id="156" w:name="ref-saraviaEcologicalNetworkAssembly2022"/>
    <w:p>
      <w:pPr>
        <w:pStyle w:val="Bibliography"/>
      </w:pPr>
      <w:r>
        <w:t xml:space="preserve">52.</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55">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hyperlink" Id="rId37" Target="https://beckslab.github.io/ms_t_is_for_topology/notebooks/model_descriptions-preview.html" TargetMode="External" /><Relationship Type="http://schemas.openxmlformats.org/officeDocument/2006/relationships/hyperlink" Id="rId38" Target="https://beckslab.github.io/ms_t_is_for_topology/notebooks/model_qualitative-preview.html" TargetMode="External" /><Relationship Type="http://schemas.openxmlformats.org/officeDocument/2006/relationships/hyperlink" Id="rId46" Target="https://beckslab.github.io/ms_t_is_for_topology/notebooks/model_quantitative-preview.html" TargetMode="External" /><Relationship Type="http://schemas.openxmlformats.org/officeDocument/2006/relationships/hyperlink" Id="rId100" Target="https://doi.org/10" TargetMode="External" /><Relationship Type="http://schemas.openxmlformats.org/officeDocument/2006/relationships/hyperlink" Id="rId93" Target="https://doi.org/10.1002/ecy.2523" TargetMode="External" /><Relationship Type="http://schemas.openxmlformats.org/officeDocument/2006/relationships/hyperlink" Id="rId149" Target="https://doi.org/10.1002/ecy.3047" TargetMode="External" /><Relationship Type="http://schemas.openxmlformats.org/officeDocument/2006/relationships/hyperlink" Id="rId147" Target="https://doi.org/10.1016/S2666-5247(21)00245-7" TargetMode="External" /><Relationship Type="http://schemas.openxmlformats.org/officeDocument/2006/relationships/hyperlink" Id="rId85" Target="https://doi.org/10.1016/j.jtbi.2011.03.019" TargetMode="External" /><Relationship Type="http://schemas.openxmlformats.org/officeDocument/2006/relationships/hyperlink" Id="rId104" Target="https://doi.org/10.1016/j.tree.2005.04.004" TargetMode="External" /><Relationship Type="http://schemas.openxmlformats.org/officeDocument/2006/relationships/hyperlink" Id="rId67" Target="https://doi.org/10.1016/j.tree.2015.03.014" TargetMode="External" /><Relationship Type="http://schemas.openxmlformats.org/officeDocument/2006/relationships/hyperlink" Id="rId91" Target="https://doi.org/10.1038/35004572" TargetMode="External" /><Relationship Type="http://schemas.openxmlformats.org/officeDocument/2006/relationships/hyperlink" Id="rId81" Target="https://doi.org/10.1038/s42003-023-05622-3" TargetMode="External" /><Relationship Type="http://schemas.openxmlformats.org/officeDocument/2006/relationships/hyperlink" Id="rId112" Target="https://doi.org/10.1073/pnas.0603039103" TargetMode="External" /><Relationship Type="http://schemas.openxmlformats.org/officeDocument/2006/relationships/hyperlink" Id="rId75" Target="https://doi.org/10.1073/pnas.0710672105" TargetMode="External" /><Relationship Type="http://schemas.openxmlformats.org/officeDocument/2006/relationships/hyperlink" Id="rId143" Target="https://doi.org/10.1073/pnas.0800967105" TargetMode="External" /><Relationship Type="http://schemas.openxmlformats.org/officeDocument/2006/relationships/hyperlink" Id="rId118" Target="https://doi.org/10.1073/pnas.1408471111" TargetMode="External" /><Relationship Type="http://schemas.openxmlformats.org/officeDocument/2006/relationships/hyperlink" Id="rId139" Target="https://doi.org/10.1098/rspb.2007.0571" TargetMode="External" /><Relationship Type="http://schemas.openxmlformats.org/officeDocument/2006/relationships/hyperlink" Id="rId122" Target="https://doi.org/10.1098/rspb.2009.0413" TargetMode="External" /><Relationship Type="http://schemas.openxmlformats.org/officeDocument/2006/relationships/hyperlink" Id="rId152" Target="https://doi.org/10.1098/rspb.2020.1889" TargetMode="External" /><Relationship Type="http://schemas.openxmlformats.org/officeDocument/2006/relationships/hyperlink" Id="rId69" Target="https://doi.org/10.1098/rstb.2021.0063" TargetMode="External" /><Relationship Type="http://schemas.openxmlformats.org/officeDocument/2006/relationships/hyperlink" Id="rId133" Target="https://doi.org/10.1101/2023.07.13.548816" TargetMode="External" /><Relationship Type="http://schemas.openxmlformats.org/officeDocument/2006/relationships/hyperlink" Id="rId129"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155" Target="https://doi.org/10.1111/1365-2656.13652" TargetMode="External" /><Relationship Type="http://schemas.openxmlformats.org/officeDocument/2006/relationships/hyperlink" Id="rId120" Target="https://doi.org/10.1111/2041-210X.12180" TargetMode="External" /><Relationship Type="http://schemas.openxmlformats.org/officeDocument/2006/relationships/hyperlink" Id="rId127" Target="https://doi.org/10.1111/2041-210X.13180" TargetMode="External" /><Relationship Type="http://schemas.openxmlformats.org/officeDocument/2006/relationships/hyperlink" Id="rId79" Target="https://doi.org/10.1111/2041-210X.13329" TargetMode="External" /><Relationship Type="http://schemas.openxmlformats.org/officeDocument/2006/relationships/hyperlink" Id="rId73" Target="https://doi.org/10.1111/2041-210X.13835" TargetMode="External" /><Relationship Type="http://schemas.openxmlformats.org/officeDocument/2006/relationships/hyperlink" Id="rId137"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114" Target="https://doi.org/10.1111/brv.13105" TargetMode="External" /><Relationship Type="http://schemas.openxmlformats.org/officeDocument/2006/relationships/hyperlink" Id="rId71" Target="https://doi.org/10.1111/ecog.01941" TargetMode="External" /><Relationship Type="http://schemas.openxmlformats.org/officeDocument/2006/relationships/hyperlink" Id="rId108" Target="https://doi.org/10.1111/ele.13525" TargetMode="External" /><Relationship Type="http://schemas.openxmlformats.org/officeDocument/2006/relationships/hyperlink" Id="rId124" Target="https://doi.org/10.1111/geb.13807" TargetMode="External" /><Relationship Type="http://schemas.openxmlformats.org/officeDocument/2006/relationships/hyperlink" Id="rId102" Target="https://doi.org/10.1111/j.0021-8790.2004.00833.x" TargetMode="External" /><Relationship Type="http://schemas.openxmlformats.org/officeDocument/2006/relationships/hyperlink" Id="rId77" Target="https://doi.org/10.1111/j.1365-2656.2008.01362.x" TargetMode="External" /><Relationship Type="http://schemas.openxmlformats.org/officeDocument/2006/relationships/hyperlink" Id="rId87" Target="https://doi.org/10.1111/j.1461-0248.2010.01485.x" TargetMode="External" /><Relationship Type="http://schemas.openxmlformats.org/officeDocument/2006/relationships/hyperlink" Id="rId61" Target="https://doi.org/10.1111/jbi.14127" TargetMode="External" /><Relationship Type="http://schemas.openxmlformats.org/officeDocument/2006/relationships/hyperlink" Id="rId83" Target="https://doi.org/10.1111/jbi.14734" TargetMode="External" /><Relationship Type="http://schemas.openxmlformats.org/officeDocument/2006/relationships/hyperlink" Id="rId131" Target="https://doi.org/10.1111/oik.01719" TargetMode="External" /><Relationship Type="http://schemas.openxmlformats.org/officeDocument/2006/relationships/hyperlink" Id="rId135" Target="https://doi.org/10.1126/science.1156269" TargetMode="External" /><Relationship Type="http://schemas.openxmlformats.org/officeDocument/2006/relationships/hyperlink" Id="rId141" Target="https://doi.org/10.1146/annurev-ecolsys-110218-024908" TargetMode="External" /><Relationship Type="http://schemas.openxmlformats.org/officeDocument/2006/relationships/hyperlink" Id="rId59" Target="https://doi.org/10.1146/annurev-ecolsys-112414-054400" TargetMode="External" /><Relationship Type="http://schemas.openxmlformats.org/officeDocument/2006/relationships/hyperlink" Id="rId145" Target="https://doi.org/10.13140/RG.2.2.22076.65927" TargetMode="External" /><Relationship Type="http://schemas.openxmlformats.org/officeDocument/2006/relationships/hyperlink" Id="rId116"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106" Target="https://doi.org/10.1371/journal.pbio.3002068" TargetMode="External" /><Relationship Type="http://schemas.openxmlformats.org/officeDocument/2006/relationships/hyperlink" Id="rId95" Target="https://doi.org/10.1515/9780691195322-020" TargetMode="External" /><Relationship Type="http://schemas.openxmlformats.org/officeDocument/2006/relationships/hyperlink" Id="rId98" Target="https://doi.org/10.2307/1930126" TargetMode="External" /><Relationship Type="http://schemas.openxmlformats.org/officeDocument/2006/relationships/hyperlink" Id="rId89"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descriptions-preview.html" TargetMode="External" /><Relationship Type="http://schemas.openxmlformats.org/officeDocument/2006/relationships/hyperlink" Id="rId38" Target="https://beckslab.github.io/ms_t_is_for_topology/notebooks/model_qualitative-preview.html" TargetMode="External" /><Relationship Type="http://schemas.openxmlformats.org/officeDocument/2006/relationships/hyperlink" Id="rId46" Target="https://beckslab.github.io/ms_t_is_for_topology/notebooks/model_quantitative-preview.html" TargetMode="External" /><Relationship Type="http://schemas.openxmlformats.org/officeDocument/2006/relationships/hyperlink" Id="rId100" Target="https://doi.org/10" TargetMode="External" /><Relationship Type="http://schemas.openxmlformats.org/officeDocument/2006/relationships/hyperlink" Id="rId93" Target="https://doi.org/10.1002/ecy.2523" TargetMode="External" /><Relationship Type="http://schemas.openxmlformats.org/officeDocument/2006/relationships/hyperlink" Id="rId149" Target="https://doi.org/10.1002/ecy.3047" TargetMode="External" /><Relationship Type="http://schemas.openxmlformats.org/officeDocument/2006/relationships/hyperlink" Id="rId147" Target="https://doi.org/10.1016/S2666-5247(21)00245-7" TargetMode="External" /><Relationship Type="http://schemas.openxmlformats.org/officeDocument/2006/relationships/hyperlink" Id="rId85" Target="https://doi.org/10.1016/j.jtbi.2011.03.019" TargetMode="External" /><Relationship Type="http://schemas.openxmlformats.org/officeDocument/2006/relationships/hyperlink" Id="rId104" Target="https://doi.org/10.1016/j.tree.2005.04.004" TargetMode="External" /><Relationship Type="http://schemas.openxmlformats.org/officeDocument/2006/relationships/hyperlink" Id="rId67" Target="https://doi.org/10.1016/j.tree.2015.03.014" TargetMode="External" /><Relationship Type="http://schemas.openxmlformats.org/officeDocument/2006/relationships/hyperlink" Id="rId91" Target="https://doi.org/10.1038/35004572" TargetMode="External" /><Relationship Type="http://schemas.openxmlformats.org/officeDocument/2006/relationships/hyperlink" Id="rId81" Target="https://doi.org/10.1038/s42003-023-05622-3" TargetMode="External" /><Relationship Type="http://schemas.openxmlformats.org/officeDocument/2006/relationships/hyperlink" Id="rId112" Target="https://doi.org/10.1073/pnas.0603039103" TargetMode="External" /><Relationship Type="http://schemas.openxmlformats.org/officeDocument/2006/relationships/hyperlink" Id="rId75" Target="https://doi.org/10.1073/pnas.0710672105" TargetMode="External" /><Relationship Type="http://schemas.openxmlformats.org/officeDocument/2006/relationships/hyperlink" Id="rId143" Target="https://doi.org/10.1073/pnas.0800967105" TargetMode="External" /><Relationship Type="http://schemas.openxmlformats.org/officeDocument/2006/relationships/hyperlink" Id="rId118" Target="https://doi.org/10.1073/pnas.1408471111" TargetMode="External" /><Relationship Type="http://schemas.openxmlformats.org/officeDocument/2006/relationships/hyperlink" Id="rId139" Target="https://doi.org/10.1098/rspb.2007.0571" TargetMode="External" /><Relationship Type="http://schemas.openxmlformats.org/officeDocument/2006/relationships/hyperlink" Id="rId122" Target="https://doi.org/10.1098/rspb.2009.0413" TargetMode="External" /><Relationship Type="http://schemas.openxmlformats.org/officeDocument/2006/relationships/hyperlink" Id="rId152" Target="https://doi.org/10.1098/rspb.2020.1889" TargetMode="External" /><Relationship Type="http://schemas.openxmlformats.org/officeDocument/2006/relationships/hyperlink" Id="rId69" Target="https://doi.org/10.1098/rstb.2021.0063" TargetMode="External" /><Relationship Type="http://schemas.openxmlformats.org/officeDocument/2006/relationships/hyperlink" Id="rId133" Target="https://doi.org/10.1101/2023.07.13.548816" TargetMode="External" /><Relationship Type="http://schemas.openxmlformats.org/officeDocument/2006/relationships/hyperlink" Id="rId129"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155" Target="https://doi.org/10.1111/1365-2656.13652" TargetMode="External" /><Relationship Type="http://schemas.openxmlformats.org/officeDocument/2006/relationships/hyperlink" Id="rId120" Target="https://doi.org/10.1111/2041-210X.12180" TargetMode="External" /><Relationship Type="http://schemas.openxmlformats.org/officeDocument/2006/relationships/hyperlink" Id="rId127" Target="https://doi.org/10.1111/2041-210X.13180" TargetMode="External" /><Relationship Type="http://schemas.openxmlformats.org/officeDocument/2006/relationships/hyperlink" Id="rId79" Target="https://doi.org/10.1111/2041-210X.13329" TargetMode="External" /><Relationship Type="http://schemas.openxmlformats.org/officeDocument/2006/relationships/hyperlink" Id="rId73" Target="https://doi.org/10.1111/2041-210X.13835" TargetMode="External" /><Relationship Type="http://schemas.openxmlformats.org/officeDocument/2006/relationships/hyperlink" Id="rId137"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114" Target="https://doi.org/10.1111/brv.13105" TargetMode="External" /><Relationship Type="http://schemas.openxmlformats.org/officeDocument/2006/relationships/hyperlink" Id="rId71" Target="https://doi.org/10.1111/ecog.01941" TargetMode="External" /><Relationship Type="http://schemas.openxmlformats.org/officeDocument/2006/relationships/hyperlink" Id="rId108" Target="https://doi.org/10.1111/ele.13525" TargetMode="External" /><Relationship Type="http://schemas.openxmlformats.org/officeDocument/2006/relationships/hyperlink" Id="rId124" Target="https://doi.org/10.1111/geb.13807" TargetMode="External" /><Relationship Type="http://schemas.openxmlformats.org/officeDocument/2006/relationships/hyperlink" Id="rId102" Target="https://doi.org/10.1111/j.0021-8790.2004.00833.x" TargetMode="External" /><Relationship Type="http://schemas.openxmlformats.org/officeDocument/2006/relationships/hyperlink" Id="rId77" Target="https://doi.org/10.1111/j.1365-2656.2008.01362.x" TargetMode="External" /><Relationship Type="http://schemas.openxmlformats.org/officeDocument/2006/relationships/hyperlink" Id="rId87" Target="https://doi.org/10.1111/j.1461-0248.2010.01485.x" TargetMode="External" /><Relationship Type="http://schemas.openxmlformats.org/officeDocument/2006/relationships/hyperlink" Id="rId61" Target="https://doi.org/10.1111/jbi.14127" TargetMode="External" /><Relationship Type="http://schemas.openxmlformats.org/officeDocument/2006/relationships/hyperlink" Id="rId83" Target="https://doi.org/10.1111/jbi.14734" TargetMode="External" /><Relationship Type="http://schemas.openxmlformats.org/officeDocument/2006/relationships/hyperlink" Id="rId131" Target="https://doi.org/10.1111/oik.01719" TargetMode="External" /><Relationship Type="http://schemas.openxmlformats.org/officeDocument/2006/relationships/hyperlink" Id="rId135" Target="https://doi.org/10.1126/science.1156269" TargetMode="External" /><Relationship Type="http://schemas.openxmlformats.org/officeDocument/2006/relationships/hyperlink" Id="rId141" Target="https://doi.org/10.1146/annurev-ecolsys-110218-024908" TargetMode="External" /><Relationship Type="http://schemas.openxmlformats.org/officeDocument/2006/relationships/hyperlink" Id="rId59" Target="https://doi.org/10.1146/annurev-ecolsys-112414-054400" TargetMode="External" /><Relationship Type="http://schemas.openxmlformats.org/officeDocument/2006/relationships/hyperlink" Id="rId145" Target="https://doi.org/10.13140/RG.2.2.22076.65927" TargetMode="External" /><Relationship Type="http://schemas.openxmlformats.org/officeDocument/2006/relationships/hyperlink" Id="rId116"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106" Target="https://doi.org/10.1371/journal.pbio.3002068" TargetMode="External" /><Relationship Type="http://schemas.openxmlformats.org/officeDocument/2006/relationships/hyperlink" Id="rId95" Target="https://doi.org/10.1515/9780691195322-020" TargetMode="External" /><Relationship Type="http://schemas.openxmlformats.org/officeDocument/2006/relationships/hyperlink" Id="rId98" Target="https://doi.org/10.2307/1930126" TargetMode="External" /><Relationship Type="http://schemas.openxmlformats.org/officeDocument/2006/relationships/hyperlink" Id="rId89"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2024-06-17T16:19:08Z</dcterms:created>
  <dcterms:modified xsi:type="dcterms:W3CDTF">2024-06-17T16:19:08Z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2024-06-17</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