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2024-06-19</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or realisation of an interaction and how these are determined (and defined by) different</w:t>
            </w:r>
            <w:r>
              <w:t xml:space="preserve"> </w:t>
            </w:r>
            <w:r>
              <w:t xml:space="preserve">‘</w:t>
            </w:r>
            <w:r>
              <w:t xml:space="preserve">rules</w:t>
            </w:r>
            <w:r>
              <w:t xml:space="preserve">’</w:t>
            </w:r>
            <w:r>
              <w:t xml:space="preserve">/hierarchical mechanisms. If we look at this feasibility-reality continuum (</w:t>
            </w:r>
            <w:hyperlink w:anchor="fig-feasibility">
              <w:r>
                <w:rPr>
                  <w:rStyle w:val="Hyperlink"/>
                </w:rPr>
                <w:t xml:space="preserve">Figure 2</w:t>
              </w:r>
            </w:hyperlink>
            <w:r>
              <w:t xml:space="preserve">) it is clear how the different predictive approaches usually encapsulate one specific</w:t>
            </w:r>
            <w:r>
              <w:t xml:space="preserve"> </w:t>
            </w:r>
            <w:r>
              <w:t xml:space="preserve">‘</w:t>
            </w:r>
            <w:r>
              <w:t xml:space="preserve">rule</w:t>
            </w:r>
            <w:r>
              <w:t xml:space="preserve">’</w:t>
            </w:r>
            <w:r>
              <w:t xml:space="preserve"> </w:t>
            </w:r>
            <w:r>
              <w:t xml:space="preserve">and fail to account for the rest.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p>
            <w:pPr>
              <w:pStyle w:val="BodyText"/>
            </w:pPr>
            <w:r>
              <w:t xml:space="preserve">When we move from feasibility we can also maybe think of it as moving from trying to determine interaction between species pairs and rather determine the final network (because basically at that point it is a case of the fact that interactions are</w:t>
            </w:r>
            <w:r>
              <w:t xml:space="preserve"> </w:t>
            </w:r>
            <w:r>
              <w:t xml:space="preserve">‘</w:t>
            </w:r>
            <w:r>
              <w:t xml:space="preserve">interacting</w:t>
            </w:r>
            <w:r>
              <w:t xml:space="preserve">’</w:t>
            </w:r>
            <w:r>
              <w:t xml:space="preserve"> </w:t>
            </w:r>
            <w:r>
              <w:rPr>
                <w:iCs/>
                <w:i/>
              </w:rPr>
              <w:t xml:space="preserve">i.e.</w:t>
            </w:r>
            <w:r>
              <w:t xml:space="preserve"> </w:t>
            </w:r>
            <w:r>
              <w:t xml:space="preserve">its not just the trophic links but also the competitive/non trophic links that matter)</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 mechanisms per se (e.g. species must co-occur, then they must meet, then we can determine if the interaction will happen) but it makes modelling sense? IDK… anyway we can shuffles things around</w:t>
            </w:r>
          </w:p>
          <w:bookmarkStart w:id="33" w:name="mechanisms"/>
          <w:p>
            <w:pPr>
              <w:pStyle w:val="Heading3"/>
            </w:pPr>
            <w:r>
              <w:t xml:space="preserve">Mechanisms</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(in terms of feeding</w:t>
            </w:r>
            <w:r>
              <w:t xml:space="preserve"> </w:t>
            </w:r>
            <w:r>
              <w:rPr>
                <w:iCs/>
                <w:i/>
              </w:rPr>
              <w:t xml:space="preserve">i.e.,</w:t>
            </w:r>
            <w:r>
              <w:t xml:space="preserve"> </w:t>
            </w:r>
            <w:r>
              <w:t xml:space="preserve">consumptive links) if they are not co-occurring in time and space. An example of this would be</w:t>
            </w:r>
            <w:r>
              <w:t xml:space="preserve"> </w:t>
            </w:r>
            <w:r>
              <w:t xml:space="preserve">[30]</w:t>
            </w:r>
            <w:r>
              <w:t xml:space="preserve"> </w:t>
            </w:r>
            <w:r>
              <w:t xml:space="preserve">where the metaweb is downsampled into smaller realisations - however arguably these are still firmly in the space of feasible interactions for the specific location but are a better approximation of</w:t>
            </w:r>
            <w:r>
              <w:t xml:space="preserve"> </w:t>
            </w:r>
            <w:r>
              <w:t xml:space="preserve">‘</w:t>
            </w:r>
            <w:r>
              <w:t xml:space="preserve">reality</w:t>
            </w:r>
            <w:r>
              <w:t xml:space="preserve">’</w:t>
            </w:r>
            <w:r>
              <w:t xml:space="preserve">…</w:t>
            </w:r>
          </w:p>
          <w:p>
            <w:pPr>
              <w:pStyle w:val="BlockText"/>
            </w:pPr>
            <w:r>
              <w:t xml:space="preserve">Mass effect interactions?? 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nor</w:t>
            </w:r>
            <w:r>
              <w:t xml:space="preserve"> </w:t>
            </w:r>
            <w:r>
              <w:t xml:space="preserve">‘</w:t>
            </w:r>
            <w:r>
              <w:t xml:space="preserve">reality</w:t>
            </w:r>
            <w:r>
              <w:t xml:space="preserve">’</w:t>
            </w:r>
            <w:r>
              <w:t xml:space="preserve"> </w:t>
            </w:r>
            <w:r>
              <w:t xml:space="preserve">side of the spectrum. 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assembly and more so a data parameter one needs…</w:t>
            </w:r>
          </w:p>
          <w:p>
            <w:pPr>
              <w:pStyle w:val="FirstParagraph"/>
            </w:pPr>
            <w:r>
              <w:rPr>
                <w:bCs/>
                <w:b/>
              </w:rPr>
              <w:t xml:space="preserve">3. Consumer–resource interactions</w:t>
            </w:r>
          </w:p>
          <w:p>
            <w:pPr>
              <w:pStyle w:val="BlockText"/>
            </w:pPr>
            <w:r>
              <w:t xml:space="preserve">consumption rate (energy acquisition) vs metabolic rate (energy use)</w:t>
            </w:r>
          </w:p>
          <w:p>
            <w:pPr>
              <w:pStyle w:val="FirstParagraph"/>
            </w:pPr>
            <w:r>
              <w:t xml:space="preserve">I think here it a case of thinking of how the value of the prey will influence prey choice which has its roots in feeding ecology…</w:t>
            </w:r>
          </w:p>
          <w:p>
            <w:pPr>
              <w:pStyle w:val="BodyText"/>
            </w:pPr>
            <w:r>
              <w:t xml:space="preserve">Here we move into the</w:t>
            </w:r>
            <w:r>
              <w:t xml:space="preserve"> </w:t>
            </w:r>
            <w:r>
              <w:t xml:space="preserve">‘</w:t>
            </w:r>
            <w:r>
              <w:t xml:space="preserve">prey choice</w:t>
            </w:r>
            <w:r>
              <w:t xml:space="preserve">’</w:t>
            </w:r>
            <w:r>
              <w:t xml:space="preserve"> </w:t>
            </w:r>
            <w:r>
              <w:t xml:space="preserve">space - specifically the cost-benefit side of things that falls under feeding ecology. Examples of models</w:t>
            </w:r>
            <w:r>
              <w:t xml:space="preserve"> </w:t>
            </w:r>
            <w:r>
              <w:t xml:space="preserve">[10,31]</w:t>
            </w:r>
            <w:r>
              <w:t xml:space="preserve">.</w:t>
            </w:r>
          </w:p>
          <w:p>
            <w:pPr>
              <w:pStyle w:val="BodyText"/>
            </w:pPr>
            <w:r>
              <w:t xml:space="preserve">Also the consumer search space??</w:t>
            </w:r>
            <w:r>
              <w:t xml:space="preserve"> </w:t>
            </w:r>
            <w:r>
              <w:t xml:space="preserve">[32]</w:t>
            </w:r>
          </w:p>
          <w:p>
            <w:pPr>
              <w:pStyle w:val="BodyText"/>
            </w:pPr>
            <w:r>
              <w:rPr>
                <w:bCs/>
                <w:b/>
              </w:rPr>
              <w:t xml:space="preserve">4.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[33]</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level 5</w:t>
            </w:r>
            <w:r>
              <w:t xml:space="preserve">’</w:t>
            </w:r>
            <w:r>
              <w:t xml:space="preserve"> </w:t>
            </w:r>
            <w:r>
              <w:t xml:space="preserve">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 (I guess this kind of thinking will probably open the door for talking about benchmarking should we still want to keep the model comparison angle).</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[34,35]</w:t>
      </w:r>
      <w:r>
        <w:t xml:space="preserve">, using pairwise interactions to understand species distributions</w:t>
      </w:r>
      <w:r>
        <w:t xml:space="preserve"> </w:t>
      </w:r>
      <w:r>
        <w:t xml:space="preserve">[36]</w:t>
      </w:r>
      <w:r>
        <w:t xml:space="preserve"> </w:t>
      </w:r>
      <w:r>
        <w:t xml:space="preserve">or even co-extinction risk</w:t>
      </w:r>
      <w:r>
        <w:t xml:space="preserve"> </w:t>
      </w:r>
      <w:r>
        <w:t xml:space="preserve">[37]</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[38]</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[39]</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[40]</w:t>
      </w:r>
      <w:r>
        <w:t xml:space="preserve"> </w:t>
      </w:r>
      <w:r>
        <w:t xml:space="preserve">or trait hierarchy</w:t>
      </w:r>
      <w:r>
        <w:t xml:space="preserve"> </w:t>
      </w:r>
      <w:r>
        <w:t xml:space="preserve">[41]</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42]</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[43]</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[44]</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[45]</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[46]</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[42]</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[20,47]</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[47]</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[48]</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[49]</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[45]</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[50]</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[51]</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[52]</w:t>
      </w:r>
      <w:r>
        <w:t xml:space="preserve"> </w:t>
      </w:r>
      <w:r>
        <w:t xml:space="preserve">and that we should also start thinking about the interplay of time and space</w:t>
      </w:r>
      <w:r>
        <w:t xml:space="preserve"> </w:t>
      </w:r>
      <w:r>
        <w:t xml:space="preserve">[53]</w:t>
      </w:r>
      <w:r>
        <w:t xml:space="preserve">. Although deciding exactly what measure might actually be driving differences between local networks and the regional metaweb might not be that simple</w:t>
      </w:r>
      <w:r>
        <w:t xml:space="preserve"> </w:t>
      </w:r>
      <w:r>
        <w:t xml:space="preserve">[54]</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3" w:name="references"/>
    <w:p>
      <w:pPr>
        <w:pStyle w:val="Heading2"/>
      </w:pPr>
      <w:r>
        <w:t xml:space="preserve">References</w:t>
      </w:r>
    </w:p>
    <w:bookmarkStart w:id="162"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X0c2a588d4c668aa5d8efe715af4b32a452d7f80"/>
    <w:p>
      <w:pPr>
        <w:pStyle w:val="Bibliography"/>
      </w:pPr>
      <w:r>
        <w:t xml:space="preserve">32.</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18">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19"/>
    <w:bookmarkStart w:id="121" w:name="ref-cherifEnvironmentRescueCan"/>
    <w:p>
      <w:pPr>
        <w:pStyle w:val="Bibliography"/>
      </w:pPr>
      <w:r>
        <w:t xml:space="preserve">33.</w:t>
      </w:r>
      <w:r>
        <w:t xml:space="preserve"> </w:t>
      </w:r>
      <w:r>
        <w:t xml:space="preserve">	</w:t>
      </w:r>
      <w:r>
        <w:t xml:space="preserve">Cherif, M.</w:t>
      </w:r>
      <w:r>
        <w:t xml:space="preserve"> </w:t>
      </w:r>
      <w:r>
        <w:rPr>
          <w:iCs/>
          <w:i/>
        </w:rPr>
        <w:t xml:space="preserve">et al.</w:t>
      </w:r>
      <w:r>
        <w:t xml:space="preserve"> </w:t>
      </w:r>
      <w:hyperlink r:id="rId120">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1"/>
    <w:bookmarkStart w:id="123" w:name="ref-dunneCompilationNetworkAnalyses2008"/>
    <w:p>
      <w:pPr>
        <w:pStyle w:val="Bibliography"/>
      </w:pPr>
      <w:r>
        <w:t xml:space="preserve">34.</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2">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3"/>
    <w:bookmarkStart w:id="125" w:name="ref-yeakelCollapseEcologicalNetwork2014"/>
    <w:p>
      <w:pPr>
        <w:pStyle w:val="Bibliography"/>
      </w:pPr>
      <w:r>
        <w:t xml:space="preserve">35.</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4">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5"/>
    <w:bookmarkStart w:id="127" w:name="X8f3d1de04516835fd1376e2647a281b763af4fc"/>
    <w:p>
      <w:pPr>
        <w:pStyle w:val="Bibliography"/>
      </w:pPr>
      <w:r>
        <w:t xml:space="preserve">36.</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6">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7"/>
    <w:bookmarkStart w:id="129" w:name="ref-dunnSixthMassCoextinction2009"/>
    <w:p>
      <w:pPr>
        <w:pStyle w:val="Bibliography"/>
      </w:pPr>
      <w:r>
        <w:t xml:space="preserve">37.</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28">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29"/>
    <w:bookmarkStart w:id="131" w:name="ref-caronTraitmatchingModelsPredict2024"/>
    <w:p>
      <w:pPr>
        <w:pStyle w:val="Bibliography"/>
      </w:pPr>
      <w:r>
        <w:t xml:space="preserve">38.</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0">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1"/>
    <w:bookmarkStart w:id="132" w:name="ref-cohenCommunityFoodWebs1990"/>
    <w:p>
      <w:pPr>
        <w:pStyle w:val="Bibliography"/>
      </w:pPr>
      <w:r>
        <w:t xml:space="preserve">39.</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2"/>
    <w:bookmarkStart w:id="134" w:name="Xb1d8b6b275822be1886d160023287af73cce966"/>
    <w:p>
      <w:pPr>
        <w:pStyle w:val="Bibliography"/>
      </w:pPr>
      <w:r>
        <w:t xml:space="preserve">40.</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3">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4"/>
    <w:bookmarkStart w:id="136" w:name="X0fb50f1746fa9d2b24f89ed5bfe6ae1a2f58cc2"/>
    <w:p>
      <w:pPr>
        <w:pStyle w:val="Bibliography"/>
      </w:pPr>
      <w:r>
        <w:t xml:space="preserve">41.</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5">
        <w:r>
          <w:rPr>
            <w:rStyle w:val="Hyperlink"/>
          </w:rPr>
          <w:t xml:space="preserve">A framework for reconstructing ancient food webs using functional trait data</w:t>
        </w:r>
      </w:hyperlink>
      <w:r>
        <w:t xml:space="preserve">bioRxiv, 2024.01.30.578036</w:t>
      </w:r>
    </w:p>
    <w:bookmarkEnd w:id="136"/>
    <w:bookmarkStart w:id="138" w:name="ref-poisotSpeciesWhyEcological2015"/>
    <w:p>
      <w:pPr>
        <w:pStyle w:val="Bibliography"/>
      </w:pPr>
      <w:r>
        <w:t xml:space="preserve">42.</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7">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38"/>
    <w:bookmarkStart w:id="140" w:name="ref-kuschEcologicalNetworkInference2023"/>
    <w:p>
      <w:pPr>
        <w:pStyle w:val="Bibliography"/>
      </w:pPr>
      <w:r>
        <w:t xml:space="preserve">43.</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39">
        <w:r>
          <w:rPr>
            <w:rStyle w:val="Hyperlink"/>
          </w:rPr>
          <w:t xml:space="preserve">Ecological network inference is not consistent across scales or approaches</w:t>
        </w:r>
      </w:hyperlink>
      <w:r>
        <w:t xml:space="preserve">bioRxiv, 2023.07.13.548816</w:t>
      </w:r>
    </w:p>
    <w:bookmarkEnd w:id="140"/>
    <w:bookmarkStart w:id="142" w:name="ref-allesinaGeneralModelFood2008"/>
    <w:p>
      <w:pPr>
        <w:pStyle w:val="Bibliography"/>
      </w:pPr>
      <w:r>
        <w:t xml:space="preserve">44.</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2"/>
    <w:bookmarkStart w:id="144" w:name="X023758d2a089016cd8f0c9d2421079cf7d062ff"/>
    <w:p>
      <w:pPr>
        <w:pStyle w:val="Bibliography"/>
      </w:pPr>
      <w:r>
        <w:t xml:space="preserve">45.</w:t>
      </w:r>
      <w:r>
        <w:t xml:space="preserve"> </w:t>
      </w:r>
      <w:r>
        <w:t xml:space="preserve">	</w:t>
      </w:r>
      <w:r>
        <w:t xml:space="preserve">Poisot, T. (2023)</w:t>
      </w:r>
      <w:r>
        <w:t xml:space="preserve"> </w:t>
      </w:r>
      <w:hyperlink r:id="rId143">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4"/>
    <w:bookmarkStart w:id="146" w:name="ref-stoufferEvidenceExistenceRobust2007"/>
    <w:p>
      <w:pPr>
        <w:pStyle w:val="Bibliography"/>
      </w:pPr>
      <w:r>
        <w:t xml:space="preserve">46.</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5">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6"/>
    <w:bookmarkStart w:id="148" w:name="ref-pringleResolvingFoodWebStructure2020"/>
    <w:p>
      <w:pPr>
        <w:pStyle w:val="Bibliography"/>
      </w:pPr>
      <w:r>
        <w:t xml:space="preserve">47.</w:t>
      </w:r>
      <w:r>
        <w:t xml:space="preserve"> </w:t>
      </w:r>
      <w:r>
        <w:t xml:space="preserve">	</w:t>
      </w:r>
      <w:r>
        <w:t xml:space="preserve">Pringle, R.M. and Hutchinson, M.C. (2020)</w:t>
      </w:r>
      <w:r>
        <w:t xml:space="preserve"> </w:t>
      </w:r>
      <w:hyperlink r:id="rId147">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48"/>
    <w:bookmarkStart w:id="150" w:name="ref-berlowGoldilocksFactorFood2008"/>
    <w:p>
      <w:pPr>
        <w:pStyle w:val="Bibliography"/>
      </w:pPr>
      <w:r>
        <w:t xml:space="preserve">48.</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49">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0"/>
    <w:bookmarkStart w:id="152" w:name="ref-brimacombeApplyingMethodIts2024"/>
    <w:p>
      <w:pPr>
        <w:pStyle w:val="Bibliography"/>
      </w:pPr>
      <w:r>
        <w:t xml:space="preserve">49.</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1">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2"/>
    <w:bookmarkStart w:id="154" w:name="ref-beckerOptimisingPredictiveModels2022"/>
    <w:p>
      <w:pPr>
        <w:pStyle w:val="Bibliography"/>
      </w:pPr>
      <w:r>
        <w:t xml:space="preserve">50.</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3">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4"/>
    <w:bookmarkStart w:id="156" w:name="ref-terryFindingMissingLinks2020"/>
    <w:p>
      <w:pPr>
        <w:pStyle w:val="Bibliography"/>
      </w:pPr>
      <w:r>
        <w:t xml:space="preserve">51.</w:t>
      </w:r>
      <w:r>
        <w:t xml:space="preserve"> </w:t>
      </w:r>
      <w:r>
        <w:t xml:space="preserve">	</w:t>
      </w:r>
      <w:r>
        <w:t xml:space="preserve">Terry, J.C.D. and Lewis, O.T. (2020)</w:t>
      </w:r>
      <w:r>
        <w:t xml:space="preserve"> </w:t>
      </w:r>
      <w:hyperlink r:id="rId155">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6"/>
    <w:bookmarkStart w:id="158" w:name="ref-fortinNetworkEcologyDynamic2021"/>
    <w:p>
      <w:pPr>
        <w:pStyle w:val="Bibliography"/>
      </w:pPr>
      <w:r>
        <w:t xml:space="preserve">52.</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7">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58"/>
    <w:bookmarkStart w:id="159" w:name="ref-estayEditorialPatternsProcesses2023"/>
    <w:p>
      <w:pPr>
        <w:pStyle w:val="Bibliography"/>
      </w:pPr>
      <w:r>
        <w:t xml:space="preserve">53.</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59"/>
    <w:bookmarkStart w:id="161" w:name="ref-saraviaEcologicalNetworkAssembly2022"/>
    <w:p>
      <w:pPr>
        <w:pStyle w:val="Bibliography"/>
      </w:pPr>
      <w:r>
        <w:t xml:space="preserve">54.</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0">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2024-06-19T15:59:04Z</dcterms:created>
  <dcterms:modified xsi:type="dcterms:W3CDTF">2024-06-19T15:59:04Z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