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844"/>
              <w:gridCol w:w="1372"/>
              <w:gridCol w:w="1267"/>
              <w:gridCol w:w="1267"/>
              <w:gridCol w:w="1267"/>
              <w:gridCol w:w="950"/>
              <w:gridCol w:w="95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w:t>
      </w:r>
      <w:r>
        <w:rPr>
          <w:bCs/>
          <w:b/>
        </w:rPr>
        <w:t xml:space="preserve">Fortin2021Network?</w:t>
      </w:r>
      <w:r>
        <w:t xml:space="preserve">)</w:t>
      </w:r>
      <w:r>
        <w:t xml:space="preserve"> </w:t>
      </w:r>
      <w:r>
        <w:t xml:space="preserve">and that we should also start thinking about the interplay of time and space</w:t>
      </w:r>
      <w:r>
        <w:t xml:space="preserve"> </w:t>
      </w:r>
      <w:r>
        <w:t xml:space="preserve">(</w:t>
      </w:r>
      <w:r>
        <w:rPr>
          <w:bCs/>
          <w:b/>
        </w:rPr>
        <w:t xml:space="preserve">Estay2023Editorial?</w:t>
      </w:r>
      <w:r>
        <w:t xml:space="preserve">)</w:t>
      </w:r>
      <w:r>
        <w:t xml:space="preserve">. Although deciding exactly what measure might actually be driving differences between local networks and the regional metaweb might not be that simple</w:t>
      </w:r>
      <w:r>
        <w:t xml:space="preserve"> </w:t>
      </w:r>
      <w:r>
        <w:t xml:space="preserve">(</w:t>
      </w:r>
      <w:r>
        <w:rPr>
          <w:bCs/>
          <w:b/>
        </w:rPr>
        <w:t xml:space="preserve">Saravia2022Ecological?</w:t>
      </w:r>
      <w:r>
        <w:t xml:space="preserve">)</w:t>
      </w:r>
      <w:r>
        <w:t xml:space="preserve">”</w:t>
      </w:r>
      <w:r>
        <w:t xml:space="preserve">”</w:t>
      </w:r>
    </w:p>
    <w:bookmarkEnd w:id="58"/>
    <w:bookmarkEnd w:id="59"/>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82"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7"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6">
        <w:r>
          <w:rPr>
            <w:rStyle w:val="Hyperlink"/>
          </w:rPr>
          <w:t xml:space="preserve">https://doi.org/10.1073/pnas.74.10.4533</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1"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1"/>
    <w:bookmarkStart w:id="92"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2"/>
    <w:bookmarkStart w:id="9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3">
        <w:r>
          <w:rPr>
            <w:rStyle w:val="Hyperlink"/>
          </w:rPr>
          <w:t xml:space="preserve">https://doi.org/10.2307/1936298</w:t>
        </w:r>
      </w:hyperlink>
      <w:r>
        <w:t xml:space="preserve">.</w:t>
      </w:r>
    </w:p>
    <w:bookmarkEnd w:id="94"/>
    <w:bookmarkStart w:id="96"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5">
        <w:r>
          <w:rPr>
            <w:rStyle w:val="Hyperlink"/>
          </w:rPr>
          <w:t xml:space="preserve">https://doi.org/10.1111/brv.12433</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04">
        <w:r>
          <w:rPr>
            <w:rStyle w:val="Hyperlink"/>
          </w:rPr>
          <w:t xml:space="preserve">https://doi.org/10.1016/j.spasta.2012.02.004</w:t>
        </w:r>
      </w:hyperlink>
      <w:r>
        <w:t xml:space="preserve">.</w:t>
      </w:r>
    </w:p>
    <w:bookmarkEnd w:id="105"/>
    <w:bookmarkStart w:id="10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6">
        <w:r>
          <w:rPr>
            <w:rStyle w:val="Hyperlink"/>
          </w:rPr>
          <w:t xml:space="preserve">https://doi.org/10.1111/j.1461-0248.2005.00868.x</w:t>
        </w:r>
      </w:hyperlink>
      <w:r>
        <w:t xml:space="preserve">.</w:t>
      </w:r>
    </w:p>
    <w:bookmarkEnd w:id="107"/>
    <w:bookmarkStart w:id="10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8">
        <w:r>
          <w:rPr>
            <w:rStyle w:val="Hyperlink"/>
          </w:rPr>
          <w:t xml:space="preserve">https://doi.org/10.1111/2041-210X.12103</w:t>
        </w:r>
      </w:hyperlink>
      <w:r>
        <w:t xml:space="preserve">.</w:t>
      </w:r>
    </w:p>
    <w:bookmarkEnd w:id="109"/>
    <w:bookmarkStart w:id="11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0">
        <w:r>
          <w:rPr>
            <w:rStyle w:val="Hyperlink"/>
          </w:rPr>
          <w:t xml:space="preserve">https://doi.org/10.1016/j.fooweb.2015.09.001</w:t>
        </w:r>
      </w:hyperlink>
      <w:r>
        <w:t xml:space="preserve">.</w:t>
      </w:r>
    </w:p>
    <w:bookmarkEnd w:id="111"/>
    <w:bookmarkStart w:id="11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2">
        <w:r>
          <w:rPr>
            <w:rStyle w:val="Hyperlink"/>
          </w:rPr>
          <w:t xml:space="preserve">https://doi.org/10.1371/journal.pbio.1002559</w:t>
        </w:r>
      </w:hyperlink>
      <w:r>
        <w:t xml:space="preserve">.</w:t>
      </w:r>
    </w:p>
    <w:bookmarkEnd w:id="113"/>
    <w:bookmarkStart w:id="11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4">
        <w:r>
          <w:rPr>
            <w:rStyle w:val="Hyperlink"/>
          </w:rPr>
          <w:t xml:space="preserve">https://doi.org/10.1111/1365-2435.12763</w:t>
        </w:r>
      </w:hyperlink>
      <w:r>
        <w:t xml:space="preserve">.</w:t>
      </w:r>
    </w:p>
    <w:bookmarkEnd w:id="115"/>
    <w:bookmarkStart w:id="11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6">
        <w:r>
          <w:rPr>
            <w:rStyle w:val="Hyperlink"/>
          </w:rPr>
          <w:t xml:space="preserve">https://doi.org/10.1111/ecog.06619</w:t>
        </w:r>
      </w:hyperlink>
      <w:r>
        <w:t xml:space="preserve">.</w:t>
      </w:r>
    </w:p>
    <w:bookmarkEnd w:id="117"/>
    <w:bookmarkStart w:id="11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8">
        <w:r>
          <w:rPr>
            <w:rStyle w:val="Hyperlink"/>
          </w:rPr>
          <w:t xml:space="preserve">https://doi.org/10.1111/geb.13138</w:t>
        </w:r>
      </w:hyperlink>
      <w:r>
        <w:t xml:space="preserve">.</w:t>
      </w:r>
    </w:p>
    <w:bookmarkEnd w:id="119"/>
    <w:bookmarkStart w:id="12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20">
        <w:r>
          <w:rPr>
            <w:rStyle w:val="Hyperlink"/>
          </w:rPr>
          <w:t xml:space="preserve">https://doi.org/10.1016/0005-2795(75)90109-9</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4">
        <w:r>
          <w:rPr>
            <w:rStyle w:val="Hyperlink"/>
          </w:rPr>
          <w:t xml:space="preserve">https://doi.org/10.1111/ele.13143</w:t>
        </w:r>
      </w:hyperlink>
      <w:r>
        <w:t xml:space="preserve">.</w:t>
      </w:r>
    </w:p>
    <w:bookmarkEnd w:id="125"/>
    <w:bookmarkStart w:id="12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6">
        <w:r>
          <w:rPr>
            <w:rStyle w:val="Hyperlink"/>
          </w:rPr>
          <w:t xml:space="preserve">https://doi.org/10.1073/pnas.0710672105</w:t>
        </w:r>
      </w:hyperlink>
      <w:r>
        <w:t xml:space="preserve">.</w:t>
      </w:r>
    </w:p>
    <w:bookmarkEnd w:id="127"/>
    <w:bookmarkStart w:id="12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8">
        <w:r>
          <w:rPr>
            <w:rStyle w:val="Hyperlink"/>
          </w:rPr>
          <w:t xml:space="preserve">https://doi.org/10.1016/j.jtbi.2011.03.019</w:t>
        </w:r>
      </w:hyperlink>
      <w:r>
        <w:t xml:space="preserve">.</w:t>
      </w:r>
    </w:p>
    <w:bookmarkEnd w:id="129"/>
    <w:bookmarkStart w:id="13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0">
        <w:r>
          <w:rPr>
            <w:rStyle w:val="Hyperlink"/>
          </w:rPr>
          <w:t xml:space="preserve">https://doi.org/10.1111/2041-210X.13329</w:t>
        </w:r>
      </w:hyperlink>
      <w:r>
        <w:t xml:space="preserve">.</w:t>
      </w:r>
    </w:p>
    <w:bookmarkEnd w:id="131"/>
    <w:bookmarkStart w:id="13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2">
        <w:r>
          <w:rPr>
            <w:rStyle w:val="Hyperlink"/>
          </w:rPr>
          <w:t xml:space="preserve">https://doi.org/10.1016/j.ecoinf.2014.08.005</w:t>
        </w:r>
      </w:hyperlink>
      <w:r>
        <w:t xml:space="preserve">.</w:t>
      </w:r>
    </w:p>
    <w:bookmarkEnd w:id="133"/>
    <w:bookmarkStart w:id="13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4">
        <w:r>
          <w:rPr>
            <w:rStyle w:val="Hyperlink"/>
          </w:rPr>
          <w:t xml:space="preserve">https://doi.org/10.1111/2041-210X.14071</w:t>
        </w:r>
      </w:hyperlink>
      <w:r>
        <w:t xml:space="preserve">.</w:t>
      </w:r>
    </w:p>
    <w:bookmarkEnd w:id="135"/>
    <w:bookmarkStart w:id="13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6">
        <w:r>
          <w:rPr>
            <w:rStyle w:val="Hyperlink"/>
          </w:rPr>
          <w:t xml:space="preserve">https://doi.org/10.1111/ecog.00976</w:t>
        </w:r>
      </w:hyperlink>
      <w:r>
        <w:t xml:space="preserve">.</w:t>
      </w:r>
    </w:p>
    <w:bookmarkEnd w:id="137"/>
    <w:bookmarkStart w:id="13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8">
        <w:r>
          <w:rPr>
            <w:rStyle w:val="Hyperlink"/>
          </w:rPr>
          <w:t xml:space="preserve">https://doi.org/10.1111/jbi.14127</w:t>
        </w:r>
      </w:hyperlink>
      <w:r>
        <w:t xml:space="preserve">.</w:t>
      </w:r>
    </w:p>
    <w:bookmarkEnd w:id="139"/>
    <w:bookmarkStart w:id="14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0">
        <w:r>
          <w:rPr>
            <w:rStyle w:val="Hyperlink"/>
          </w:rPr>
          <w:t xml:space="preserve">https://doi.org/10</w:t>
        </w:r>
      </w:hyperlink>
      <w:r>
        <w:t xml:space="preserve">.</w:t>
      </w:r>
    </w:p>
    <w:bookmarkEnd w:id="141"/>
    <w:bookmarkStart w:id="14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2">
        <w:r>
          <w:rPr>
            <w:rStyle w:val="Hyperlink"/>
          </w:rPr>
          <w:t xml:space="preserve">https://doi.org/10.1111/ecog.01941</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8">
        <w:r>
          <w:rPr>
            <w:rStyle w:val="Hyperlink"/>
          </w:rPr>
          <w:t xml:space="preserve">https://doi.org/10.3389/fevo.2021.623141</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04" Target="https://doi.org/10.1016/j.spasta.2012.02.004"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3"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04" Target="https://doi.org/10.1016/j.spasta.2012.02.004"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3"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2024-05-02T08:27:47Z</dcterms:created>
  <dcterms:modified xsi:type="dcterms:W3CDTF">2024-05-02T08:27:47Z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