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2024-05-16</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Cs/>
          <w:i/>
        </w:rPr>
        <w:t xml:space="preserve">should</w:t>
      </w:r>
      <w:r>
        <w:t xml:space="preserve"> </w:t>
      </w:r>
      <w:r>
        <w:t xml:space="preserve">represent a species, the reality is that nodes can often represent an aggregation of different (taxonomic)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It is thus not uncommon that networks often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Cs/>
          <w:i/>
        </w:rPr>
        <w:t xml:space="preserve">i.e.,</w:t>
      </w:r>
      <w:r>
        <w:t xml:space="preserve"> </w:t>
      </w:r>
      <w:r>
        <w:t xml:space="preserve">moving from being able to say are they occurring to how likely they are to be occurring) does add an additional level of</w:t>
      </w:r>
      <w:r>
        <w:t xml:space="preserve"> </w:t>
      </w:r>
      <w:r>
        <w:t xml:space="preserve">‘</w:t>
      </w:r>
      <w:r>
        <w:t xml:space="preserve">complexity</w:t>
      </w:r>
      <w:r>
        <w:t xml:space="preserve">’</w:t>
      </w:r>
      <w:r>
        <w:t xml:space="preserve"> </w:t>
      </w:r>
      <w:r>
        <w:t xml:space="preserve">to the construction and interpretation of networks it ultimately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thus uses to construct networks from nodes and edges generates a unique representation of mechanism (see Box 1 - Mechanisms that determine feeding links) that allow inference and reasoning about the structure, aspects of dynamics (e.g. stability), and potentially the function of communities (e.g. 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Cs/>
                <w:i/>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Cs/>
                <w:i/>
              </w:rPr>
              <w:t xml:space="preserve">i.e.,</w:t>
            </w:r>
            <w:r>
              <w:t xml:space="preserve"> </w:t>
            </w:r>
            <w:r>
              <w:t xml:space="preserve">the realisation of the interactions)</w:t>
            </w:r>
            <w:r>
              <w:t xml:space="preserve"> </w:t>
            </w:r>
            <w:r>
              <w:rPr>
                <w:iCs/>
                <w:i/>
              </w:rPr>
              <w:t xml:space="preserve">might</w:t>
            </w:r>
            <w:r>
              <w:t xml:space="preserve"> </w:t>
            </w:r>
            <w:r>
              <w:t xml:space="preserve">as well be (also probably even more relevant if one thinks about/works with trophic species…)</w:t>
            </w:r>
          </w:p>
          <w:p>
            <w:pPr>
              <w:pStyle w:val="BodyText"/>
            </w:pPr>
            <w:r>
              <w:rPr>
                <w:bCs/>
                <w:b/>
              </w:rPr>
              <w:t xml:space="preserve">Proximity</w:t>
            </w:r>
          </w:p>
          <w:p>
            <w:pPr>
              <w:pStyle w:val="BodyText"/>
            </w:pPr>
            <w:r>
              <w:t xml:space="preserve">We are co-occurring in space and in time and thus we can interact</w:t>
            </w:r>
            <w:r>
              <w:t xml:space="preserve"> </w:t>
            </w:r>
            <w:r>
              <w:t xml:space="preserve">[27]</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[28]</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[33]</w:t>
      </w:r>
      <w:r>
        <w:t xml:space="preserv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[20,42]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[44]</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[46]</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[47]</w:t>
      </w:r>
      <w:r>
        <w:t xml:space="preserve"> </w:t>
      </w:r>
      <w:r>
        <w:t xml:space="preserve">and that we should also start thinking about the interplay of time and space</w:t>
      </w:r>
      <w:r>
        <w:t xml:space="preserve"> </w:t>
      </w:r>
      <w:r>
        <w:t xml:space="preserve">[48]</w:t>
      </w:r>
      <w:r>
        <w:t xml:space="preserve">. Although deciding exactly what measure might actually be driving differences between local networks and the regional metaweb might not be that simple</w:t>
      </w:r>
      <w:r>
        <w:t xml:space="preserve"> </w:t>
      </w:r>
      <w:r>
        <w:t xml:space="preserve">[49]</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6" w:name="references"/>
    <w:p>
      <w:pPr>
        <w:pStyle w:val="Heading2"/>
      </w:pPr>
      <w:r>
        <w:t xml:space="preserve">References</w:t>
      </w:r>
    </w:p>
    <w:bookmarkStart w:id="145"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8"/>
    <w:bookmarkStart w:id="139" w:name="X1edd2253d2e7e8e6db9e7574240f432ddda2ce1"/>
    <w:p>
      <w:pPr>
        <w:pStyle w:val="Bibliography"/>
      </w:pPr>
      <w:r>
        <w:t xml:space="preserve">46.</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9"/>
    <w:bookmarkStart w:id="141" w:name="ref-fortinNetworkEcologyDynamic2021"/>
    <w:p>
      <w:pPr>
        <w:pStyle w:val="Bibliography"/>
      </w:pPr>
      <w:r>
        <w:t xml:space="preserve">47.</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40">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41"/>
    <w:bookmarkStart w:id="142" w:name="ref-estayEditorialPatternsProcesses2023"/>
    <w:p>
      <w:pPr>
        <w:pStyle w:val="Bibliography"/>
      </w:pPr>
      <w:r>
        <w:t xml:space="preserve">48.</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2"/>
    <w:bookmarkStart w:id="144" w:name="ref-saraviaEcologicalNetworkAssembly2022"/>
    <w:p>
      <w:pPr>
        <w:pStyle w:val="Bibliography"/>
      </w:pPr>
      <w:r>
        <w:t xml:space="preserve">49.</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3">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2024-05-16T10:05:25Z</dcterms:created>
  <dcterms:modified xsi:type="dcterms:W3CDTF">2024-05-16T10:05:25Z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2024-05-16</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