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2024-06-04</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Cs/>
          <w:b/>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Cs/>
          <w:b/>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Cs/>
          <w:i/>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Cs/>
                <w:b/>
              </w:rPr>
              <w:t xml:space="preserve">A</w:t>
            </w:r>
            <w:r>
              <w:t xml:space="preserve"> </w:t>
            </w:r>
            <w:r>
              <w:t xml:space="preserve">shows the many ways in which a food web can be defined and described at the node, edge, and even network level. Panel</w:t>
            </w:r>
            <w:r>
              <w:t xml:space="preserve"> </w:t>
            </w:r>
            <w:r>
              <w:rPr>
                <w:bCs/>
                <w:b/>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Cs/>
                <w:i/>
              </w:rPr>
              <w:t xml:space="preserve">i.e.,</w:t>
            </w:r>
            <w:r>
              <w:t xml:space="preserve"> </w:t>
            </w:r>
            <w:r>
              <w:t xml:space="preserve">its anatomy. (</w:t>
            </w:r>
            <w:r>
              <w:rPr>
                <w:iCs/>
                <w:i/>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Cs/>
          <w:i/>
        </w:rPr>
        <w:t xml:space="preserve">e.g.,</w:t>
      </w:r>
      <w:r>
        <w:t xml:space="preserve"> </w:t>
      </w:r>
      <w:r>
        <w:t xml:space="preserve">species or taxonomic group), edges (</w:t>
      </w:r>
      <w:r>
        <w:rPr>
          <w:iCs/>
          <w:i/>
        </w:rPr>
        <w:t xml:space="preserve">e.g.,</w:t>
      </w:r>
      <w:r>
        <w:t xml:space="preserve"> </w:t>
      </w:r>
      <w:r>
        <w:rPr>
          <w:bCs/>
          <w:b/>
        </w:rPr>
        <w:t xml:space="preserve">potential</w:t>
      </w:r>
      <w:r>
        <w:t xml:space="preserve"> </w:t>
      </w:r>
      <w:r>
        <w:t xml:space="preserve">or</w:t>
      </w:r>
      <w:r>
        <w:t xml:space="preserve"> </w:t>
      </w:r>
      <w:r>
        <w:rPr>
          <w:bCs/>
          <w:b/>
        </w:rPr>
        <w:t xml:space="preserve">realised feeding links</w:t>
      </w:r>
      <w:r>
        <w:t xml:space="preserve">), the magnitude of the edges (</w:t>
      </w:r>
      <w:r>
        <w:rPr>
          <w:iCs/>
          <w:i/>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Cs/>
          <w:i/>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Cs/>
          <w:i/>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Cs/>
          <w:i/>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Cs/>
          <w:i/>
        </w:rPr>
        <w:t xml:space="preserve">potential</w:t>
      </w:r>
      <w:r>
        <w:t xml:space="preserve"> </w:t>
      </w:r>
      <w:r>
        <w:t xml:space="preserve">feeding links between species will be meaningless if you are interested in understanding</w:t>
      </w:r>
      <w:r>
        <w:t xml:space="preserve"> </w:t>
      </w:r>
      <w:r>
        <w:rPr>
          <w:iCs/>
          <w:i/>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Cs/>
          <w:i/>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Cs/>
          <w:i/>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Cs/>
          <w:i/>
        </w:rPr>
        <w:t xml:space="preserve">e.g.,</w:t>
      </w:r>
      <w:r>
        <w:t xml:space="preserve"> </w:t>
      </w:r>
      <w:r>
        <w:t xml:space="preserve">stability), and potentially the function of communities (</w:t>
      </w:r>
      <w:r>
        <w:rPr>
          <w:iCs/>
          <w:i/>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Users/tanyastrydom/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1 - Mechanisms that determine feeding links</w:t>
            </w:r>
          </w:p>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Cs/>
                <w:i/>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Cs/>
                <w:i/>
              </w:rPr>
              <w:t xml:space="preserve">i.e.,</w:t>
            </w:r>
            <w:r>
              <w:t xml:space="preserve"> </w:t>
            </w:r>
            <w:r>
              <w:t xml:space="preserve">the realisation of the interactions)</w:t>
            </w:r>
            <w:r>
              <w:t xml:space="preserve"> </w:t>
            </w:r>
            <w:r>
              <w:rPr>
                <w:iCs/>
                <w:i/>
              </w:rPr>
              <w:t xml:space="preserve">might</w:t>
            </w:r>
            <w:r>
              <w:t xml:space="preserve"> </w:t>
            </w:r>
            <w:r>
              <w:t xml:space="preserve">as well be (also probably even more relevant if one thinks about/works with trophic species…)</w:t>
            </w:r>
          </w:p>
          <w:p>
            <w:pPr>
              <w:pStyle w:val="BodyText"/>
            </w:pPr>
            <w:r>
              <w:rPr>
                <w:bCs/>
                <w:b/>
              </w:rPr>
              <w:t xml:space="preserve">Proximity</w:t>
            </w:r>
          </w:p>
          <w:p>
            <w:pPr>
              <w:pStyle w:val="BodyText"/>
            </w:pPr>
            <w:r>
              <w:t xml:space="preserve">We are co-occurring in space and in time and thus we can interact</w:t>
            </w:r>
            <w:r>
              <w:t xml:space="preserve"> </w:t>
            </w:r>
            <w:r>
              <w:t xml:space="preserve">[27]</w:t>
            </w:r>
          </w:p>
          <w:p>
            <w:pPr>
              <w:pStyle w:val="BodyText"/>
            </w:pPr>
            <w:r>
              <w:rPr>
                <w:bCs/>
                <w:b/>
              </w:rPr>
              <w:t xml:space="preserve">Mass-effect</w:t>
            </w:r>
          </w:p>
          <w:p>
            <w:pPr>
              <w:pStyle w:val="BodyText"/>
            </w:pPr>
            <w:r>
              <w:t xml:space="preserve">Our (respective and instantaneous) abundance in that time and space is going to influence how we interact.</w:t>
            </w:r>
            <w:r>
              <w:t xml:space="preserve"> </w:t>
            </w:r>
            <w:r>
              <w:rPr>
                <w:iCs/>
                <w:i/>
              </w:rPr>
              <w:t xml:space="preserve">Sensu</w:t>
            </w:r>
            <w:r>
              <w:t xml:space="preserve"> </w:t>
            </w:r>
            <w:r>
              <w:t xml:space="preserve">[28]</w:t>
            </w:r>
            <w:r>
              <w:t xml:space="preserve"> </w:t>
            </w:r>
            <w:r>
              <w:t xml:space="preserve">Neutral Theory</w:t>
            </w:r>
          </w:p>
          <w:p>
            <w:pPr>
              <w:pStyle w:val="BodyText"/>
            </w:pPr>
            <w:r>
              <w:rPr>
                <w:bCs/>
                <w:b/>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numPr>
                <w:ilvl w:val="0"/>
                <w:numId w:val="1001"/>
              </w:numPr>
              <w:pStyle w:val="Compact"/>
            </w:pPr>
            <w:r>
              <w:t xml:space="preserve">You as a prey item fit in my gob (I can eat you,</w:t>
            </w:r>
            <w:r>
              <w:t xml:space="preserve"> </w:t>
            </w:r>
            <w:r>
              <w:rPr>
                <w:strike/>
              </w:rPr>
              <w:t xml:space="preserve">even if its small bites</w:t>
            </w:r>
            <w:r>
              <w:t xml:space="preserve">) [ref]</w:t>
            </w:r>
          </w:p>
          <w:p>
            <w:pPr>
              <w:numPr>
                <w:ilvl w:val="0"/>
                <w:numId w:val="1001"/>
              </w:numPr>
              <w:pStyle w:val="Compact"/>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numPr>
                <w:ilvl w:val="0"/>
                <w:numId w:val="1001"/>
              </w:numPr>
              <w:pStyle w:val="Compact"/>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Cs/>
                <w:i/>
              </w:rPr>
              <w:t xml:space="preserve">sensu</w:t>
            </w:r>
            <w:r>
              <w:t xml:space="preserve"> </w:t>
            </w:r>
            <w:r>
              <w:t xml:space="preserve">forbidden links 5]</w:t>
            </w:r>
          </w:p>
          <w:p>
            <w:pPr>
              <w:numPr>
                <w:ilvl w:val="0"/>
                <w:numId w:val="1001"/>
              </w:numPr>
              <w:pStyle w:val="Compact"/>
            </w:pPr>
            <w:r>
              <w:t xml:space="preserve">As predator and prey we have been co-occurring for a long time and I have found ways to eat you (trying to capture the idea of evolutionary time)</w:t>
            </w:r>
          </w:p>
          <w:p>
            <w:pPr>
              <w:pStyle w:val="FirstParagraph"/>
            </w:pPr>
            <w:r>
              <w:rPr>
                <w:bCs/>
                <w:b/>
              </w:rPr>
              <w:t xml:space="preserve">‘</w:t>
            </w:r>
            <w:r>
              <w:rPr>
                <w:bCs/>
                <w:b/>
              </w:rPr>
              <w:t xml:space="preserve">Structural</w:t>
            </w:r>
            <w:r>
              <w:rPr>
                <w:bCs/>
                <w:b/>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Cs/>
                <w:b/>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Cs/>
          <w:i/>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Cs/>
          <w:i/>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Cs/>
          <w:i/>
        </w:rPr>
        <w:t xml:space="preserve">i.e.,</w:t>
      </w:r>
      <w:r>
        <w:t xml:space="preserve"> </w:t>
      </w:r>
      <w:r>
        <w:t xml:space="preserve">creating a network that, when taken in aggregate, the distribution of links (interactions) between nodes (species) are ecologically plausible) to a need for specificity (</w:t>
      </w:r>
      <w:r>
        <w:rPr>
          <w:iCs/>
          <w:i/>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Cs/>
          <w:i/>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Cs/>
          <w:i/>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Cs/>
          <w:b/>
        </w:rPr>
        <w:t xml:space="preserve">topology generators</w:t>
      </w:r>
      <w:r>
        <w:t xml:space="preserve"> </w:t>
      </w:r>
      <w:r>
        <w:t xml:space="preserve">and models developed to infer the interactions for a given species pool as</w:t>
      </w:r>
      <w:r>
        <w:t xml:space="preserve"> </w:t>
      </w:r>
      <w:r>
        <w:rPr>
          <w:bCs/>
          <w:b/>
        </w:rPr>
        <w:t xml:space="preserve">interaction predictors</w:t>
      </w:r>
      <w:r>
        <w:t xml:space="preserve">. It is meaningful to make this distinction because although it is possible to construct a food web given using an</w:t>
      </w:r>
      <w:r>
        <w:t xml:space="preserve"> </w:t>
      </w:r>
      <w:r>
        <w:rPr>
          <w:iCs/>
          <w:i/>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Cs/>
          <w:i/>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Cs/>
          <w:i/>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Cs/>
          <w:i/>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ook w:firstRow="1" w:lastRow="0" w:firstColumn="0" w:lastColumn="0" w:noHBand="0" w:noVBand="0" w:val="0020"/>
              <w:jc w:val="start"/>
              <w:tblLayout w:type="fixed"/>
            </w:tblPr>
            <w:tblGrid>
              <w:gridCol w:w="1131"/>
              <w:gridCol w:w="1131"/>
              <w:gridCol w:w="1131"/>
              <w:gridCol w:w="1131"/>
              <w:gridCol w:w="1131"/>
              <w:gridCol w:w="1131"/>
              <w:gridCol w:w="1131"/>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Users/tanyastrydom/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Box 2 - Assessing model outputs</w:t>
            </w:r>
          </w:p>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Cs/>
                <w:b/>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Cs/>
                <w:b/>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Cs/>
                <w:i/>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Cs/>
                <w:b/>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Cs/>
                <w:i/>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Cs/>
                <w:b/>
              </w:rPr>
              <w:t xml:space="preserve">metaweb</w:t>
            </w:r>
            <w:r>
              <w:t xml:space="preserve"> </w:t>
            </w:r>
            <w:r>
              <w:t xml:space="preserve">(</w:t>
            </w:r>
            <w:r>
              <w:rPr>
                <w:iCs/>
                <w:i/>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Cs/>
                <w:i/>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numPr>
          <w:ilvl w:val="1"/>
          <w:numId w:val="1003"/>
        </w:numPr>
        <w:pStyle w:val="Compact"/>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numPr>
          <w:ilvl w:val="1"/>
          <w:numId w:val="1004"/>
        </w:numPr>
        <w:pStyle w:val="Compact"/>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Cs/>
          <w:i/>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Cs/>
          <w:i/>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numPr>
          <w:ilvl w:val="1"/>
          <w:numId w:val="1007"/>
        </w:numPr>
        <w:pStyle w:val="Compact"/>
      </w:pPr>
      <w:r>
        <w:t xml:space="preserve">I think this is sort of the crux of the argument presented in</w:t>
      </w:r>
      <w:r>
        <w:t xml:space="preserve"> </w:t>
      </w:r>
      <w:r>
        <w:t xml:space="preserve">[44]</w:t>
      </w:r>
      <w:r>
        <w:t xml:space="preserve"> </w:t>
      </w:r>
      <w:r>
        <w:t xml:space="preserve">as well.</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0"/>
        </w:numPr>
      </w:pPr>
      <w:r>
        <w:t xml:space="preserve">[46]</w:t>
      </w:r>
    </w:p>
    <w:p>
      <w:pPr>
        <w:numPr>
          <w:ilvl w:val="0"/>
          <w:numId w:val="1010"/>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[47]</w:t>
      </w:r>
      <w:r>
        <w:t xml:space="preserve"> </w:t>
      </w:r>
      <w:r>
        <w:t xml:space="preserve">and that we should also start thinking about the interplay of time and space</w:t>
      </w:r>
      <w:r>
        <w:t xml:space="preserve"> </w:t>
      </w:r>
      <w:r>
        <w:t xml:space="preserve">[48]</w:t>
      </w:r>
      <w:r>
        <w:t xml:space="preserve">. Although deciding exactly what measure might actually be driving differences between local networks and the regional metaweb might not be that simple</w:t>
      </w:r>
      <w:r>
        <w:t xml:space="preserve"> </w:t>
      </w:r>
      <w:r>
        <w:t xml:space="preserve">[49]</w:t>
      </w:r>
      <w:r>
        <w:t xml:space="preserve">.</w:t>
      </w:r>
      <w:r>
        <w:t xml:space="preserve">”</w:t>
      </w:r>
    </w:p>
    <w:bookmarkEnd w:id="48"/>
    <w:bookmarkEnd w:id="49"/>
    <w:bookmarkStart w:id="50" w:name="glossary"/>
    <w:p>
      <w:pPr>
        <w:pStyle w:val="Heading2"/>
      </w:pPr>
      <w:r>
        <w:t xml:space="preserve">Glossary</w:t>
      </w:r>
    </w:p>
    <w:tbl>
      <w:tblPr>
        <w:tblStyle w:val="Table"/>
        <w:tblW w:type="pct" w:w="5000"/>
        <w:tblLook w:firstRow="1" w:lastRow="0" w:firstColumn="0" w:lastColumn="0" w:noHBand="0" w:noVBand="0" w:val="0020"/>
        <w:jc w:val="start"/>
        <w:tblLayout w:type="fixed"/>
      </w:tblPr>
      <w:tblGrid>
        <w:gridCol w:w="3960"/>
        <w:gridCol w:w="3960"/>
      </w:tblGrid>
      <w:tr>
        <w:trPr>
          <w:tblHeader w:val="true"/>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Cs/>
                <w:i/>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Cs/>
                <w:i/>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Cs/>
                <w:i/>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1"/>
        </w:numPr>
      </w:pPr>
      <w:r>
        <w:t xml:space="preserve">non-consumptive effects</w:t>
      </w:r>
    </w:p>
    <w:p>
      <w:pPr>
        <w:numPr>
          <w:ilvl w:val="0"/>
          <w:numId w:val="1011"/>
        </w:numPr>
      </w:pPr>
      <w:r>
        <w:t xml:space="preserve">can we develop a model that is both a topology generator as well as an interaction predictor?</w:t>
      </w:r>
    </w:p>
    <w:p>
      <w:pPr>
        <w:numPr>
          <w:ilvl w:val="0"/>
          <w:numId w:val="1011"/>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6" w:name="references"/>
    <w:p>
      <w:pPr>
        <w:pStyle w:val="Heading2"/>
      </w:pPr>
      <w:r>
        <w:t xml:space="preserve">References</w:t>
      </w:r>
    </w:p>
    <w:bookmarkStart w:id="145"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Cs/>
          <w:i/>
        </w:rPr>
        <w:t xml:space="preserve">Defining</w:t>
      </w:r>
      <w:r>
        <w:rPr>
          <w:iCs/>
          <w:i/>
        </w:rPr>
        <w:t xml:space="preserve"> </w:t>
      </w:r>
      <w:r>
        <w:rPr>
          <w:iCs/>
          <w:i/>
        </w:rPr>
        <w:t xml:space="preserve">Agroecology</w:t>
      </w:r>
      <w:r>
        <w:rPr>
          <w:iCs/>
          <w:i/>
        </w:rPr>
        <w:t xml:space="preserve"> </w:t>
      </w:r>
      <w:r>
        <w:rPr>
          <w:iCs/>
          <w:i/>
        </w:rPr>
        <w:t xml:space="preserve">–</w:t>
      </w:r>
      <w:r>
        <w:rPr>
          <w:iCs/>
          <w:i/>
        </w:rPr>
        <w:t xml:space="preserve"> </w:t>
      </w:r>
      <w:r>
        <w:rPr>
          <w:iCs/>
          <w:i/>
        </w:rPr>
        <w:t xml:space="preserve">A Festschrift</w:t>
      </w:r>
      <w:r>
        <w:rPr>
          <w:iCs/>
          <w:i/>
        </w:rPr>
        <w:t xml:space="preserve"> </w:t>
      </w:r>
      <w:r>
        <w:rPr>
          <w:iCs/>
          <w:i/>
        </w:rPr>
        <w:t xml:space="preserve">for</w:t>
      </w:r>
      <w:r>
        <w:rPr>
          <w:iCs/>
          <w:i/>
        </w:rPr>
        <w:t xml:space="preserve"> </w:t>
      </w:r>
      <w:r>
        <w:rPr>
          <w:iCs/>
          <w:i/>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Cs/>
          <w:i/>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Cs/>
          <w:i/>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Cs/>
          <w:i/>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Cs/>
          <w:i/>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Cs/>
          <w:i/>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Cs/>
          <w:i/>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Cs/>
          <w:i/>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Cs/>
          <w:i/>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Cs/>
          <w:i/>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Cs/>
          <w:i/>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Cs/>
          <w:i/>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Cs/>
          <w:i/>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Cs/>
          <w:i/>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Cs/>
          <w:i/>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Cs/>
          <w:i/>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Cs/>
          <w:i/>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Cs/>
          <w:i/>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Cs/>
          <w:i/>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Cs/>
          <w:i/>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Cs/>
          <w:i/>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Cs/>
          <w:i/>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Cs/>
          <w:i/>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Cs/>
          <w:i/>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Cs/>
          <w:i/>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Cs/>
          <w:i/>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Cs/>
          <w:i/>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Cs/>
          <w:i/>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Cs/>
          <w:i/>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Cs/>
          <w:i/>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Cs/>
          <w:i/>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Cs/>
          <w:i/>
        </w:rPr>
        <w:t xml:space="preserve">Unsolved</w:t>
      </w:r>
      <w:r>
        <w:rPr>
          <w:iCs/>
          <w:i/>
        </w:rPr>
        <w:t xml:space="preserve"> </w:t>
      </w:r>
      <w:r>
        <w:rPr>
          <w:iCs/>
          <w:i/>
        </w:rPr>
        <w:t xml:space="preserve">Problems</w:t>
      </w:r>
      <w:r>
        <w:rPr>
          <w:iCs/>
          <w:i/>
        </w:rPr>
        <w:t xml:space="preserve"> </w:t>
      </w:r>
      <w:r>
        <w:rPr>
          <w:iCs/>
          <w:i/>
        </w:rPr>
        <w:t xml:space="preserve">in</w:t>
      </w:r>
      <w:r>
        <w:rPr>
          <w:iCs/>
          <w:i/>
        </w:rPr>
        <w:t xml:space="preserve"> </w:t>
      </w:r>
      <w:r>
        <w:rPr>
          <w:iCs/>
          <w:i/>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Cs/>
          <w:i/>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Cs/>
          <w:i/>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Cs/>
          <w:i/>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Cs/>
          <w:i/>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Cs/>
          <w:i/>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Cs/>
          <w:i/>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Cs/>
          <w:i/>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Cs/>
          <w:i/>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Cs/>
          <w:i/>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Cs/>
          <w:i/>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Cs/>
          <w:i/>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Cs/>
            <w:i/>
          </w:rPr>
          <w:t xml:space="preserve">The</w:t>
        </w:r>
        <w:r>
          <w:rPr>
            <w:rStyle w:val="Hyperlink"/>
            <w:iCs/>
            <w:i/>
          </w:rPr>
          <w:t xml:space="preserve"> </w:t>
        </w:r>
        <w:r>
          <w:rPr>
            <w:rStyle w:val="Hyperlink"/>
            <w:iCs/>
            <w:i/>
          </w:rPr>
          <w:t xml:space="preserve">Unified Neutral Theory</w:t>
        </w:r>
        <w:r>
          <w:rPr>
            <w:rStyle w:val="Hyperlink"/>
            <w:iCs/>
            <w:i/>
          </w:rPr>
          <w:t xml:space="preserve"> </w:t>
        </w:r>
        <w:r>
          <w:rPr>
            <w:rStyle w:val="Hyperlink"/>
            <w:iCs/>
            <w:i/>
          </w:rPr>
          <w:t xml:space="preserve">of</w:t>
        </w:r>
        <w:r>
          <w:rPr>
            <w:rStyle w:val="Hyperlink"/>
            <w:iCs/>
            <w:i/>
          </w:rPr>
          <w:t xml:space="preserve"> </w:t>
        </w:r>
        <w:r>
          <w:rPr>
            <w:rStyle w:val="Hyperlink"/>
            <w:iCs/>
            <w:i/>
          </w:rPr>
          <w:t xml:space="preserve">Biodiversity</w:t>
        </w:r>
        <w:r>
          <w:rPr>
            <w:rStyle w:val="Hyperlink"/>
            <w:iCs/>
            <w:i/>
          </w:rPr>
          <w:t xml:space="preserve"> </w:t>
        </w:r>
        <w:r>
          <w:rPr>
            <w:rStyle w:val="Hyperlink"/>
            <w:iCs/>
            <w:i/>
          </w:rPr>
          <w:t xml:space="preserve">and</w:t>
        </w:r>
        <w:r>
          <w:rPr>
            <w:rStyle w:val="Hyperlink"/>
            <w:iCs/>
            <w:i/>
          </w:rPr>
          <w:t xml:space="preserve"> </w:t>
        </w:r>
        <w:r>
          <w:rPr>
            <w:rStyle w:val="Hyperlink"/>
            <w:iCs/>
            <w:i/>
          </w:rPr>
          <w:t xml:space="preserve">Biogeography</w:t>
        </w:r>
        <w:r>
          <w:rPr>
            <w:rStyle w:val="Hyperlink"/>
            <w:iCs/>
            <w:i/>
          </w:rPr>
          <w:t xml:space="preserve"> </w:t>
        </w:r>
        <w:r>
          <w:rPr>
            <w:rStyle w:val="Hyperlink"/>
            <w:iCs/>
            <w:i/>
          </w:rPr>
          <w:t xml:space="preserve">(</w:t>
        </w:r>
        <w:r>
          <w:rPr>
            <w:rStyle w:val="Hyperlink"/>
            <w:iCs/>
            <w:i/>
          </w:rPr>
          <w:t xml:space="preserve">MPB-32</w:t>
        </w:r>
        <w:r>
          <w:rPr>
            <w:rStyle w:val="Hyperlink"/>
            <w:iCs/>
            <w:i/>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Cs/>
          <w:i/>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Cs/>
          <w:i/>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Cs/>
          <w:i/>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Cs/>
          <w:i/>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Cs/>
          <w:i/>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Cs/>
          <w:i/>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Cs/>
          <w:i/>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Cs/>
          <w:i/>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Cs/>
          <w:i/>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Cs/>
          <w:i/>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Cs/>
          <w:i/>
        </w:rPr>
        <w:t xml:space="preserve">et al.</w:t>
      </w:r>
      <w:r>
        <w:t xml:space="preserve"> </w:t>
      </w:r>
      <w:r>
        <w:t xml:space="preserve">(1990)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Cs/>
          <w:i/>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Cs/>
          <w:i/>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Cs/>
          <w:i/>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Cs/>
          <w:i/>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Cs/>
          <w:i/>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Cs/>
          <w:i/>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Cs/>
          <w:i/>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Cs/>
          <w:i/>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Cs/>
          <w:i/>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Cs/>
          <w:i/>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Cs/>
          <w:i/>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Cs/>
          <w:i/>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Cs/>
          <w:i/>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Cs/>
          <w:i/>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Cs/>
          <w:i/>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Cs/>
          <w:i/>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Cs/>
          <w:i/>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Cs/>
          <w:i/>
        </w:rPr>
        <w:t xml:space="preserve">The Lancet Microbe</w:t>
      </w:r>
      <w:r>
        <w:t xml:space="preserve"> </w:t>
      </w:r>
      <w:r>
        <w:t xml:space="preserve">3, e625–e637</w:t>
      </w:r>
    </w:p>
    <w:bookmarkEnd w:id="138"/>
    <w:bookmarkStart w:id="139" w:name="X1edd2253d2e7e8e6db9e7574240f432ddda2ce1"/>
    <w:p>
      <w:pPr>
        <w:pStyle w:val="Bibliography"/>
      </w:pPr>
      <w:r>
        <w:t xml:space="preserve">46.</w:t>
      </w:r>
      <w:r>
        <w:t xml:space="preserve"> </w:t>
      </w:r>
      <w:r>
        <w:t xml:space="preserve">	</w:t>
      </w:r>
      <w:r>
        <w:t xml:space="preserve">Dansereau, G.</w:t>
      </w:r>
      <w:r>
        <w:t xml:space="preserve"> </w:t>
      </w:r>
      <w:r>
        <w:rPr>
          <w:iCs/>
          <w:i/>
        </w:rPr>
        <w:t xml:space="preserve">et al.</w:t>
      </w:r>
      <w:r>
        <w:t xml:space="preserve"> </w:t>
      </w:r>
      <w:r>
        <w:t xml:space="preserve">(2023) Spatially explicit predictions of food web structure from regional level data</w:t>
      </w:r>
    </w:p>
    <w:bookmarkEnd w:id="139"/>
    <w:bookmarkStart w:id="141" w:name="ref-fortinNetworkEcologyDynamic2021"/>
    <w:p>
      <w:pPr>
        <w:pStyle w:val="Bibliography"/>
      </w:pPr>
      <w:r>
        <w:t xml:space="preserve">47.</w:t>
      </w:r>
      <w:r>
        <w:t xml:space="preserve"> </w:t>
      </w:r>
      <w:r>
        <w:t xml:space="preserve">	</w:t>
      </w:r>
      <w:r>
        <w:t xml:space="preserve">Fortin, M.-J.</w:t>
      </w:r>
      <w:r>
        <w:t xml:space="preserve"> </w:t>
      </w:r>
      <w:r>
        <w:rPr>
          <w:iCs/>
          <w:i/>
        </w:rPr>
        <w:t xml:space="preserve">et al.</w:t>
      </w:r>
      <w:r>
        <w:t xml:space="preserve"> </w:t>
      </w:r>
      <w:r>
        <w:t xml:space="preserve">(2021)</w:t>
      </w:r>
      <w:r>
        <w:t xml:space="preserve"> </w:t>
      </w:r>
      <w:hyperlink r:id="rId140">
        <w:r>
          <w:rPr>
            <w:rStyle w:val="Hyperlink"/>
          </w:rPr>
          <w:t xml:space="preserve">Network ecology in dynamic landscapes</w:t>
        </w:r>
      </w:hyperlink>
      <w:r>
        <w:t xml:space="preserve">.</w:t>
      </w:r>
      <w:r>
        <w:t xml:space="preserve"> </w:t>
      </w:r>
      <w:r>
        <w:rPr>
          <w:iCs/>
          <w:i/>
        </w:rPr>
        <w:t xml:space="preserve">Proceedings of the Royal Society B: Biological Sciences</w:t>
      </w:r>
      <w:r>
        <w:t xml:space="preserve"> </w:t>
      </w:r>
      <w:r>
        <w:t xml:space="preserve">288, rspb.2020.1889, 20201889</w:t>
      </w:r>
    </w:p>
    <w:bookmarkEnd w:id="141"/>
    <w:bookmarkStart w:id="142" w:name="ref-estayEditorialPatternsProcesses2023"/>
    <w:p>
      <w:pPr>
        <w:pStyle w:val="Bibliography"/>
      </w:pPr>
      <w:r>
        <w:t xml:space="preserve">48.</w:t>
      </w:r>
      <w:r>
        <w:t xml:space="preserve"> </w:t>
      </w:r>
      <w:r>
        <w:t xml:space="preserve">	</w:t>
      </w:r>
      <w:r>
        <w:t xml:space="preserve">Estay, S.A.</w:t>
      </w:r>
      <w:r>
        <w:t xml:space="preserve"> </w:t>
      </w:r>
      <w:r>
        <w:rPr>
          <w:iCs/>
          <w:i/>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Cs/>
          <w:i/>
        </w:rPr>
        <w:t xml:space="preserve">Frontiers in Ecology and Evolution</w:t>
      </w:r>
      <w:r>
        <w:t xml:space="preserve"> </w:t>
      </w:r>
      <w:r>
        <w:t xml:space="preserve">11</w:t>
      </w:r>
    </w:p>
    <w:bookmarkEnd w:id="142"/>
    <w:bookmarkStart w:id="144" w:name="ref-saraviaEcologicalNetworkAssembly2022"/>
    <w:p>
      <w:pPr>
        <w:pStyle w:val="Bibliography"/>
      </w:pPr>
      <w:r>
        <w:t xml:space="preserve">49.</w:t>
      </w:r>
      <w:r>
        <w:t xml:space="preserve"> </w:t>
      </w:r>
      <w:r>
        <w:t xml:space="preserve">	</w:t>
      </w:r>
      <w:r>
        <w:t xml:space="preserve">Saravia, L.A.</w:t>
      </w:r>
      <w:r>
        <w:t xml:space="preserve"> </w:t>
      </w:r>
      <w:r>
        <w:rPr>
          <w:iCs/>
          <w:i/>
        </w:rPr>
        <w:t xml:space="preserve">et al.</w:t>
      </w:r>
      <w:r>
        <w:t xml:space="preserve"> </w:t>
      </w:r>
      <w:r>
        <w:t xml:space="preserve">(2022)</w:t>
      </w:r>
      <w:r>
        <w:t xml:space="preserve"> </w:t>
      </w:r>
      <w:hyperlink r:id="rId143">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Cs/>
          <w:i/>
        </w:rPr>
        <w:t xml:space="preserve">Journal of Animal Ecology</w:t>
      </w:r>
      <w:r>
        <w:t xml:space="preserve"> </w:t>
      </w:r>
      <w:r>
        <w:t xml:space="preserve">91, 630–642</w:t>
      </w:r>
    </w:p>
    <w:bookmarkEnd w:id="144"/>
    <w:bookmarkEnd w:id="145"/>
    <w:bookmarkEnd w:id="1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0"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3"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2024-06-04T10:23:34Z</dcterms:created>
  <dcterms:modified xsi:type="dcterms:W3CDTF">2024-06-04T10:23:34Z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2024-06-04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