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0.png" ContentType="image/png"/>
  <Override PartName="/word/media/rId34.jpg" ContentType="image/jpeg"/>
  <Override PartName="/word/media/rId50.png" ContentType="image/png"/>
  <Override PartName="/word/media/rId38.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2024-05-02</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the development of both practical tools</w:t>
      </w:r>
      <w:r>
        <w:t xml:space="preserve"> </w:t>
      </w:r>
      <w:r>
        <w:t xml:space="preserve">(</w:t>
      </w:r>
      <w:r>
        <w:rPr>
          <w:iCs/>
          <w:i/>
        </w:rPr>
        <w:t xml:space="preserve">i.e.,</w:t>
      </w:r>
      <w:r>
        <w:t xml:space="preserve"> </w:t>
      </w:r>
      <w:r>
        <w:t xml:space="preserve">tools that help us to record or measure interactions,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potentially,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 Fortin et al. 2012)</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w:t>
      </w:r>
      <w:r>
        <w:t xml:space="preserve"> </w:t>
      </w:r>
      <w:r>
        <w:t xml:space="preserve">(</w:t>
      </w:r>
      <w:r>
        <w:rPr>
          <w:iCs/>
          <w:i/>
        </w:rPr>
        <w:t xml:space="preserve">e.g.,</w:t>
      </w:r>
      <w:r>
        <w:t xml:space="preserve"> </w:t>
      </w:r>
      <w:r>
        <w:t xml:space="preserve">Bhatia et al. 2023)</w:t>
      </w:r>
      <w:r>
        <w:t xml:space="preserve">. However (as with any new tool or model), it is important that one has a firm grasp of how the underlying philosophy that underpins the construction of networks (particularly synthetic ones) can have an impact on the interpretation of the questions being asked. In this manuscript we will discuss three themes that should help provide clarity and understanding for those wishing to take a step into network (particularly food web) ecology this includes; thinking about and understanding the underlying assumptions that are made when we attempt to delimit and describe a food webs, a synthesis of the different families of tools that are commonly used to construct food webs, and a discussion linking network ecology to some of the outstanding questions in ecology.</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7636446"/>
                  <wp:effectExtent b="0" l="0" r="0" t="0"/>
                  <wp:docPr descr="" title="" id="21" name="Picture"/>
                  <a:graphic>
                    <a:graphicData uri="http://schemas.openxmlformats.org/drawingml/2006/picture">
                      <pic:pic>
                        <pic:nvPicPr>
                          <pic:cNvPr descr="images/concept.jpeg" id="22" name="Picture"/>
                          <pic:cNvPicPr>
                            <a:picLocks noChangeArrowheads="1" noChangeAspect="1"/>
                          </pic:cNvPicPr>
                        </pic:nvPicPr>
                        <pic:blipFill>
                          <a:blip r:embed="rId20"/>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3"/>
        </w:tc>
      </w:tr>
    </w:tbl>
    <w:bookmarkStart w:id="28" w:name="sec-network-anatomy"/>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transfer and material flow</w:t>
      </w:r>
      <w:r>
        <w:t xml:space="preserve"> </w:t>
      </w:r>
      <w:r>
        <w:t xml:space="preserve">(Lindeman 1942)</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5"/>
    <w:bookmarkStart w:id="26" w:name="aggregating-networks"/>
    <w:p>
      <w:pPr>
        <w:pStyle w:val="Heading3"/>
      </w:pPr>
      <w:r>
        <w:t xml:space="preserve">1.3 Aggregating networks</w:t>
      </w:r>
    </w:p>
    <w:p>
      <w:pPr>
        <w:pStyle w:val="FirstParagraph"/>
      </w:pPr>
      <w:r>
        <w:t xml:space="preserve">Here I think we need to talk about realised vs potential links (i.e. the concept of a metaweb) but also the idea that we are often aggregating over time and space which makes boundaries and whatnot all a bit fuzzy</w:t>
      </w:r>
    </w:p>
    <w:p>
      <w:pPr>
        <w:pStyle w:val="BlockText"/>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bookmarkEnd w:id="26"/>
    <w:bookmarkStart w:id="27" w:name="Xd2b304d41a6d0e9195260e2c4114d0b234683e7"/>
    <w:p>
      <w:pPr>
        <w:pStyle w:val="Heading3"/>
      </w:pPr>
      <w:r>
        <w:t xml:space="preserve">1.4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7"/>
    <w:bookmarkEnd w:id="28"/>
    <w:bookmarkStart w:id="57"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they desire.</w:t>
      </w:r>
    </w:p>
    <w:bookmarkStart w:id="43"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w:t>
      </w:r>
      <w:r>
        <w:t xml:space="preserve">and discussed in more detail below.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9"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Williams and Martinez (2008)</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Strydom et al. (2023)</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Morales-Castilla et al. (2015)</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Pichler et al. (2020)</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pPr>
                </w:p>
              </w:tc>
            </w:tr>
          </w:tbl>
          <w:bookmarkEnd w:id="29"/>
          <w:p/>
        </w:tc>
      </w:tr>
    </w:tbl>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This family of models is often used as a way of benchmarking things… Broadly there are two different approaches;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w:t>
      </w:r>
    </w:p>
    <w:p>
      <w:pPr>
        <w:pStyle w:val="BodyText"/>
      </w:pPr>
      <w:r>
        <w:rPr>
          <w:bCs/>
          <w:b/>
        </w:rPr>
        <w:t xml:space="preserve">Neutral models:</w:t>
      </w:r>
      <w:r>
        <w:t xml:space="preserve"> </w:t>
      </w:r>
      <w:r>
        <w:t xml:space="preserve">Can be tied to Hubble’s (spellings but also name??) neutral theory [ref, probably mass-ratio] where it is assumed that the interactions that occur between species are due to the abundance of species within the community</w:t>
      </w:r>
      <w:r>
        <w:t xml:space="preserve"> </w:t>
      </w:r>
      <w:r>
        <w:t xml:space="preserve">(Pomeranz et al. 2019)</w:t>
      </w:r>
      <w:r>
        <w:t xml:space="preserve">.</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to determine interactions.</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trait-feeding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 Another approach that uses the concept of embedding is the log-ratio approach</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by using ecological proxies</w:t>
      </w:r>
      <w:r>
        <w:t xml:space="preserve"> </w:t>
      </w:r>
      <w:r>
        <w:t xml:space="preserve">(see Morales-Castilla et al. 2015 for a more details on the idea of using this approach)</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feasibly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This approach involves having a group of experts come together to assess and assign the likelihood of feeding interactions being able to occur for a specified community. This is done in a pairwise manner where the experts will assign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w:t>
      </w:r>
      <w:r>
        <w:t xml:space="preserve">This has the added advantage that interactions can be scored in a more categorical (or probabilistic)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or</w:t>
      </w:r>
      <w:r>
        <w:t xml:space="preserve"> </w:t>
      </w:r>
      <w:r>
        <w:rPr>
          <w:iCs/>
          <w:i/>
        </w:rPr>
        <w:t xml:space="preserve">network</w:t>
      </w:r>
      <w:r>
        <w:t xml:space="preserve"> </w:t>
      </w:r>
      <w:r>
        <w:rPr>
          <w:iCs/>
          <w:i/>
        </w:rPr>
        <w:t xml:space="preserve">e.g.,</w:t>
      </w:r>
      <w:r>
        <w:t xml:space="preserve"> </w:t>
      </w:r>
      <w:r>
        <w:t xml:space="preserve">Mangal</w:t>
      </w:r>
      <w:r>
        <w:t xml:space="preserve"> </w:t>
      </w:r>
      <w:r>
        <w:t xml:space="preserve">(Poisot, Baiser, et al. 2016)</w:t>
      </w:r>
      <w:r>
        <w:t xml:space="preserve"> </w:t>
      </w:r>
      <w:r>
        <w:t xml:space="preserve">datasets, these can be mined to look for interactions for specific species pairs. This is done by matching species pairs against those within a dataset of trophic interactions to determine if an interaction is present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and will thus be prone to many false negatives (missing pairwise interactions) being generated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3" w:name="fig-venn"/>
          <w:p>
            <w:pPr>
              <w:pStyle w:val="Compact"/>
              <w:jc w:val="center"/>
            </w:pPr>
            <w:r>
              <w:drawing>
                <wp:inline>
                  <wp:extent cx="5334000" cy="3725758"/>
                  <wp:effectExtent b="0" l="0" r="0" t="0"/>
                  <wp:docPr descr="" title="" id="31" name="Picture"/>
                  <a:graphic>
                    <a:graphicData uri="http://schemas.openxmlformats.org/drawingml/2006/picture">
                      <pic:pic>
                        <pic:nvPicPr>
                          <pic:cNvPr descr="images/model_venn.png" id="32" name="Picture"/>
                          <pic:cNvPicPr>
                            <a:picLocks noChangeArrowheads="1" noChangeAspect="1"/>
                          </pic:cNvPicPr>
                        </pic:nvPicPr>
                        <pic:blipFill>
                          <a:blip r:embed="rId30"/>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3"/>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7" w:name="fig-outhwaite"/>
          <w:p>
            <w:pPr>
              <w:pStyle w:val="Compact"/>
              <w:jc w:val="center"/>
            </w:pPr>
            <w:r>
              <w:drawing>
                <wp:inline>
                  <wp:extent cx="5334000" cy="4000500"/>
                  <wp:effectExtent b="0" l="0" r="0" t="0"/>
                  <wp:docPr descr="" title="" id="35" name="Picture"/>
                  <a:graphic>
                    <a:graphicData uri="http://schemas.openxmlformats.org/drawingml/2006/picture">
                      <pic:pic>
                        <pic:nvPicPr>
                          <pic:cNvPr descr="images/outhwaite_schematic.jpe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7"/>
        </w:tc>
      </w:tr>
    </w:tbl>
    <w:tbl>
      <w:tblPr>
        <w:tblStyle w:val="Table"/>
        <w:tblW w:type="pct" w:w="5000"/>
        <w:tblLook w:firstRow="0" w:lastRow="0" w:firstColumn="0" w:lastColumn="0" w:noHBand="0" w:noVBand="0" w:val="0000"/>
        <w:jc w:val="start"/>
        <w:tblLayout w:type="fixed"/>
      </w:tblPr>
      <w:tblGrid>
        <w:gridCol w:w="7920"/>
      </w:tblGrid>
      <w:tr>
        <w:tc>
          <w:tcPr/>
          <w:bookmarkStart w:id="41" w:name="fig-dendo"/>
          <w:p>
            <w:pPr>
              <w:pStyle w:val="Compact"/>
              <w:jc w:val="center"/>
            </w:pPr>
            <w:r>
              <w:drawing>
                <wp:inline>
                  <wp:extent cx="5334000" cy="3810000"/>
                  <wp:effectExtent b="0" l="0" r="0" t="0"/>
                  <wp:docPr descr="" title="" id="39" name="Picture"/>
                  <a:graphic>
                    <a:graphicData uri="http://schemas.openxmlformats.org/drawingml/2006/picture">
                      <pic:pic>
                        <pic:nvPicPr>
                          <pic:cNvPr descr="index_files/figure-docx/notebooks-model_qualitative-fig-dendo-output-1.png" id="4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Dendrogram of the trait table</w:t>
            </w:r>
          </w:p>
          <w:bookmarkEnd w:id="41"/>
        </w:tc>
      </w:tr>
    </w:tbl>
    <w:p>
      <w:pPr>
        <w:pStyle w:val="BodyText"/>
      </w:pPr>
      <w:r>
        <w:rPr>
          <w:vertAlign w:val="subscript"/>
        </w:rPr>
        <w:t xml:space="preserve">Source:</w:t>
      </w:r>
      <w:r>
        <w:rPr>
          <w:vertAlign w:val="subscript"/>
        </w:rPr>
        <w:t xml:space="preserve"> </w:t>
      </w:r>
      <w:hyperlink r:id="rId42">
        <w:r>
          <w:rPr>
            <w:rStyle w:val="Hyperlink"/>
            <w:vertAlign w:val="subscript"/>
          </w:rPr>
          <w:t xml:space="preserve">Model family traits</w:t>
        </w:r>
      </w:hyperlink>
    </w:p>
    <w:bookmarkEnd w:id="43"/>
    <w:bookmarkStart w:id="55" w:name="assessing-model-outputs"/>
    <w:p>
      <w:pPr>
        <w:pStyle w:val="Heading3"/>
      </w:pPr>
      <w:r>
        <w:t xml:space="preserve">2.2 Assessing model outputs</w:t>
      </w:r>
    </w:p>
    <w:p>
      <w:pPr>
        <w:pStyle w:val="FirstParagraph"/>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two broader criteria, namely the ability of the model to correctly capture different elements of the structure of the network and the ability of the model to correctly retrieve pairwise interactions. When thinking about how to benchmark models it is perhaps beneficial to take a step back and once again assess what are the needs of the researcher and linking this back to what aspects of the network (</w:t>
      </w:r>
      <w:hyperlink w:anchor="sec-network-anatomy">
        <w:r>
          <w:rPr>
            <w:rStyle w:val="Hyperlink"/>
          </w:rPr>
          <w:t xml:space="preserve">Section 1</w:t>
        </w:r>
      </w:hyperlink>
      <w:r>
        <w:t xml:space="preserve">) are of importance. For example if we are concerned with being able to successfully predict pairwise interactions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(Allesina, Alonso, and Pascual 2008)</w:t>
      </w:r>
      <w:r>
        <w:t xml:space="preserve">. One of the main challenges when assessing the ability to retrieve pairwise interactions is that food webs are sparse (that means that there are few links given the number of species) and it is important tha we are able to discern between a model that is able to correctly predict interactions that do (true positives) and not (true negatives) occur and one that is simply predicting a lack of interactions</w:t>
      </w:r>
      <w:r>
        <w:t xml:space="preserve"> </w:t>
      </w:r>
      <w:r>
        <w:t xml:space="preserve">(Poisot 2023)</w:t>
      </w:r>
      <w:r>
        <w:t xml:space="preserve">.</w:t>
      </w:r>
    </w:p>
    <w:p>
      <w:pPr>
        <w:pStyle w:val="BlockText"/>
      </w:pPr>
      <w:r>
        <w:t xml:space="preserve">benchmarking requires the use of empirical networks and comparing that to the predicted one</w:t>
      </w:r>
    </w:p>
    <w:bookmarkStart w:id="49" w:name="benchmarking-for-structure"/>
    <w:p>
      <w:pPr>
        <w:pStyle w:val="Heading5"/>
      </w:pPr>
      <w:r>
        <w:t xml:space="preserve">2.2.0.1 Benchmarking for structure</w:t>
      </w:r>
    </w:p>
    <w:p>
      <w:pPr>
        <w:pStyle w:val="FirstParagraph"/>
      </w:pPr>
      <w:r>
        <w:t xml:space="preserve">Despite structural models being some of the older model families there is a distinctive lack of clear guidelines as to how we assess the ability of these models to replicate the</w:t>
      </w:r>
      <w:r>
        <w:t xml:space="preserve"> </w:t>
      </w:r>
      <w:r>
        <w:rPr>
          <w:iCs/>
          <w:i/>
        </w:rPr>
        <w:t xml:space="preserve">entire</w:t>
      </w:r>
      <w:r>
        <w:t xml:space="preserve"> </w:t>
      </w:r>
      <w:r>
        <w:t xml:space="preserve">structure of a network. In part this may perhaps be driven by the underlying research agenda and interest in different aspects of capturing the structure of networks</w:t>
      </w:r>
      <w:r>
        <w:t xml:space="preserve"> </w:t>
      </w:r>
      <w:r>
        <w:rPr>
          <w:iCs/>
          <w:i/>
        </w:rPr>
        <w:t xml:space="preserve">e.g.,</w:t>
      </w:r>
      <w:r>
        <w:t xml:space="preserve"> </w:t>
      </w:r>
      <w:r>
        <w:t xml:space="preserve">the obsession with intervality [ref] or link distributions [ref]. However, it is still a good idea to think about the network in its entirety and to benchmark structural models in a more holistic manner. Some useful ways to assess how well the model predicts the shape (</w:t>
      </w:r>
      <w:r>
        <w:rPr>
          <w:iCs/>
          <w:i/>
        </w:rPr>
        <w:t xml:space="preserve">e.g.,</w:t>
      </w:r>
      <w:r>
        <w:t xml:space="preserve"> </w:t>
      </w:r>
      <w:r>
        <w:t xml:space="preserve">the height (chain length) and…), links (</w:t>
      </w:r>
      <w:r>
        <w:rPr>
          <w:iCs/>
          <w:i/>
        </w:rPr>
        <w:t xml:space="preserve">e.g.,</w:t>
      </w:r>
      <w:r>
        <w:t xml:space="preserve"> </w:t>
      </w:r>
      <w:r>
        <w:t xml:space="preserve">connectance), internal structure (</w:t>
      </w:r>
      <w:r>
        <w:rPr>
          <w:iCs/>
          <w:i/>
        </w:rPr>
        <w:t xml:space="preserve">e.g.,</w:t>
      </w:r>
      <w:r>
        <w:t xml:space="preserve"> </w:t>
      </w:r>
      <w:r>
        <w:t xml:space="preserve">SVD entropy,</w:t>
      </w:r>
      <w:r>
        <w:t xml:space="preserve"> </w:t>
      </w:r>
      <w:r>
        <w:t xml:space="preserve">Strydom, Dalla Riva, and Poisot (2021)</w:t>
      </w:r>
      <w:r>
        <w:t xml:space="preserve">), and meso-level features (</w:t>
      </w:r>
      <w:r>
        <w:rPr>
          <w:iCs/>
          <w:i/>
        </w:rPr>
        <w:t xml:space="preserve">e.g.,</w:t>
      </w:r>
      <w:r>
        <w:t xml:space="preserve"> </w:t>
      </w:r>
      <w:r>
        <w:t xml:space="preserve">motifs,</w:t>
      </w:r>
      <w:r>
        <w:t xml:space="preserve"> </w:t>
      </w:r>
      <w:r>
        <w:t xml:space="preserve">Stouffer et al. (2007)</w:t>
      </w:r>
      <w:r>
        <w:t xml:space="preserve">) of a network. This is shown in</w:t>
      </w:r>
      <w:r>
        <w:t xml:space="preserve"> </w:t>
      </w:r>
      <w:hyperlink w:anchor="fig-topology">
        <w:r>
          <w:rPr>
            <w:rStyle w:val="Hyperlink"/>
          </w:rPr>
          <w:t xml:space="preserve">Figure 5</w:t>
        </w:r>
      </w:hyperlink>
      <w:r>
        <w:t xml:space="preserve">…</w:t>
      </w:r>
    </w:p>
    <w:p>
      <w:pPr>
        <w:numPr>
          <w:ilvl w:val="0"/>
          <w:numId w:val="1001"/>
        </w:numPr>
      </w:pPr>
      <w:r>
        <w:t xml:space="preserve">Maybe look at some of the historic papers that compare some of the</w:t>
      </w:r>
      <w:r>
        <w:t xml:space="preserve"> </w:t>
      </w:r>
      <w:r>
        <w:t xml:space="preserve">‘</w:t>
      </w:r>
      <w:r>
        <w:t xml:space="preserve">resource models</w:t>
      </w:r>
      <w:r>
        <w:t xml:space="preserve">’</w:t>
      </w:r>
    </w:p>
    <w:p>
      <w:pPr>
        <w:numPr>
          <w:ilvl w:val="0"/>
          <w:numId w:val="1001"/>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1"/>
        </w:numPr>
      </w:pPr>
      <w:r>
        <w:t xml:space="preserve">Look at</w:t>
      </w:r>
      <w:r>
        <w:t xml:space="preserve"> </w:t>
      </w:r>
      <w:r>
        <w:t xml:space="preserve">Vermaat, Dunne, and Gilbert (2009)</w:t>
      </w:r>
    </w:p>
    <w:tbl>
      <w:tblPr>
        <w:tblStyle w:val="Table"/>
        <w:tblW w:type="pct" w:w="5000"/>
        <w:tblLook w:firstRow="0" w:lastRow="0" w:firstColumn="0" w:lastColumn="0" w:noHBand="0" w:noVBand="0" w:val="0000"/>
        <w:jc w:val="start"/>
        <w:tblLayout w:type="fixed"/>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Difference between real and model network property. S1 - S5 represent the different motif structures identified in</w:t>
            </w:r>
            <w:r>
              <w:t xml:space="preserve"> </w:t>
            </w:r>
            <w:r>
              <w:t xml:space="preserve">Stouffer et al. (2007)</w:t>
            </w:r>
            <w:r>
              <w:t xml:space="preserve">.</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Quantitative approach to topology generators</w:t>
        </w:r>
      </w:hyperlink>
    </w:p>
    <w:bookmarkEnd w:id="49"/>
    <w:bookmarkStart w:id="54" w:name="benchmarking-for-interactions"/>
    <w:p>
      <w:pPr>
        <w:pStyle w:val="Heading5"/>
      </w:pPr>
      <w:r>
        <w:t xml:space="preserve">2.2.0.2 Benchmarking for interactions</w:t>
      </w:r>
    </w:p>
    <w:p>
      <w:pPr>
        <w:pStyle w:val="FirstParagraph"/>
      </w:pPr>
      <w:r>
        <w:t xml:space="preserve">Broadly speaking the task of assessing the ability of a model to predict interactions as being an assessment of the model’s classification ability (does it correctly predict the presence and absence of interactions?) and so we want to benchmark the model on how well it is able to correctly predict these presences and absences. This can be done in a myriad of ways</w:t>
      </w:r>
      <w:r>
        <w:t xml:space="preserve"> </w:t>
      </w:r>
      <w:r>
        <w:t xml:space="preserve">(Strydom et al. 2021; Poisot 2023)</w:t>
      </w:r>
      <w:r>
        <w:t xml:space="preserve"> </w:t>
      </w:r>
      <w:r>
        <w:t xml:space="preserve">but is always based off of the confusion matrix [ref maybe?]. Essentially the confusion matrix 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 Using the confusion matrix it is then possible to assess the</w:t>
      </w:r>
      <w:r>
        <w:t xml:space="preserve"> </w:t>
      </w:r>
      <w:r>
        <w:t xml:space="preserve">‘</w:t>
      </w:r>
      <w:r>
        <w:t xml:space="preserve">quality</w:t>
      </w:r>
      <w:r>
        <w:t xml:space="preserve">’</w:t>
      </w:r>
      <w:r>
        <w:t xml:space="preserve"> </w:t>
      </w:r>
      <w:r>
        <w:t xml:space="preserve">of the model predictions such as their accuracy or informedness.</w:t>
      </w:r>
    </w:p>
    <w:p>
      <w:pPr>
        <w:pStyle w:val="BodyText"/>
      </w:pPr>
      <w:r>
        <w:t xml:space="preserve">As mentioned above one of the main challenges we are faced with when trying to benchmark interaction predictions is the high class imbalance (inherit sparsity) of networks, and as highlighted by</w:t>
      </w:r>
      <w:r>
        <w:t xml:space="preserve"> </w:t>
      </w:r>
      <w:r>
        <w:t xml:space="preserve">Poisot (2023)</w:t>
      </w:r>
      <w:r>
        <w:t xml:space="preserve"> </w:t>
      </w:r>
      <w:r>
        <w:t xml:space="preserve">we can very easy to lull ourselves into a false sense of predictive accuracy if we use the wrong benchmarking tools — even a low skill (fails to predict interactions that are present) model can appear to do well if we assess it on its ability to correctly predict interactions, this is because most interactions are absent and so a model that predicts interactions as being absent will still predict most interactions correctly. Another aspect of assessing these types of predictions is quantifying the bias of the model, this will give and indication id the model tends to systematically over predict one of the classes. As per</w:t>
      </w:r>
      <w:r>
        <w:t xml:space="preserve"> </w:t>
      </w:r>
      <w:r>
        <w:t xml:space="preserve">Poisot (2023)</w:t>
      </w:r>
      <w:r>
        <w:t xml:space="preserve"> </w:t>
      </w:r>
      <w:r>
        <w:t xml:space="preserve">the best ways to assess the classification performance of the different models is to use the Precision-Recall (PR-AUC) to assess precision [ref?], and the Matthews correlation coefficient (MCC) to assess accuracy</w:t>
      </w:r>
      <w:r>
        <w:t xml:space="preserve"> </w:t>
      </w:r>
      <w:r>
        <w:t xml:space="preserve">(Matthews 1975)</w:t>
      </w:r>
      <w:r>
        <w:t xml:space="preserve">.</w:t>
      </w:r>
    </w:p>
    <w:p>
      <w:pPr>
        <w:numPr>
          <w:ilvl w:val="0"/>
          <w:numId w:val="1002"/>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2"/>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2"/>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2"/>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3" w:name="fig-pichler"/>
          <w:p>
            <w:pPr>
              <w:pStyle w:val="Compact"/>
              <w:jc w:val="center"/>
            </w:pPr>
            <w:r>
              <w:drawing>
                <wp:inline>
                  <wp:extent cx="5334000" cy="3895724"/>
                  <wp:effectExtent b="0" l="0" r="0" t="0"/>
                  <wp:docPr descr="" title="" id="51" name="Picture"/>
                  <a:graphic>
                    <a:graphicData uri="http://schemas.openxmlformats.org/drawingml/2006/picture">
                      <pic:pic>
                        <pic:nvPicPr>
                          <pic:cNvPr descr="images/pichler_result.png" id="52" name="Picture"/>
                          <pic:cNvPicPr>
                            <a:picLocks noChangeArrowheads="1" noChangeAspect="1"/>
                          </pic:cNvPicPr>
                        </pic:nvPicPr>
                        <pic:blipFill>
                          <a:blip r:embed="rId50"/>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Moc result from</w:t>
            </w:r>
            <w:r>
              <w:t xml:space="preserve"> </w:t>
            </w:r>
            <w:r>
              <w:t xml:space="preserve">Pichler et al. (2020)</w:t>
            </w:r>
          </w:p>
          <w:bookmarkEnd w:id="53"/>
        </w:tc>
      </w:tr>
    </w:tbl>
    <w:bookmarkEnd w:id="54"/>
    <w:bookmarkEnd w:id="55"/>
    <w:bookmarkStart w:id="56" w:name="the-bigger-picture"/>
    <w:p>
      <w:pPr>
        <w:pStyle w:val="Heading3"/>
      </w:pPr>
      <w:r>
        <w:t xml:space="preserve">2.3 The bigger picture</w:t>
      </w:r>
    </w:p>
    <w:p>
      <w:pPr>
        <w:pStyle w:val="FirstParagraph"/>
      </w:pPr>
      <w:r>
        <w:t xml:space="preserve">In addition to thinking about the</w:t>
      </w:r>
      <w:r>
        <w:t xml:space="preserve"> </w:t>
      </w:r>
      <w:r>
        <w:t xml:space="preserve">‘</w:t>
      </w:r>
      <w:r>
        <w:t xml:space="preserve">performance</w:t>
      </w:r>
      <w:r>
        <w:t xml:space="preserve">’</w:t>
      </w:r>
      <w:r>
        <w:t xml:space="preserve"> </w:t>
      </w:r>
      <w:r>
        <w:t xml:space="preserve">if a model it is also important to be aware of the</w:t>
      </w:r>
      <w:r>
        <w:t xml:space="preserve"> </w:t>
      </w:r>
      <w:r>
        <w:t xml:space="preserve">‘</w:t>
      </w:r>
      <w:r>
        <w:t xml:space="preserve">unseen</w:t>
      </w:r>
      <w:r>
        <w:t xml:space="preserve">’</w:t>
      </w:r>
      <w:r>
        <w:t xml:space="preserve"> </w:t>
      </w:r>
      <w:r>
        <w:t xml:space="preserve">costs and limitations of the different modelling families. 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lockText"/>
      </w:pPr>
      <w:r>
        <w:t xml:space="preserve">What data do I need? Can a make</w:t>
      </w:r>
      <w:r>
        <w:t xml:space="preserve"> </w:t>
      </w:r>
      <w:r>
        <w:rPr>
          <w:iCs/>
          <w:i/>
        </w:rPr>
        <w:t xml:space="preserve">de novo</w:t>
      </w:r>
      <w:r>
        <w:t xml:space="preserve"> </w:t>
      </w:r>
      <w:r>
        <w:t xml:space="preserve">predictions? What are the related</w:t>
      </w:r>
      <w:r>
        <w:t xml:space="preserve"> </w:t>
      </w:r>
      <w:r>
        <w:t xml:space="preserve">‘</w:t>
      </w:r>
      <w:r>
        <w:t xml:space="preserve">sinks</w:t>
      </w:r>
      <w:r>
        <w:t xml:space="preserve">’</w:t>
      </w:r>
      <w:r>
        <w:t xml:space="preserve"> </w:t>
      </w:r>
      <w:r>
        <w:rPr>
          <w:iCs/>
          <w:i/>
        </w:rPr>
        <w:t xml:space="preserve">e.g.,</w:t>
      </w:r>
      <w:r>
        <w:t xml:space="preserve"> </w:t>
      </w:r>
      <w:r>
        <w:t xml:space="preserve">computational or time? What does the network I am constructing actually represent?</w:t>
      </w:r>
    </w:p>
    <w:bookmarkEnd w:id="56"/>
    <w:bookmarkEnd w:id="57"/>
    <w:bookmarkStart w:id="58" w:name="Xfe4d9e131bc97c150d95dacef9fb8a6ff04d334"/>
    <w:p>
      <w:pPr>
        <w:pStyle w:val="Heading2"/>
      </w:pPr>
      <w:r>
        <w:t xml:space="preserve">3 Linking network ecology to the outstanding questions in ecology</w:t>
      </w:r>
    </w:p>
    <w:p>
      <w:pPr>
        <w:numPr>
          <w:ilvl w:val="0"/>
          <w:numId w:val="1003"/>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3"/>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3"/>
        </w:numPr>
      </w:pPr>
      <w:r>
        <w:t xml:space="preserve">Brief history of the development of tools within the context of the two different fields? Sort of where the theory/body of work was based and how that has changed?</w:t>
      </w:r>
    </w:p>
    <w:p>
      <w:pPr>
        <w:numPr>
          <w:ilvl w:val="0"/>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3"/>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58"/>
    <w:bookmarkStart w:id="60" w:name="discussion"/>
    <w:p>
      <w:pPr>
        <w:pStyle w:val="Heading2"/>
      </w:pPr>
      <w:r>
        <w:t xml:space="preserve">4 Discussion</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5"/>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5"/>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6"/>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7"/>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08"/>
        </w:numPr>
      </w:pPr>
      <w:r>
        <w:t xml:space="preserve">Aligning (dove-tailing) with this the idea of ensemble modelling as presented by</w:t>
      </w:r>
      <w:r>
        <w:t xml:space="preserve"> </w:t>
      </w:r>
      <w:r>
        <w:t xml:space="preserve">Becker et al. (2022)</w:t>
      </w:r>
    </w:p>
    <w:p>
      <w:pPr>
        <w:numPr>
          <w:ilvl w:val="0"/>
          <w:numId w:val="1007"/>
        </w:numPr>
      </w:pPr>
      <w:r>
        <w:t xml:space="preserve">It will be interesting to bring up the idea that if a model is missing a specific pairwise link but doing well at the structural level then when does it matter?</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Start w:id="59" w:name="downsampling"/>
    <w:p>
      <w:pPr>
        <w:pStyle w:val="Heading3"/>
      </w:pPr>
      <w:r>
        <w:t xml:space="preserve">4.1 Downsampling</w:t>
      </w:r>
    </w:p>
    <w:p>
      <w:pPr>
        <w:numPr>
          <w:ilvl w:val="0"/>
          <w:numId w:val="1009"/>
        </w:numPr>
      </w:pPr>
      <w:r>
        <w:t xml:space="preserve">Dansereau, Barros, and Poisot (2023)</w:t>
      </w:r>
    </w:p>
    <w:p>
      <w:pPr>
        <w:numPr>
          <w:ilvl w:val="0"/>
          <w:numId w:val="1009"/>
        </w:numPr>
      </w:pPr>
      <w:r>
        <w:t xml:space="preserve">“</w:t>
      </w:r>
      <w:r>
        <w:t xml:space="preserve">That being said, there is a compelling argument for the need to `combine’ these smaller functional units with larger spatial networks</w:t>
      </w:r>
      <w:r>
        <w:t xml:space="preserve"> </w:t>
      </w:r>
      <w:r>
        <w:t xml:space="preserve">(Fortin, Dale, and Brimacombe 2021)</w:t>
      </w:r>
      <w:r>
        <w:t xml:space="preserve"> </w:t>
      </w:r>
      <w:r>
        <w:t xml:space="preserve">and that we should also start thinking about the interplay of time and space</w:t>
      </w:r>
      <w:r>
        <w:t xml:space="preserve"> </w:t>
      </w:r>
      <w:r>
        <w:t xml:space="preserve">(Estay, Fortin, and López 2023)</w:t>
      </w:r>
      <w:r>
        <w:t xml:space="preserve">. Although deciding exactly what measure might actually be driving differences between local networks and the regional metaweb might not be that simple</w:t>
      </w:r>
      <w:r>
        <w:t xml:space="preserve"> </w:t>
      </w:r>
      <w:r>
        <w:t xml:space="preserve">(Saravia et al. 2022)</w:t>
      </w:r>
      <w:r>
        <w:t xml:space="preserve">.</w:t>
      </w:r>
      <w:r>
        <w:t xml:space="preserve">”</w:t>
      </w:r>
    </w:p>
    <w:bookmarkEnd w:id="59"/>
    <w:bookmarkEnd w:id="60"/>
    <w:bookmarkStart w:id="195" w:name="references"/>
    <w:p>
      <w:pPr>
        <w:pStyle w:val="Heading2"/>
      </w:pPr>
      <w:r>
        <w:t xml:space="preserve">References</w:t>
      </w:r>
    </w:p>
    <w:bookmarkStart w:id="194" w:name="refs"/>
    <w:bookmarkStart w:id="62"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1">
        <w:r>
          <w:rPr>
            <w:rStyle w:val="Hyperlink"/>
          </w:rPr>
          <w:t xml:space="preserve">https://doi.org/10.1126/science.1156269</w:t>
        </w:r>
      </w:hyperlink>
      <w:r>
        <w:t xml:space="preserve">.</w:t>
      </w:r>
    </w:p>
    <w:bookmarkEnd w:id="62"/>
    <w:bookmarkStart w:id="64"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3">
        <w:r>
          <w:rPr>
            <w:rStyle w:val="Hyperlink"/>
          </w:rPr>
          <w:t xml:space="preserve">https://doi.org/10.1371/journal.pcbi.1011458</w:t>
        </w:r>
      </w:hyperlink>
      <w:r>
        <w:t xml:space="preserve">.</w:t>
      </w:r>
    </w:p>
    <w:bookmarkEnd w:id="64"/>
    <w:bookmarkStart w:id="66"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5">
        <w:r>
          <w:rPr>
            <w:rStyle w:val="Hyperlink"/>
          </w:rPr>
          <w:t xml:space="preserve">https://doi.org/10.1073/pnas.1633576100</w:t>
        </w:r>
      </w:hyperlink>
      <w:r>
        <w:t xml:space="preserve">.</w:t>
      </w:r>
    </w:p>
    <w:bookmarkEnd w:id="66"/>
    <w:bookmarkStart w:id="68"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67">
        <w:r>
          <w:rPr>
            <w:rStyle w:val="Hyperlink"/>
          </w:rPr>
          <w:t xml:space="preserve">https://doi.org/10.1016/S2666-5247(21)00245-7</w:t>
        </w:r>
      </w:hyperlink>
      <w:r>
        <w:t xml:space="preserve">.</w:t>
      </w:r>
    </w:p>
    <w:bookmarkEnd w:id="68"/>
    <w:bookmarkStart w:id="70"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69">
        <w:r>
          <w:rPr>
            <w:rStyle w:val="Hyperlink"/>
          </w:rPr>
          <w:t xml:space="preserve">https://doi.org/10.1073/pnas.0603039103</w:t>
        </w:r>
      </w:hyperlink>
      <w:r>
        <w:t xml:space="preserve">.</w:t>
      </w:r>
    </w:p>
    <w:bookmarkEnd w:id="70"/>
    <w:bookmarkStart w:id="72"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1">
        <w:r>
          <w:rPr>
            <w:rStyle w:val="Hyperlink"/>
          </w:rPr>
          <w:t xml:space="preserve">https://doi.org/10.1073/pnas.0800967105</w:t>
        </w:r>
      </w:hyperlink>
      <w:r>
        <w:t xml:space="preserve">.</w:t>
      </w:r>
    </w:p>
    <w:bookmarkEnd w:id="72"/>
    <w:bookmarkStart w:id="74"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3">
        <w:r>
          <w:rPr>
            <w:rStyle w:val="Hyperlink"/>
          </w:rPr>
          <w:t xml:space="preserve">https://doi.org/10.1111/j.0021-8790.2004.00833.x</w:t>
        </w:r>
      </w:hyperlink>
      <w:r>
        <w:t xml:space="preserve">.</w:t>
      </w:r>
    </w:p>
    <w:bookmarkEnd w:id="74"/>
    <w:bookmarkStart w:id="76" w:name="X17a301eebb3c5bc57992fd8c229d26f33144785"/>
    <w:p>
      <w:pPr>
        <w:pStyle w:val="Bibliography"/>
      </w:pPr>
      <w:r>
        <w:t xml:space="preserve">Bhatia, Udit, Sarth Dubey, Tarik C. Gouhier, and Auroop R. Ganguly. 2023.</w:t>
      </w:r>
      <w:r>
        <w:t xml:space="preserve"> </w:t>
      </w:r>
      <w:r>
        <w:t xml:space="preserve">“Network-Based Restoration Strategies Maximize Ecosystem Recovery.”</w:t>
      </w:r>
      <w:r>
        <w:t xml:space="preserve"> </w:t>
      </w:r>
      <w:r>
        <w:rPr>
          <w:iCs/>
          <w:i/>
        </w:rPr>
        <w:t xml:space="preserve">Communications Biology</w:t>
      </w:r>
      <w:r>
        <w:t xml:space="preserve"> </w:t>
      </w:r>
      <w:r>
        <w:t xml:space="preserve">6 (1): 1–10.</w:t>
      </w:r>
      <w:r>
        <w:t xml:space="preserve"> </w:t>
      </w:r>
      <w:hyperlink r:id="rId75">
        <w:r>
          <w:rPr>
            <w:rStyle w:val="Hyperlink"/>
          </w:rPr>
          <w:t xml:space="preserve">https://doi.org/10.1038/s42003-023-05622-3</w:t>
        </w:r>
      </w:hyperlink>
      <w:r>
        <w:t xml:space="preserve">.</w:t>
      </w:r>
    </w:p>
    <w:bookmarkEnd w:id="76"/>
    <w:bookmarkStart w:id="78"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7">
        <w:r>
          <w:rPr>
            <w:rStyle w:val="Hyperlink"/>
          </w:rPr>
          <w:t xml:space="preserve">https://doi.org/10.1111/ele.13525</w:t>
        </w:r>
      </w:hyperlink>
      <w:r>
        <w:t xml:space="preserve">.</w:t>
      </w:r>
    </w:p>
    <w:bookmarkEnd w:id="78"/>
    <w:bookmarkStart w:id="80"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9">
        <w:r>
          <w:rPr>
            <w:rStyle w:val="Hyperlink"/>
          </w:rPr>
          <w:t xml:space="preserve">https://doi.org/10.13140/RG.2.2.22076.65927</w:t>
        </w:r>
      </w:hyperlink>
      <w:r>
        <w:t xml:space="preserve">.</w:t>
      </w:r>
    </w:p>
    <w:bookmarkEnd w:id="80"/>
    <w:bookmarkStart w:id="82"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1">
        <w:r>
          <w:rPr>
            <w:rStyle w:val="Hyperlink"/>
          </w:rPr>
          <w:t xml:space="preserve">https://doi.org/10.1371/journal.pbio.3002068</w:t>
        </w:r>
      </w:hyperlink>
      <w:r>
        <w:t xml:space="preserve">.</w:t>
      </w:r>
    </w:p>
    <w:bookmarkEnd w:id="82"/>
    <w:bookmarkStart w:id="84"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3">
        <w:r>
          <w:rPr>
            <w:rStyle w:val="Hyperlink"/>
          </w:rPr>
          <w:t xml:space="preserve">https://doi.org/10.1111/ele.13966</w:t>
        </w:r>
      </w:hyperlink>
      <w:r>
        <w:t xml:space="preserve">.</w:t>
      </w:r>
    </w:p>
    <w:bookmarkEnd w:id="84"/>
    <w:bookmarkStart w:id="86"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5">
        <w:r>
          <w:rPr>
            <w:rStyle w:val="Hyperlink"/>
          </w:rPr>
          <w:t xml:space="preserve">https://doi.org/10.1038/nature02327</w:t>
        </w:r>
      </w:hyperlink>
      <w:r>
        <w:t xml:space="preserve">.</w:t>
      </w:r>
    </w:p>
    <w:bookmarkEnd w:id="86"/>
    <w:bookmarkStart w:id="88"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7">
        <w:r>
          <w:rPr>
            <w:rStyle w:val="Hyperlink"/>
          </w:rPr>
          <w:t xml:space="preserve">https://doi.org/10.1111/2041-210X.13180</w:t>
        </w:r>
      </w:hyperlink>
      <w:r>
        <w:t xml:space="preserve">.</w:t>
      </w:r>
    </w:p>
    <w:bookmarkEnd w:id="88"/>
    <w:bookmarkStart w:id="90"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89">
        <w:r>
          <w:rPr>
            <w:rStyle w:val="Hyperlink"/>
          </w:rPr>
          <w:t xml:space="preserve">https://doi.org/10.1073/pnas.74.10.4533</w:t>
        </w:r>
      </w:hyperlink>
      <w:r>
        <w:t xml:space="preserve">.</w:t>
      </w:r>
    </w:p>
    <w:bookmarkEnd w:id="90"/>
    <w:bookmarkStart w:id="91"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1"/>
    <w:bookmarkStart w:id="93"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2">
        <w:r>
          <w:rPr>
            <w:rStyle w:val="Hyperlink"/>
          </w:rPr>
          <w:t xml:space="preserve">https://doi.org/10.1098/rspb.1985.0042</w:t>
        </w:r>
      </w:hyperlink>
      <w:r>
        <w:t xml:space="preserve">.</w:t>
      </w:r>
    </w:p>
    <w:bookmarkEnd w:id="93"/>
    <w:bookmarkStart w:id="95"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4">
        <w:r>
          <w:rPr>
            <w:rStyle w:val="Hyperlink"/>
          </w:rPr>
          <w:t xml:space="preserve">https://www.jstor.org/stable/27896212</w:t>
        </w:r>
      </w:hyperlink>
      <w:r>
        <w:t xml:space="preserve">.</w:t>
      </w:r>
    </w:p>
    <w:bookmarkEnd w:id="95"/>
    <w:bookmarkStart w:id="96" w:name="X1edd2253d2e7e8e6db9e7574240f432ddda2ce1"/>
    <w:p>
      <w:pPr>
        <w:pStyle w:val="Bibliography"/>
      </w:pPr>
      <w:r>
        <w:t xml:space="preserve">Dansereau, Gabriel, Ceres Barros, and Timothée Poisot. 2023.</w:t>
      </w:r>
      <w:r>
        <w:t xml:space="preserve"> </w:t>
      </w:r>
      <w:r>
        <w:t xml:space="preserve">“Spatially Explicit Predictions of Food Web Structure from Regional Level Data,”</w:t>
      </w:r>
      <w:r>
        <w:t xml:space="preserve"> </w:t>
      </w:r>
      <w:r>
        <w:t xml:space="preserve">September.</w:t>
      </w:r>
    </w:p>
    <w:bookmarkEnd w:id="96"/>
    <w:bookmarkStart w:id="97"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7"/>
    <w:bookmarkStart w:id="99"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8">
        <w:r>
          <w:rPr>
            <w:rStyle w:val="Hyperlink"/>
          </w:rPr>
          <w:t xml:space="preserve">https://doi.org/10.2307/1936298</w:t>
        </w:r>
      </w:hyperlink>
      <w:r>
        <w:t xml:space="preserve">.</w:t>
      </w:r>
    </w:p>
    <w:bookmarkEnd w:id="99"/>
    <w:bookmarkStart w:id="101"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0">
        <w:r>
          <w:rPr>
            <w:rStyle w:val="Hyperlink"/>
          </w:rPr>
          <w:t xml:space="preserve">https://doi.org/10.1111/brv.12433</w:t>
        </w:r>
      </w:hyperlink>
      <w:r>
        <w:t xml:space="preserve">.</w:t>
      </w:r>
    </w:p>
    <w:bookmarkEnd w:id="101"/>
    <w:bookmarkStart w:id="103"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2">
        <w:r>
          <w:rPr>
            <w:rStyle w:val="Hyperlink"/>
          </w:rPr>
          <w:t xml:space="preserve">https://doi.org/10.7717/peerj.3644</w:t>
        </w:r>
      </w:hyperlink>
      <w:r>
        <w:t xml:space="preserve">.</w:t>
      </w:r>
    </w:p>
    <w:bookmarkEnd w:id="103"/>
    <w:bookmarkStart w:id="104"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4"/>
    <w:bookmarkStart w:id="106"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5">
        <w:r>
          <w:rPr>
            <w:rStyle w:val="Hyperlink"/>
          </w:rPr>
          <w:t xml:space="preserve">https://doi.org/10.1371/journal.pbio.0060102</w:t>
        </w:r>
      </w:hyperlink>
      <w:r>
        <w:t xml:space="preserve">.</w:t>
      </w:r>
    </w:p>
    <w:bookmarkEnd w:id="106"/>
    <w:bookmarkStart w:id="108"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7">
        <w:r>
          <w:rPr>
            <w:rStyle w:val="Hyperlink"/>
          </w:rPr>
          <w:t xml:space="preserve">https://doi.org/10.1111/2041-210X.12062</w:t>
        </w:r>
      </w:hyperlink>
      <w:r>
        <w:t xml:space="preserve">.</w:t>
      </w:r>
    </w:p>
    <w:bookmarkEnd w:id="108"/>
    <w:bookmarkStart w:id="109" w:name="ref-estayEditorialPatternsProcesses2023"/>
    <w:p>
      <w:pPr>
        <w:pStyle w:val="Bibliography"/>
      </w:pPr>
      <w:r>
        <w:t xml:space="preserve">Estay, Sergio A., Marie-Josée Fortin, and Daniela N. López. 2023.</w:t>
      </w:r>
      <w:r>
        <w:t xml:space="preserve"> </w:t>
      </w:r>
      <w:r>
        <w:t xml:space="preserve">“Editorial: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09"/>
    <w:bookmarkStart w:id="111" w:name="ref-fortinNetworkEcologyDynamic2021"/>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0">
        <w:r>
          <w:rPr>
            <w:rStyle w:val="Hyperlink"/>
          </w:rPr>
          <w:t xml:space="preserve">https://doi.org/10.1098/rspb.2020.1889</w:t>
        </w:r>
      </w:hyperlink>
      <w:r>
        <w:t xml:space="preserve">.</w:t>
      </w:r>
    </w:p>
    <w:bookmarkEnd w:id="111"/>
    <w:bookmarkStart w:id="113" w:name="ref-fortinSpatialStatisticsSpatial2012"/>
    <w:p>
      <w:pPr>
        <w:pStyle w:val="Bibliography"/>
      </w:pPr>
      <w:r>
        <w:t xml:space="preserve">Fortin, Marie-Josée, Patrick M. A. James, Alistair MacKenzie, Stephanie J. Melles, and Bronwyn Rayfield. 2012.</w:t>
      </w:r>
      <w:r>
        <w:t xml:space="preserve"> </w:t>
      </w:r>
      <w:r>
        <w:t xml:space="preserve">“Spatial Statistics, Spatial Regression, and Graph Theory in Ecology.”</w:t>
      </w:r>
      <w:r>
        <w:t xml:space="preserve"> </w:t>
      </w:r>
      <w:r>
        <w:rPr>
          <w:iCs/>
          <w:i/>
        </w:rPr>
        <w:t xml:space="preserve">Spatial Statistics</w:t>
      </w:r>
      <w:r>
        <w:t xml:space="preserve"> </w:t>
      </w:r>
      <w:r>
        <w:t xml:space="preserve">1 (May): 100–109.</w:t>
      </w:r>
      <w:r>
        <w:t xml:space="preserve"> </w:t>
      </w:r>
      <w:hyperlink r:id="rId112">
        <w:r>
          <w:rPr>
            <w:rStyle w:val="Hyperlink"/>
          </w:rPr>
          <w:t xml:space="preserve">https://doi.org/10.1016/j.spasta.2012.02.004</w:t>
        </w:r>
      </w:hyperlink>
      <w:r>
        <w:t xml:space="preserve">.</w:t>
      </w:r>
    </w:p>
    <w:bookmarkEnd w:id="113"/>
    <w:bookmarkStart w:id="11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4">
        <w:r>
          <w:rPr>
            <w:rStyle w:val="Hyperlink"/>
          </w:rPr>
          <w:t xml:space="preserve">https://doi.org/10.1111/j.1461-0248.2005.00868.x</w:t>
        </w:r>
      </w:hyperlink>
      <w:r>
        <w:t xml:space="preserve">.</w:t>
      </w:r>
    </w:p>
    <w:bookmarkEnd w:id="115"/>
    <w:bookmarkStart w:id="11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6">
        <w:r>
          <w:rPr>
            <w:rStyle w:val="Hyperlink"/>
          </w:rPr>
          <w:t xml:space="preserve">https://doi.org/10.1111/2041-210X.12103</w:t>
        </w:r>
      </w:hyperlink>
      <w:r>
        <w:t xml:space="preserve">.</w:t>
      </w:r>
    </w:p>
    <w:bookmarkEnd w:id="117"/>
    <w:bookmarkStart w:id="119"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8">
        <w:r>
          <w:rPr>
            <w:rStyle w:val="Hyperlink"/>
          </w:rPr>
          <w:t xml:space="preserve">https://doi.org/10.1016/j.fooweb.2015.09.001</w:t>
        </w:r>
      </w:hyperlink>
      <w:r>
        <w:t xml:space="preserve">.</w:t>
      </w:r>
    </w:p>
    <w:bookmarkEnd w:id="119"/>
    <w:bookmarkStart w:id="121"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20">
        <w:r>
          <w:rPr>
            <w:rStyle w:val="Hyperlink"/>
          </w:rPr>
          <w:t xml:space="preserve">https://doi.org/10.1371/journal.pbio.1002559</w:t>
        </w:r>
      </w:hyperlink>
      <w:r>
        <w:t xml:space="preserve">.</w:t>
      </w:r>
    </w:p>
    <w:bookmarkEnd w:id="121"/>
    <w:bookmarkStart w:id="123"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22">
        <w:r>
          <w:rPr>
            <w:rStyle w:val="Hyperlink"/>
          </w:rPr>
          <w:t xml:space="preserve">https://doi.org/10.1111/1365-2435.12763</w:t>
        </w:r>
      </w:hyperlink>
      <w:r>
        <w:t xml:space="preserve">.</w:t>
      </w:r>
    </w:p>
    <w:bookmarkEnd w:id="123"/>
    <w:bookmarkStart w:id="125" w:name="Xe227781537312aad81566d289906b7942bbcf13"/>
    <w:p>
      <w:pPr>
        <w:pStyle w:val="Bibliography"/>
      </w:pPr>
      <w:r>
        <w:t xml:space="preserve">Lindeman, Raymond L. 1942.</w:t>
      </w:r>
      <w:r>
        <w:t xml:space="preserve"> </w:t>
      </w:r>
      <w:r>
        <w:t xml:space="preserve">“The</w:t>
      </w:r>
      <w:r>
        <w:t xml:space="preserve"> </w:t>
      </w:r>
      <w:r>
        <w:t xml:space="preserve">Trophic-Dynamic Aspect</w:t>
      </w:r>
      <w:r>
        <w:t xml:space="preserve"> </w:t>
      </w:r>
      <w:r>
        <w:t xml:space="preserve">of</w:t>
      </w:r>
      <w:r>
        <w:t xml:space="preserve"> </w:t>
      </w:r>
      <w:r>
        <w:t xml:space="preserve">Ecology</w:t>
      </w:r>
      <w:r>
        <w:t xml:space="preserve">.”</w:t>
      </w:r>
      <w:r>
        <w:t xml:space="preserve"> </w:t>
      </w:r>
      <w:r>
        <w:rPr>
          <w:iCs/>
          <w:i/>
        </w:rPr>
        <w:t xml:space="preserve">Ecology</w:t>
      </w:r>
      <w:r>
        <w:t xml:space="preserve"> </w:t>
      </w:r>
      <w:r>
        <w:t xml:space="preserve">23 (4): 399–417.</w:t>
      </w:r>
      <w:r>
        <w:t xml:space="preserve"> </w:t>
      </w:r>
      <w:hyperlink r:id="rId124">
        <w:r>
          <w:rPr>
            <w:rStyle w:val="Hyperlink"/>
          </w:rPr>
          <w:t xml:space="preserve">https://doi.org/10.2307/1930126</w:t>
        </w:r>
      </w:hyperlink>
      <w:r>
        <w:t xml:space="preserve">.</w:t>
      </w:r>
    </w:p>
    <w:bookmarkEnd w:id="125"/>
    <w:bookmarkStart w:id="12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6">
        <w:r>
          <w:rPr>
            <w:rStyle w:val="Hyperlink"/>
          </w:rPr>
          <w:t xml:space="preserve">https://doi.org/10.1111/ecog.06619</w:t>
        </w:r>
      </w:hyperlink>
      <w:r>
        <w:t xml:space="preserve">.</w:t>
      </w:r>
    </w:p>
    <w:bookmarkEnd w:id="127"/>
    <w:bookmarkStart w:id="12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8">
        <w:r>
          <w:rPr>
            <w:rStyle w:val="Hyperlink"/>
          </w:rPr>
          <w:t xml:space="preserve">https://doi.org/10.1111/geb.13138</w:t>
        </w:r>
      </w:hyperlink>
      <w:r>
        <w:t xml:space="preserve">.</w:t>
      </w:r>
    </w:p>
    <w:bookmarkEnd w:id="129"/>
    <w:bookmarkStart w:id="131" w:name="X2a589c3f70be24dcdbea2f3732f285388833a32"/>
    <w:p>
      <w:pPr>
        <w:pStyle w:val="Bibliography"/>
      </w:pPr>
      <w:r>
        <w:t xml:space="preserve">Matthews, B. W. 1975.</w:t>
      </w:r>
      <w:r>
        <w:t xml:space="preserve"> </w:t>
      </w:r>
      <w:r>
        <w:t xml:space="preserve">“Comparison of the Predicted and Observed Secondary Structure of</w:t>
      </w:r>
      <w:r>
        <w:t xml:space="preserve"> </w:t>
      </w:r>
      <w:r>
        <w:t xml:space="preserve">T4</w:t>
      </w:r>
      <w:r>
        <w:t xml:space="preserve"> </w:t>
      </w:r>
      <w:r>
        <w:t xml:space="preserve">Phage Lysozyme.”</w:t>
      </w:r>
      <w:r>
        <w:t xml:space="preserve"> </w:t>
      </w:r>
      <w:r>
        <w:rPr>
          <w:iCs/>
          <w:i/>
        </w:rPr>
        <w:t xml:space="preserve">Biochimica Et Biophysica Acta (BBA) - Protein Structure</w:t>
      </w:r>
      <w:r>
        <w:t xml:space="preserve"> </w:t>
      </w:r>
      <w:r>
        <w:t xml:space="preserve">405 (2): 442–51.</w:t>
      </w:r>
      <w:r>
        <w:t xml:space="preserve"> </w:t>
      </w:r>
      <w:hyperlink r:id="rId130">
        <w:r>
          <w:rPr>
            <w:rStyle w:val="Hyperlink"/>
          </w:rPr>
          <w:t xml:space="preserve">https://doi.org/10.1016/0005-2795(75)90109-9</w:t>
        </w:r>
      </w:hyperlink>
      <w:r>
        <w:t xml:space="preserve">.</w:t>
      </w:r>
    </w:p>
    <w:bookmarkEnd w:id="131"/>
    <w:bookmarkStart w:id="13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32">
        <w:r>
          <w:rPr>
            <w:rStyle w:val="Hyperlink"/>
          </w:rPr>
          <w:t xml:space="preserve">https://doi.org/10.1016/j.tree.2015.03.014</w:t>
        </w:r>
      </w:hyperlink>
      <w:r>
        <w:t xml:space="preserve">.</w:t>
      </w:r>
    </w:p>
    <w:bookmarkEnd w:id="133"/>
    <w:bookmarkStart w:id="135"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34">
        <w:r>
          <w:rPr>
            <w:rStyle w:val="Hyperlink"/>
          </w:rPr>
          <w:t xml:space="preserve">https://doi.org/10.1111/ele.13143</w:t>
        </w:r>
      </w:hyperlink>
      <w:r>
        <w:t xml:space="preserve">.</w:t>
      </w:r>
    </w:p>
    <w:bookmarkEnd w:id="135"/>
    <w:bookmarkStart w:id="137"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6">
        <w:r>
          <w:rPr>
            <w:rStyle w:val="Hyperlink"/>
          </w:rPr>
          <w:t xml:space="preserve">https://doi.org/10.1073/pnas.0710672105</w:t>
        </w:r>
      </w:hyperlink>
      <w:r>
        <w:t xml:space="preserve">.</w:t>
      </w:r>
    </w:p>
    <w:bookmarkEnd w:id="137"/>
    <w:bookmarkStart w:id="139"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8">
        <w:r>
          <w:rPr>
            <w:rStyle w:val="Hyperlink"/>
          </w:rPr>
          <w:t xml:space="preserve">https://doi.org/10.1016/j.jtbi.2011.03.019</w:t>
        </w:r>
      </w:hyperlink>
      <w:r>
        <w:t xml:space="preserve">.</w:t>
      </w:r>
    </w:p>
    <w:bookmarkEnd w:id="139"/>
    <w:bookmarkStart w:id="141"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40">
        <w:r>
          <w:rPr>
            <w:rStyle w:val="Hyperlink"/>
          </w:rPr>
          <w:t xml:space="preserve">https://doi.org/10.1111/2041-210X.13329</w:t>
        </w:r>
      </w:hyperlink>
      <w:r>
        <w:t xml:space="preserve">.</w:t>
      </w:r>
    </w:p>
    <w:bookmarkEnd w:id="141"/>
    <w:bookmarkStart w:id="143"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42">
        <w:r>
          <w:rPr>
            <w:rStyle w:val="Hyperlink"/>
          </w:rPr>
          <w:t xml:space="preserve">https://doi.org/10.1016/j.ecoinf.2014.08.005</w:t>
        </w:r>
      </w:hyperlink>
      <w:r>
        <w:t xml:space="preserve">.</w:t>
      </w:r>
    </w:p>
    <w:bookmarkEnd w:id="143"/>
    <w:bookmarkStart w:id="145"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44">
        <w:r>
          <w:rPr>
            <w:rStyle w:val="Hyperlink"/>
          </w:rPr>
          <w:t xml:space="preserve">https://doi.org/10.1111/2041-210X.14071</w:t>
        </w:r>
      </w:hyperlink>
      <w:r>
        <w:t xml:space="preserve">.</w:t>
      </w:r>
    </w:p>
    <w:bookmarkEnd w:id="145"/>
    <w:bookmarkStart w:id="147"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Cs/>
          <w:i/>
        </w:rPr>
        <w:t xml:space="preserve">Ecography</w:t>
      </w:r>
      <w:r>
        <w:t xml:space="preserve"> </w:t>
      </w:r>
      <w:r>
        <w:t xml:space="preserve">39 (4): 384–90.</w:t>
      </w:r>
      <w:r>
        <w:t xml:space="preserve"> </w:t>
      </w:r>
      <w:hyperlink r:id="rId146">
        <w:r>
          <w:rPr>
            <w:rStyle w:val="Hyperlink"/>
          </w:rPr>
          <w:t xml:space="preserve">https://doi.org/10.1111/ecog.00976</w:t>
        </w:r>
      </w:hyperlink>
      <w:r>
        <w:t xml:space="preserve">.</w:t>
      </w:r>
    </w:p>
    <w:bookmarkEnd w:id="147"/>
    <w:bookmarkStart w:id="149"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8">
        <w:r>
          <w:rPr>
            <w:rStyle w:val="Hyperlink"/>
          </w:rPr>
          <w:t xml:space="preserve">https://doi.org/10.1111/jbi.14127</w:t>
        </w:r>
      </w:hyperlink>
      <w:r>
        <w:t xml:space="preserve">.</w:t>
      </w:r>
    </w:p>
    <w:bookmarkEnd w:id="149"/>
    <w:bookmarkStart w:id="151"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50">
        <w:r>
          <w:rPr>
            <w:rStyle w:val="Hyperlink"/>
          </w:rPr>
          <w:t xml:space="preserve">https://doi.org/10</w:t>
        </w:r>
      </w:hyperlink>
      <w:r>
        <w:t xml:space="preserve">.</w:t>
      </w:r>
    </w:p>
    <w:bookmarkEnd w:id="151"/>
    <w:bookmarkStart w:id="153"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52">
        <w:r>
          <w:rPr>
            <w:rStyle w:val="Hyperlink"/>
          </w:rPr>
          <w:t xml:space="preserve">https://doi.org/10.1111/ecog.01941</w:t>
        </w:r>
      </w:hyperlink>
      <w:r>
        <w:t xml:space="preserve">.</w:t>
      </w:r>
    </w:p>
    <w:bookmarkEnd w:id="153"/>
    <w:bookmarkStart w:id="155"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54">
        <w:r>
          <w:rPr>
            <w:rStyle w:val="Hyperlink"/>
          </w:rPr>
          <w:t xml:space="preserve">https://doi.org/10.1111/oik.01719</w:t>
        </w:r>
      </w:hyperlink>
      <w:r>
        <w:t xml:space="preserve">.</w:t>
      </w:r>
    </w:p>
    <w:bookmarkEnd w:id="155"/>
    <w:bookmarkStart w:id="157"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56">
        <w:r>
          <w:rPr>
            <w:rStyle w:val="Hyperlink"/>
          </w:rPr>
          <w:t xml:space="preserve">https://www.jstor.org/stable/48582345</w:t>
        </w:r>
      </w:hyperlink>
      <w:r>
        <w:t xml:space="preserve">.</w:t>
      </w:r>
    </w:p>
    <w:bookmarkEnd w:id="157"/>
    <w:bookmarkStart w:id="159"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8">
        <w:r>
          <w:rPr>
            <w:rStyle w:val="Hyperlink"/>
          </w:rPr>
          <w:t xml:space="preserve">https://doi.org/10.1111/2041-210X.13125</w:t>
        </w:r>
      </w:hyperlink>
      <w:r>
        <w:t xml:space="preserve">.</w:t>
      </w:r>
    </w:p>
    <w:bookmarkEnd w:id="159"/>
    <w:bookmarkStart w:id="161"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60">
        <w:r>
          <w:rPr>
            <w:rStyle w:val="Hyperlink"/>
          </w:rPr>
          <w:t xml:space="preserve">https://doi.org/10.1515/9780691195322-020</w:t>
        </w:r>
      </w:hyperlink>
      <w:r>
        <w:t xml:space="preserve">.</w:t>
      </w:r>
    </w:p>
    <w:bookmarkEnd w:id="161"/>
    <w:bookmarkStart w:id="163"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62">
        <w:r>
          <w:rPr>
            <w:rStyle w:val="Hyperlink"/>
          </w:rPr>
          <w:t xml:space="preserve">https://doi.org/10.1146/annurev-ecolsys-110218-024908</w:t>
        </w:r>
      </w:hyperlink>
      <w:r>
        <w:t xml:space="preserve">.</w:t>
      </w:r>
    </w:p>
    <w:bookmarkEnd w:id="163"/>
    <w:bookmarkStart w:id="165"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64">
        <w:r>
          <w:rPr>
            <w:rStyle w:val="Hyperlink"/>
          </w:rPr>
          <w:t xml:space="preserve">https://doi.org/10.1016/j.tree.2005.04.004</w:t>
        </w:r>
      </w:hyperlink>
      <w:r>
        <w:t xml:space="preserve">.</w:t>
      </w:r>
    </w:p>
    <w:bookmarkEnd w:id="165"/>
    <w:bookmarkStart w:id="167"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66">
        <w:r>
          <w:rPr>
            <w:rStyle w:val="Hyperlink"/>
          </w:rPr>
          <w:t xml:space="preserve">https://doi.org/10.1086/653667</w:t>
        </w:r>
      </w:hyperlink>
      <w:r>
        <w:t xml:space="preserve">.</w:t>
      </w:r>
    </w:p>
    <w:bookmarkEnd w:id="167"/>
    <w:bookmarkStart w:id="169" w:name="ref-saraviaEcologicalNetworkAssembly2022"/>
    <w:p>
      <w:pPr>
        <w:pStyle w:val="Bibliography"/>
      </w:pPr>
      <w:r>
        <w:t xml:space="preserve">Saravia, Leonardo A., Tomás I Marina, Nadiah P. Kristensen, Marleen De Troch, and Fernando R. Momo. 2022.</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91 (3): 630–42.</w:t>
      </w:r>
      <w:r>
        <w:t xml:space="preserve"> </w:t>
      </w:r>
      <w:hyperlink r:id="rId168">
        <w:r>
          <w:rPr>
            <w:rStyle w:val="Hyperlink"/>
          </w:rPr>
          <w:t xml:space="preserve">https://doi.org/10.1111/1365-2656.13652</w:t>
        </w:r>
      </w:hyperlink>
      <w:r>
        <w:t xml:space="preserve">.</w:t>
      </w:r>
    </w:p>
    <w:bookmarkEnd w:id="169"/>
    <w:bookmarkStart w:id="17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70">
        <w:r>
          <w:rPr>
            <w:rStyle w:val="Hyperlink"/>
          </w:rPr>
          <w:t xml:space="preserve">https://doi.org/10.1101/2024.01.30.578036</w:t>
        </w:r>
      </w:hyperlink>
      <w:r>
        <w:t xml:space="preserve">.</w:t>
      </w:r>
    </w:p>
    <w:bookmarkEnd w:id="171"/>
    <w:bookmarkStart w:id="17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72">
        <w:r>
          <w:rPr>
            <w:rStyle w:val="Hyperlink"/>
          </w:rPr>
          <w:t xml:space="preserve">https://doi.org/10.1098/rspb.2007.0571</w:t>
        </w:r>
      </w:hyperlink>
      <w:r>
        <w:t xml:space="preserve">.</w:t>
      </w:r>
    </w:p>
    <w:bookmarkEnd w:id="173"/>
    <w:bookmarkStart w:id="17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74">
        <w:r>
          <w:rPr>
            <w:rStyle w:val="Hyperlink"/>
          </w:rPr>
          <w:t xml:space="preserve">https://doi.org/10.1111/2041-210X.13835</w:t>
        </w:r>
      </w:hyperlink>
      <w:r>
        <w:t xml:space="preserve">.</w:t>
      </w:r>
    </w:p>
    <w:bookmarkEnd w:id="175"/>
    <w:bookmarkStart w:id="17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76">
        <w:r>
          <w:rPr>
            <w:rStyle w:val="Hyperlink"/>
          </w:rPr>
          <w:t xml:space="preserve">https://doi.org/10.1111/2041-210X.14228</w:t>
        </w:r>
      </w:hyperlink>
      <w:r>
        <w:t xml:space="preserve">.</w:t>
      </w:r>
    </w:p>
    <w:bookmarkEnd w:id="177"/>
    <w:bookmarkStart w:id="17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78">
        <w:r>
          <w:rPr>
            <w:rStyle w:val="Hyperlink"/>
          </w:rPr>
          <w:t xml:space="preserve">https://doi.org/10.1098/rstb.2021.0063</w:t>
        </w:r>
      </w:hyperlink>
      <w:r>
        <w:t xml:space="preserve">.</w:t>
      </w:r>
    </w:p>
    <w:bookmarkEnd w:id="179"/>
    <w:bookmarkStart w:id="181"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180">
        <w:r>
          <w:rPr>
            <w:rStyle w:val="Hyperlink"/>
          </w:rPr>
          <w:t xml:space="preserve">https://doi.org/10.3389/fevo.2021.623141</w:t>
        </w:r>
      </w:hyperlink>
      <w:r>
        <w:t xml:space="preserve">.</w:t>
      </w:r>
    </w:p>
    <w:bookmarkEnd w:id="181"/>
    <w:bookmarkStart w:id="183"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82">
        <w:r>
          <w:rPr>
            <w:rStyle w:val="Hyperlink"/>
          </w:rPr>
          <w:t xml:space="preserve">https://doi.org/10.1007/978-94-011-0908-6_1</w:t>
        </w:r>
      </w:hyperlink>
      <w:r>
        <w:t xml:space="preserve">.</w:t>
      </w:r>
    </w:p>
    <w:bookmarkEnd w:id="183"/>
    <w:bookmarkStart w:id="185"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84">
        <w:r>
          <w:rPr>
            <w:rStyle w:val="Hyperlink"/>
          </w:rPr>
          <w:t xml:space="preserve">https://doi.org/10.1111/jbi.14734</w:t>
        </w:r>
      </w:hyperlink>
      <w:r>
        <w:t xml:space="preserve">.</w:t>
      </w:r>
    </w:p>
    <w:bookmarkEnd w:id="185"/>
    <w:bookmarkStart w:id="187"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86">
        <w:r>
          <w:rPr>
            <w:rStyle w:val="Hyperlink"/>
          </w:rPr>
          <w:t xml:space="preserve">https://www.ncbi.nlm.nih.gov/pubmed/19294932</w:t>
        </w:r>
      </w:hyperlink>
      <w:r>
        <w:t xml:space="preserve">.</w:t>
      </w:r>
    </w:p>
    <w:bookmarkEnd w:id="187"/>
    <w:bookmarkStart w:id="189"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88">
        <w:r>
          <w:rPr>
            <w:rStyle w:val="Hyperlink"/>
          </w:rPr>
          <w:t xml:space="preserve">https://doi.org/10.1038/35004572</w:t>
        </w:r>
      </w:hyperlink>
      <w:r>
        <w:t xml:space="preserve">.</w:t>
      </w:r>
    </w:p>
    <w:bookmarkEnd w:id="189"/>
    <w:bookmarkStart w:id="191"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90">
        <w:r>
          <w:rPr>
            <w:rStyle w:val="Hyperlink"/>
          </w:rPr>
          <w:t xml:space="preserve">https://doi.org/10.1111/j.1365-2656.2008.01362.x</w:t>
        </w:r>
      </w:hyperlink>
      <w:r>
        <w:t xml:space="preserve">.</w:t>
      </w:r>
    </w:p>
    <w:bookmarkEnd w:id="191"/>
    <w:bookmarkStart w:id="193"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92">
        <w:r>
          <w:rPr>
            <w:rStyle w:val="Hyperlink"/>
          </w:rPr>
          <w:t xml:space="preserve">https://doi.org/10.1038/s41598-017-05585-6</w:t>
        </w:r>
      </w:hyperlink>
      <w:r>
        <w:t xml:space="preserve">.</w:t>
      </w:r>
    </w:p>
    <w:bookmarkEnd w:id="193"/>
    <w:bookmarkEnd w:id="194"/>
    <w:bookmarkEnd w:id="1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34" Target="media/rId34.jpg" /><Relationship Type="http://schemas.openxmlformats.org/officeDocument/2006/relationships/image" Id="rId50" Target="media/rId50.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2" Target="https://BecksLab.github.io/ms_t_is_for_topology/notebooks/model_qualitative-preview.html#cell-fig-dendo" TargetMode="External" /><Relationship Type="http://schemas.openxmlformats.org/officeDocument/2006/relationships/hyperlink" Id="rId48" Target="https://BecksLab.github.io/ms_t_is_for_topology/notebooks/model_quantitative-preview.html#cell-fig-topology" TargetMode="External" /><Relationship Type="http://schemas.openxmlformats.org/officeDocument/2006/relationships/hyperlink" Id="rId150" Target="https://doi.org/10" TargetMode="External" /><Relationship Type="http://schemas.openxmlformats.org/officeDocument/2006/relationships/hyperlink" Id="rId182" Target="https://doi.org/10.1007/978-94-011-0908-6_1" TargetMode="External" /><Relationship Type="http://schemas.openxmlformats.org/officeDocument/2006/relationships/hyperlink" Id="rId130" Target="https://doi.org/10.1016/0005-2795(75)90109-9" TargetMode="External" /><Relationship Type="http://schemas.openxmlformats.org/officeDocument/2006/relationships/hyperlink" Id="rId67" Target="https://doi.org/10.1016/S2666-5247(21)00245-7" TargetMode="External" /><Relationship Type="http://schemas.openxmlformats.org/officeDocument/2006/relationships/hyperlink" Id="rId142" Target="https://doi.org/10.1016/j.ecoinf.2014.08.005" TargetMode="External" /><Relationship Type="http://schemas.openxmlformats.org/officeDocument/2006/relationships/hyperlink" Id="rId118" Target="https://doi.org/10.1016/j.fooweb.2015.09.001" TargetMode="External" /><Relationship Type="http://schemas.openxmlformats.org/officeDocument/2006/relationships/hyperlink" Id="rId138" Target="https://doi.org/10.1016/j.jtbi.2011.03.019" TargetMode="External" /><Relationship Type="http://schemas.openxmlformats.org/officeDocument/2006/relationships/hyperlink" Id="rId112" Target="https://doi.org/10.1016/j.spasta.2012.02.004" TargetMode="External" /><Relationship Type="http://schemas.openxmlformats.org/officeDocument/2006/relationships/hyperlink" Id="rId164" Target="https://doi.org/10.1016/j.tree.2005.04.004" TargetMode="External" /><Relationship Type="http://schemas.openxmlformats.org/officeDocument/2006/relationships/hyperlink" Id="rId132" Target="https://doi.org/10.1016/j.tree.2015.03.014" TargetMode="External" /><Relationship Type="http://schemas.openxmlformats.org/officeDocument/2006/relationships/hyperlink" Id="rId188" Target="https://doi.org/10.1038/35004572" TargetMode="External" /><Relationship Type="http://schemas.openxmlformats.org/officeDocument/2006/relationships/hyperlink" Id="rId85" Target="https://doi.org/10.1038/nature02327" TargetMode="External" /><Relationship Type="http://schemas.openxmlformats.org/officeDocument/2006/relationships/hyperlink" Id="rId192" Target="https://doi.org/10.1038/s41598-017-05585-6" TargetMode="External" /><Relationship Type="http://schemas.openxmlformats.org/officeDocument/2006/relationships/hyperlink" Id="rId75" Target="https://doi.org/10.1038/s42003-023-05622-3" TargetMode="External" /><Relationship Type="http://schemas.openxmlformats.org/officeDocument/2006/relationships/hyperlink" Id="rId69" Target="https://doi.org/10.1073/pnas.0603039103" TargetMode="External" /><Relationship Type="http://schemas.openxmlformats.org/officeDocument/2006/relationships/hyperlink" Id="rId136" Target="https://doi.org/10.1073/pnas.0710672105" TargetMode="External" /><Relationship Type="http://schemas.openxmlformats.org/officeDocument/2006/relationships/hyperlink" Id="rId71" Target="https://doi.org/10.1073/pnas.0800967105" TargetMode="External" /><Relationship Type="http://schemas.openxmlformats.org/officeDocument/2006/relationships/hyperlink" Id="rId65" Target="https://doi.org/10.1073/pnas.1633576100" TargetMode="External" /><Relationship Type="http://schemas.openxmlformats.org/officeDocument/2006/relationships/hyperlink" Id="rId89" Target="https://doi.org/10.1073/pnas.74.10.4533" TargetMode="External" /><Relationship Type="http://schemas.openxmlformats.org/officeDocument/2006/relationships/hyperlink" Id="rId166" Target="https://doi.org/10.1086/653667" TargetMode="External" /><Relationship Type="http://schemas.openxmlformats.org/officeDocument/2006/relationships/hyperlink" Id="rId92" Target="https://doi.org/10.1098/rspb.1985.0042" TargetMode="External" /><Relationship Type="http://schemas.openxmlformats.org/officeDocument/2006/relationships/hyperlink" Id="rId172" Target="https://doi.org/10.1098/rspb.2007.0571" TargetMode="External" /><Relationship Type="http://schemas.openxmlformats.org/officeDocument/2006/relationships/hyperlink" Id="rId110" Target="https://doi.org/10.1098/rspb.2020.1889" TargetMode="External" /><Relationship Type="http://schemas.openxmlformats.org/officeDocument/2006/relationships/hyperlink" Id="rId178" Target="https://doi.org/10.1098/rstb.2021.0063" TargetMode="External" /><Relationship Type="http://schemas.openxmlformats.org/officeDocument/2006/relationships/hyperlink" Id="rId170" Target="https://doi.org/10.1101/2024.01.30.578036" TargetMode="External" /><Relationship Type="http://schemas.openxmlformats.org/officeDocument/2006/relationships/hyperlink" Id="rId122" Target="https://doi.org/10.1111/1365-2435.12763" TargetMode="External" /><Relationship Type="http://schemas.openxmlformats.org/officeDocument/2006/relationships/hyperlink" Id="rId168" Target="https://doi.org/10.1111/1365-2656.13652" TargetMode="External" /><Relationship Type="http://schemas.openxmlformats.org/officeDocument/2006/relationships/hyperlink" Id="rId107" Target="https://doi.org/10.1111/2041-210X.12062" TargetMode="External" /><Relationship Type="http://schemas.openxmlformats.org/officeDocument/2006/relationships/hyperlink" Id="rId116" Target="https://doi.org/10.1111/2041-210X.12103" TargetMode="External" /><Relationship Type="http://schemas.openxmlformats.org/officeDocument/2006/relationships/hyperlink" Id="rId158" Target="https://doi.org/10.1111/2041-210X.13125" TargetMode="External" /><Relationship Type="http://schemas.openxmlformats.org/officeDocument/2006/relationships/hyperlink" Id="rId87" Target="https://doi.org/10.1111/2041-210X.13180" TargetMode="External" /><Relationship Type="http://schemas.openxmlformats.org/officeDocument/2006/relationships/hyperlink" Id="rId140" Target="https://doi.org/10.1111/2041-210X.13329" TargetMode="External" /><Relationship Type="http://schemas.openxmlformats.org/officeDocument/2006/relationships/hyperlink" Id="rId174" Target="https://doi.org/10.1111/2041-210X.13835" TargetMode="External" /><Relationship Type="http://schemas.openxmlformats.org/officeDocument/2006/relationships/hyperlink" Id="rId144" Target="https://doi.org/10.1111/2041-210X.14071" TargetMode="External" /><Relationship Type="http://schemas.openxmlformats.org/officeDocument/2006/relationships/hyperlink" Id="rId176" Target="https://doi.org/10.1111/2041-210X.14228" TargetMode="External" /><Relationship Type="http://schemas.openxmlformats.org/officeDocument/2006/relationships/hyperlink" Id="rId100" Target="https://doi.org/10.1111/brv.12433" TargetMode="External" /><Relationship Type="http://schemas.openxmlformats.org/officeDocument/2006/relationships/hyperlink" Id="rId146" Target="https://doi.org/10.1111/ecog.00976" TargetMode="External" /><Relationship Type="http://schemas.openxmlformats.org/officeDocument/2006/relationships/hyperlink" Id="rId152" Target="https://doi.org/10.1111/ecog.01941" TargetMode="External" /><Relationship Type="http://schemas.openxmlformats.org/officeDocument/2006/relationships/hyperlink" Id="rId126" Target="https://doi.org/10.1111/ecog.06619" TargetMode="External" /><Relationship Type="http://schemas.openxmlformats.org/officeDocument/2006/relationships/hyperlink" Id="rId134" Target="https://doi.org/10.1111/ele.13143" TargetMode="External" /><Relationship Type="http://schemas.openxmlformats.org/officeDocument/2006/relationships/hyperlink" Id="rId77" Target="https://doi.org/10.1111/ele.13525" TargetMode="External" /><Relationship Type="http://schemas.openxmlformats.org/officeDocument/2006/relationships/hyperlink" Id="rId83" Target="https://doi.org/10.1111/ele.13966" TargetMode="External" /><Relationship Type="http://schemas.openxmlformats.org/officeDocument/2006/relationships/hyperlink" Id="rId128" Target="https://doi.org/10.1111/geb.13138" TargetMode="External" /><Relationship Type="http://schemas.openxmlformats.org/officeDocument/2006/relationships/hyperlink" Id="rId73" Target="https://doi.org/10.1111/j.0021-8790.2004.00833.x" TargetMode="External" /><Relationship Type="http://schemas.openxmlformats.org/officeDocument/2006/relationships/hyperlink" Id="rId190" Target="https://doi.org/10.1111/j.1365-2656.2008.01362.x" TargetMode="External" /><Relationship Type="http://schemas.openxmlformats.org/officeDocument/2006/relationships/hyperlink" Id="rId114" Target="https://doi.org/10.1111/j.1461-0248.2005.00868.x" TargetMode="External" /><Relationship Type="http://schemas.openxmlformats.org/officeDocument/2006/relationships/hyperlink" Id="rId148" Target="https://doi.org/10.1111/jbi.14127" TargetMode="External" /><Relationship Type="http://schemas.openxmlformats.org/officeDocument/2006/relationships/hyperlink" Id="rId184" Target="https://doi.org/10.1111/jbi.14734" TargetMode="External" /><Relationship Type="http://schemas.openxmlformats.org/officeDocument/2006/relationships/hyperlink" Id="rId154" Target="https://doi.org/10.1111/oik.01719" TargetMode="External" /><Relationship Type="http://schemas.openxmlformats.org/officeDocument/2006/relationships/hyperlink" Id="rId61" Target="https://doi.org/10.1126/science.1156269" TargetMode="External" /><Relationship Type="http://schemas.openxmlformats.org/officeDocument/2006/relationships/hyperlink" Id="rId162" Target="https://doi.org/10.1146/annurev-ecolsys-110218-024908" TargetMode="External" /><Relationship Type="http://schemas.openxmlformats.org/officeDocument/2006/relationships/hyperlink" Id="rId79" Target="https://doi.org/10.13140/RG.2.2.22076.65927" TargetMode="External" /><Relationship Type="http://schemas.openxmlformats.org/officeDocument/2006/relationships/hyperlink" Id="rId105" Target="https://doi.org/10.1371/journal.pbio.0060102" TargetMode="External" /><Relationship Type="http://schemas.openxmlformats.org/officeDocument/2006/relationships/hyperlink" Id="rId120" Target="https://doi.org/10.1371/journal.pbio.1002559" TargetMode="External" /><Relationship Type="http://schemas.openxmlformats.org/officeDocument/2006/relationships/hyperlink" Id="rId81" Target="https://doi.org/10.1371/journal.pbio.3002068" TargetMode="External" /><Relationship Type="http://schemas.openxmlformats.org/officeDocument/2006/relationships/hyperlink" Id="rId63" Target="https://doi.org/10.1371/journal.pcbi.1011458" TargetMode="External" /><Relationship Type="http://schemas.openxmlformats.org/officeDocument/2006/relationships/hyperlink" Id="rId160" Target="https://doi.org/10.1515/9780691195322-020" TargetMode="External" /><Relationship Type="http://schemas.openxmlformats.org/officeDocument/2006/relationships/hyperlink" Id="rId124" Target="https://doi.org/10.2307/1930126" TargetMode="External" /><Relationship Type="http://schemas.openxmlformats.org/officeDocument/2006/relationships/hyperlink" Id="rId98" Target="https://doi.org/10.2307/1936298" TargetMode="External" /><Relationship Type="http://schemas.openxmlformats.org/officeDocument/2006/relationships/hyperlink" Id="rId180" Target="https://doi.org/10.3389/fevo.2021.623141" TargetMode="External" /><Relationship Type="http://schemas.openxmlformats.org/officeDocument/2006/relationships/hyperlink" Id="rId102" Target="https://doi.org/10.7717/peerj.3644" TargetMode="External" /><Relationship Type="http://schemas.openxmlformats.org/officeDocument/2006/relationships/hyperlink" Id="rId94" Target="https://www.jstor.org/stable/27896212" TargetMode="External" /><Relationship Type="http://schemas.openxmlformats.org/officeDocument/2006/relationships/hyperlink" Id="rId156" Target="https://www.jstor.org/stable/48582345" TargetMode="External" /><Relationship Type="http://schemas.openxmlformats.org/officeDocument/2006/relationships/hyperlink" Id="rId186"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2024-05-02T15:14:24Z</dcterms:created>
  <dcterms:modified xsi:type="dcterms:W3CDTF">2024-05-02T15:14:24Z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2024-05-02</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