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2024-06-04</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Cs/>
          <w:i/>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 (</w:t>
      </w:r>
      <w:hyperlink w:anchor="sec-network-anatomy">
        <w:r>
          <w:rPr>
            <w:rStyle w:val="Hyperlink"/>
          </w:rPr>
          <w:t xml:space="preserve">Section 1</w:t>
        </w:r>
      </w:hyperlink>
      <w:r>
        <w:t xml:space="preserve">), a clear understanding of why one wants to predict a food web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Cs/>
          <w:i/>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Cs/>
          <w:i/>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w:t>
      </w:r>
      <w:r>
        <w:t xml:space="preserve"> </w:t>
      </w:r>
      <w:r>
        <w:rPr>
          <w:iCs/>
          <w:i/>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Cs/>
          <w:i/>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29"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Cs/>
          <w:i/>
        </w:rPr>
        <w:t xml:space="preserve">e.g.,</w:t>
      </w:r>
      <w:r>
        <w:t xml:space="preserve"> </w:t>
      </w:r>
      <w:r>
        <w:t xml:space="preserve">stability), and potentially the function of communities (</w:t>
      </w:r>
      <w:r>
        <w:rPr>
          <w:iCs/>
          <w:i/>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Cs/>
                <w:i/>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Cs/>
                <w:i/>
              </w:rPr>
              <w:t xml:space="preserve">i.e.,</w:t>
            </w:r>
            <w:r>
              <w:t xml:space="preserve"> </w:t>
            </w:r>
            <w:r>
              <w:t xml:space="preserve">the realisation of the interactions)</w:t>
            </w:r>
            <w:r>
              <w:t xml:space="preserve"> </w:t>
            </w:r>
            <w:r>
              <w:rPr>
                <w:iCs/>
                <w:i/>
              </w:rPr>
              <w:t xml:space="preserve">might</w:t>
            </w:r>
            <w:r>
              <w:t xml:space="preserve"> </w:t>
            </w:r>
            <w:r>
              <w:t xml:space="preserve">as well be (also probably even more relevant if one thinks about/works with trophic species…)</w:t>
            </w:r>
          </w:p>
          <w:p>
            <w:pPr>
              <w:pStyle w:val="BodyText"/>
            </w:pPr>
            <w:r>
              <w:rPr>
                <w:bCs/>
                <w:b/>
              </w:rPr>
              <w:t xml:space="preserve">Proximity</w:t>
            </w:r>
          </w:p>
          <w:p>
            <w:pPr>
              <w:pStyle w:val="BodyText"/>
            </w:pPr>
            <w:r>
              <w:t xml:space="preserve">We are co-occurring in space and in time and thus we can interact</w:t>
            </w:r>
            <w:r>
              <w:t xml:space="preserve"> </w:t>
            </w:r>
            <w:r>
              <w:t xml:space="preserve">[27]</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[28]</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Cs/>
          <w:i/>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[29,30]</w:t>
      </w:r>
      <w:r>
        <w:t xml:space="preserve">, using pairwise interactions to understand species distributions</w:t>
      </w:r>
      <w:r>
        <w:t xml:space="preserve"> </w:t>
      </w:r>
      <w:r>
        <w:t xml:space="preserve">[31]</w:t>
      </w:r>
      <w:r>
        <w:t xml:space="preserve"> </w:t>
      </w:r>
      <w:r>
        <w:t xml:space="preserve">or even co-extinction risk</w:t>
      </w:r>
      <w:r>
        <w:t xml:space="preserve"> </w:t>
      </w:r>
      <w:r>
        <w:t xml:space="preserve">[32]</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Cs/>
          <w:b/>
        </w:rPr>
        <w:t xml:space="preserve">topology generators</w:t>
      </w:r>
      <w:r>
        <w:t xml:space="preserve"> </w:t>
      </w:r>
      <w:r>
        <w:t xml:space="preserve">and models developed to infer the interactions for a given species pool as</w:t>
      </w:r>
      <w:r>
        <w:t xml:space="preserve"> </w:t>
      </w:r>
      <w:r>
        <w:rPr>
          <w:bCs/>
          <w:b/>
        </w:rPr>
        <w:t xml:space="preserve">interaction predictors</w:t>
      </w:r>
      <w:r>
        <w:t xml:space="preserve">. It is meaningful to make this distinction because although it is possible to construct a food web given using an</w:t>
      </w:r>
      <w:r>
        <w:t xml:space="preserve"> </w:t>
      </w:r>
      <w:r>
        <w:rPr>
          <w:iCs/>
          <w:i/>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[33]</w:t>
      </w:r>
      <w:r>
        <w:t xml:space="preserve">. This is primarily because</w:t>
      </w:r>
      <w:r>
        <w:t xml:space="preserve"> </w:t>
      </w:r>
      <w:r>
        <w:rPr>
          <w:iCs/>
          <w:i/>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[39]</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[40]</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[41]</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numPr>
          <w:ilvl w:val="1"/>
          <w:numId w:val="1003"/>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4"/>
        </w:numPr>
        <w:pStyle w:val="Compact"/>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[20,42]</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[42]</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[43]</w:t>
      </w:r>
      <w:r>
        <w:t xml:space="preserve"> </w:t>
      </w:r>
      <w:r>
        <w:t xml:space="preserve">but maybe not exactly in this context but vaguely adjacent.</w:t>
      </w:r>
    </w:p>
    <w:p>
      <w:pPr>
        <w:numPr>
          <w:ilvl w:val="1"/>
          <w:numId w:val="1007"/>
        </w:numPr>
        <w:pStyle w:val="Compact"/>
      </w:pPr>
      <w:r>
        <w:t xml:space="preserve">I think this is sort of the crux of the argument presented in</w:t>
      </w:r>
      <w:r>
        <w:t xml:space="preserve"> </w:t>
      </w:r>
      <w:r>
        <w:t xml:space="preserve">[44]</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[40]</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[45]</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p>
      <w:pPr>
        <w:numPr>
          <w:ilvl w:val="0"/>
          <w:numId w:val="1008"/>
        </w:numPr>
      </w:pPr>
      <w:r>
        <w:t xml:space="preserve">Do we expect there to be differences when thinking about unipartite vs bipartite networks? Is there underlying ecology/theory that would assume that different mechanisms (and thus models) are relevant in these two</w:t>
      </w:r>
      <w:r>
        <w:t xml:space="preserve"> </w:t>
      </w:r>
      <w:r>
        <w:t xml:space="preserve">‘</w:t>
      </w:r>
      <w:r>
        <w:t xml:space="preserve">systems</w:t>
      </w:r>
      <w:r>
        <w:t xml:space="preserve">’</w:t>
      </w:r>
      <w:r>
        <w:t xml:space="preserve">.</w:t>
      </w:r>
    </w:p>
    <w:p>
      <w:pPr>
        <w:numPr>
          <w:ilvl w:val="1"/>
          <w:numId w:val="1010"/>
        </w:numPr>
        <w:pStyle w:val="Compact"/>
      </w:pPr>
      <w:r>
        <w:t xml:space="preserve">The</w:t>
      </w:r>
      <w:r>
        <w:t xml:space="preserve"> </w:t>
      </w:r>
      <w:r>
        <w:t xml:space="preserve">[46]</w:t>
      </w:r>
      <w:r>
        <w:t xml:space="preserve"> </w:t>
      </w:r>
      <w:r>
        <w:t xml:space="preserve">looks at some methods but is specifically looking at a bipartite world…</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1"/>
        </w:numPr>
      </w:pPr>
      <w:r>
        <w:t xml:space="preserve">[47]</w:t>
      </w:r>
    </w:p>
    <w:p>
      <w:pPr>
        <w:numPr>
          <w:ilvl w:val="0"/>
          <w:numId w:val="1011"/>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[48]</w:t>
      </w:r>
      <w:r>
        <w:t xml:space="preserve"> </w:t>
      </w:r>
      <w:r>
        <w:t xml:space="preserve">and that we should also start thinking about the interplay of time and space</w:t>
      </w:r>
      <w:r>
        <w:t xml:space="preserve"> </w:t>
      </w:r>
      <w:r>
        <w:t xml:space="preserve">[49]</w:t>
      </w:r>
      <w:r>
        <w:t xml:space="preserve">. Although deciding exactly what measure might actually be driving differences between local networks and the regional metaweb might not be that simple</w:t>
      </w:r>
      <w:r>
        <w:t xml:space="preserve"> </w:t>
      </w:r>
      <w:r>
        <w:t xml:space="preserve">[50]</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2"/>
        </w:numPr>
      </w:pPr>
      <w:r>
        <w:t xml:space="preserve">non-consumptive effects</w:t>
      </w:r>
    </w:p>
    <w:p>
      <w:pPr>
        <w:numPr>
          <w:ilvl w:val="0"/>
          <w:numId w:val="1012"/>
        </w:numPr>
      </w:pPr>
      <w:r>
        <w:t xml:space="preserve">can we develop a model that is both a topology generator as well as an interaction predictor?</w:t>
      </w:r>
    </w:p>
    <w:p>
      <w:pPr>
        <w:numPr>
          <w:ilvl w:val="0"/>
          <w:numId w:val="1012"/>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8" w:name="references"/>
    <w:p>
      <w:pPr>
        <w:pStyle w:val="Heading2"/>
      </w:pPr>
      <w:r>
        <w:t xml:space="preserve">References</w:t>
      </w:r>
    </w:p>
    <w:bookmarkStart w:id="147"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Cs/>
          <w:i/>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Cs/>
          <w:i/>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4"/>
    <w:bookmarkStart w:id="86" w:name="ref-williamsSimpleRulesYield2000"/>
    <w:p>
      <w:pPr>
        <w:pStyle w:val="Bibliography"/>
      </w:pPr>
      <w:r>
        <w:t xml:space="preserve">18.</w:t>
      </w:r>
      <w:r>
        <w:t xml:space="preserve"> </w:t>
      </w:r>
      <w:r>
        <w:t xml:space="preserve">	</w:t>
      </w:r>
      <w:r>
        <w:t xml:space="preserve">Williams, R.J. and Martinez, N.D. (2000)</w:t>
      </w:r>
      <w:r>
        <w:t xml:space="preserve"> </w:t>
      </w:r>
      <w:hyperlink r:id="rId85">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86"/>
    <w:bookmarkStart w:id="88" w:name="X1e400912f73fb757a731e54197f38b81e74f066"/>
    <w:p>
      <w:pPr>
        <w:pStyle w:val="Bibliography"/>
      </w:pPr>
      <w:r>
        <w:t xml:space="preserve">19.</w:t>
      </w:r>
      <w:r>
        <w:t xml:space="preserve"> </w:t>
      </w:r>
      <w:r>
        <w:t xml:space="preserve">	</w:t>
      </w:r>
      <w:r>
        <w:t xml:space="preserve">Clegg, T.</w:t>
      </w:r>
      <w:r>
        <w:t xml:space="preserve"> </w:t>
      </w:r>
      <w:r>
        <w:rPr>
          <w:iCs/>
          <w:i/>
        </w:rPr>
        <w:t xml:space="preserve">et al.</w:t>
      </w:r>
      <w:r>
        <w:t xml:space="preserve"> </w:t>
      </w:r>
      <w:r>
        <w:t xml:space="preserve">(2018)</w:t>
      </w:r>
      <w:r>
        <w:t xml:space="preserve"> </w:t>
      </w:r>
      <w:hyperlink r:id="rId87">
        <w:r>
          <w:rPr>
            <w:rStyle w:val="Hyperlink"/>
          </w:rPr>
          <w:t xml:space="preserve">The impact of intraspecific variation on food web structure</w:t>
        </w:r>
      </w:hyperlink>
      <w:r>
        <w:t xml:space="preserve">.</w:t>
      </w:r>
      <w:r>
        <w:t xml:space="preserve"> </w:t>
      </w:r>
      <w:r>
        <w:rPr>
          <w:iCs/>
          <w:i/>
        </w:rPr>
        <w:t xml:space="preserve">Ecology</w:t>
      </w:r>
      <w:r>
        <w:t xml:space="preserve"> </w:t>
      </w:r>
      <w:r>
        <w:t xml:space="preserve">99, 2712–2720</w:t>
      </w:r>
    </w:p>
    <w:bookmarkEnd w:id="88"/>
    <w:bookmarkStart w:id="90" w:name="ref-pringleUntanglingFoodWebs2020"/>
    <w:p>
      <w:pPr>
        <w:pStyle w:val="Bibliography"/>
      </w:pPr>
      <w:r>
        <w:t xml:space="preserve">20.</w:t>
      </w:r>
      <w:r>
        <w:t xml:space="preserve"> </w:t>
      </w:r>
      <w:r>
        <w:t xml:space="preserve">	</w:t>
      </w:r>
      <w:r>
        <w:t xml:space="preserve">Pringle, R.M. (2020)</w:t>
      </w:r>
      <w:r>
        <w:t xml:space="preserve"> </w:t>
      </w:r>
      <w:hyperlink r:id="rId8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90"/>
    <w:bookmarkStart w:id="91"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91"/>
    <w:bookmarkStart w:id="93" w:name="Xe227781537312aad81566d289906b7942bbcf13"/>
    <w:p>
      <w:pPr>
        <w:pStyle w:val="Bibliography"/>
      </w:pPr>
      <w:r>
        <w:t xml:space="preserve">22.</w:t>
      </w:r>
      <w:r>
        <w:t xml:space="preserve"> </w:t>
      </w:r>
      <w:r>
        <w:t xml:space="preserve">	</w:t>
      </w:r>
      <w:r>
        <w:t xml:space="preserve">Lindeman, R.L. (1942)</w:t>
      </w:r>
      <w:r>
        <w:t xml:space="preserve"> </w:t>
      </w:r>
      <w:hyperlink r:id="rId9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93"/>
    <w:bookmarkStart w:id="95" w:name="Xaad5d089781464e09d30bec824bd68c468804d7"/>
    <w:p>
      <w:pPr>
        <w:pStyle w:val="Bibliography"/>
      </w:pPr>
      <w:r>
        <w:t xml:space="preserve">23.</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4">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95"/>
    <w:bookmarkStart w:id="97" w:name="ref-berlowInteractionStrengthsFood2004"/>
    <w:p>
      <w:pPr>
        <w:pStyle w:val="Bibliography"/>
      </w:pPr>
      <w:r>
        <w:t xml:space="preserve">24.</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6">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7"/>
    <w:bookmarkStart w:id="99" w:name="ref-proulxNetworkThinkingEcology2005"/>
    <w:p>
      <w:pPr>
        <w:pStyle w:val="Bibliography"/>
      </w:pPr>
      <w:r>
        <w:t xml:space="preserve">25.</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8">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9"/>
    <w:bookmarkStart w:id="101" w:name="X539896ce86e228708f5963ceeaf0e82711f0c07"/>
    <w:p>
      <w:pPr>
        <w:pStyle w:val="Bibliography"/>
      </w:pPr>
      <w:r>
        <w:t xml:space="preserve">26.</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100">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101"/>
    <w:bookmarkStart w:id="103" w:name="ref-barberanUsingNetworkAnalysis2012"/>
    <w:p>
      <w:pPr>
        <w:pStyle w:val="Bibliography"/>
      </w:pPr>
      <w:r>
        <w:t xml:space="preserve">27.</w:t>
      </w:r>
      <w:r>
        <w:t xml:space="preserve"> </w:t>
      </w:r>
      <w:r>
        <w:t xml:space="preserve">	</w:t>
      </w:r>
      <w:r>
        <w:t xml:space="preserve">Barberán, A.</w:t>
      </w:r>
      <w:r>
        <w:t xml:space="preserve"> </w:t>
      </w:r>
      <w:r>
        <w:rPr>
          <w:iCs/>
          <w:i/>
        </w:rPr>
        <w:t xml:space="preserve">et al.</w:t>
      </w:r>
      <w:r>
        <w:t xml:space="preserve"> </w:t>
      </w:r>
      <w:r>
        <w:t xml:space="preserve">(2012)</w:t>
      </w:r>
      <w:r>
        <w:t xml:space="preserve"> </w:t>
      </w:r>
      <w:hyperlink r:id="rId102">
        <w:r>
          <w:rPr>
            <w:rStyle w:val="Hyperlink"/>
          </w:rPr>
          <w:t xml:space="preserve">Using network analysis to explore co-occurrence patterns in soil microbial communities</w:t>
        </w:r>
      </w:hyperlink>
      <w:r>
        <w:t xml:space="preserve">.</w:t>
      </w:r>
      <w:r>
        <w:t xml:space="preserve"> </w:t>
      </w:r>
      <w:r>
        <w:rPr>
          <w:iCs/>
          <w:i/>
        </w:rPr>
        <w:t xml:space="preserve">The ISME Journal</w:t>
      </w:r>
      <w:r>
        <w:t xml:space="preserve"> </w:t>
      </w:r>
      <w:r>
        <w:t xml:space="preserve">6, 343–351</w:t>
      </w:r>
    </w:p>
    <w:bookmarkEnd w:id="103"/>
    <w:bookmarkStart w:id="105" w:name="ref-hubbellUnifiedNeutralTheory2001"/>
    <w:p>
      <w:pPr>
        <w:pStyle w:val="Bibliography"/>
      </w:pPr>
      <w:r>
        <w:t xml:space="preserve">28.</w:t>
      </w:r>
      <w:r>
        <w:t xml:space="preserve"> </w:t>
      </w:r>
      <w:r>
        <w:t xml:space="preserve">	</w:t>
      </w:r>
      <w:r>
        <w:t xml:space="preserve">Hubbell, S.P. (2001)</w:t>
      </w:r>
      <w:r>
        <w:t xml:space="preserve"> </w:t>
      </w:r>
      <w:hyperlink r:id="rId104">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105"/>
    <w:bookmarkStart w:id="107" w:name="ref-dunneCompilationNetworkAnalyses2008"/>
    <w:p>
      <w:pPr>
        <w:pStyle w:val="Bibliography"/>
      </w:pPr>
      <w:r>
        <w:t xml:space="preserve">29.</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0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07"/>
    <w:bookmarkStart w:id="109" w:name="ref-yeakelCollapseEcologicalNetwork2014"/>
    <w:p>
      <w:pPr>
        <w:pStyle w:val="Bibliography"/>
      </w:pPr>
      <w:r>
        <w:t xml:space="preserve">30.</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9"/>
    <w:bookmarkStart w:id="111" w:name="X8f3d1de04516835fd1376e2647a281b763af4fc"/>
    <w:p>
      <w:pPr>
        <w:pStyle w:val="Bibliography"/>
      </w:pPr>
      <w:r>
        <w:t xml:space="preserve">31.</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10">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11"/>
    <w:bookmarkStart w:id="113" w:name="ref-dunnSixthMassCoextinction2009"/>
    <w:p>
      <w:pPr>
        <w:pStyle w:val="Bibliography"/>
      </w:pPr>
      <w:r>
        <w:t xml:space="preserve">32.</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12">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13"/>
    <w:bookmarkStart w:id="115" w:name="ref-caronTraitmatchingModelsPredict2024"/>
    <w:p>
      <w:pPr>
        <w:pStyle w:val="Bibliography"/>
      </w:pPr>
      <w:r>
        <w:t xml:space="preserve">33.</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14">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24"/>
    <w:bookmarkStart w:id="126" w:name="ref-allesinaGeneralModelFood2008"/>
    <w:p>
      <w:pPr>
        <w:pStyle w:val="Bibliography"/>
      </w:pPr>
      <w:r>
        <w:t xml:space="preserve">39.</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2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6"/>
    <w:bookmarkStart w:id="128" w:name="X023758d2a089016cd8f0c9d2421079cf7d062ff"/>
    <w:p>
      <w:pPr>
        <w:pStyle w:val="Bibliography"/>
      </w:pPr>
      <w:r>
        <w:t xml:space="preserve">40.</w:t>
      </w:r>
      <w:r>
        <w:t xml:space="preserve"> </w:t>
      </w:r>
      <w:r>
        <w:t xml:space="preserve">	</w:t>
      </w:r>
      <w:r>
        <w:t xml:space="preserve">Poisot, T. (2023)</w:t>
      </w:r>
      <w:r>
        <w:t xml:space="preserve"> </w:t>
      </w:r>
      <w:hyperlink r:id="rId127">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8"/>
    <w:bookmarkStart w:id="130" w:name="ref-stoufferEvidenceExistenceRobust2007"/>
    <w:p>
      <w:pPr>
        <w:pStyle w:val="Bibliography"/>
      </w:pPr>
      <w:r>
        <w:t xml:space="preserve">41.</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9">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30"/>
    <w:bookmarkStart w:id="132" w:name="ref-pringleResolvingFoodWebStructure2020"/>
    <w:p>
      <w:pPr>
        <w:pStyle w:val="Bibliography"/>
      </w:pPr>
      <w:r>
        <w:t xml:space="preserve">42.</w:t>
      </w:r>
      <w:r>
        <w:t xml:space="preserve"> </w:t>
      </w:r>
      <w:r>
        <w:t xml:space="preserve">	</w:t>
      </w:r>
      <w:r>
        <w:t xml:space="preserve">Pringle, R.M. and Hutchinson, M.C. (2020)</w:t>
      </w:r>
      <w:r>
        <w:t xml:space="preserve"> </w:t>
      </w:r>
      <w:hyperlink r:id="rId13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32"/>
    <w:bookmarkStart w:id="134" w:name="ref-berlowGoldilocksFactorFood2008"/>
    <w:p>
      <w:pPr>
        <w:pStyle w:val="Bibliography"/>
      </w:pPr>
      <w:r>
        <w:t xml:space="preserve">43.</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3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4"/>
    <w:bookmarkStart w:id="136" w:name="ref-brimacombeApplyingMethodIts2024"/>
    <w:p>
      <w:pPr>
        <w:pStyle w:val="Bibliography"/>
      </w:pPr>
      <w:r>
        <w:t xml:space="preserve">44.</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6"/>
    <w:bookmarkStart w:id="138" w:name="ref-beckerOptimisingPredictiveModels2022"/>
    <w:p>
      <w:pPr>
        <w:pStyle w:val="Bibliography"/>
      </w:pPr>
      <w:r>
        <w:t xml:space="preserve">45.</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7">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8"/>
    <w:bookmarkStart w:id="140" w:name="ref-terryFindingMissingLinks2020"/>
    <w:p>
      <w:pPr>
        <w:pStyle w:val="Bibliography"/>
      </w:pPr>
      <w:r>
        <w:t xml:space="preserve">46.</w:t>
      </w:r>
      <w:r>
        <w:t xml:space="preserve"> </w:t>
      </w:r>
      <w:r>
        <w:t xml:space="preserve">	</w:t>
      </w:r>
      <w:r>
        <w:t xml:space="preserve">Terry, J.C.D. and Lewis, O.T. (2020)</w:t>
      </w:r>
      <w:r>
        <w:t xml:space="preserve"> </w:t>
      </w:r>
      <w:hyperlink r:id="rId139">
        <w:r>
          <w:rPr>
            <w:rStyle w:val="Hyperlink"/>
          </w:rPr>
          <w:t xml:space="preserve">Finding missing links in interaction networks</w:t>
        </w:r>
      </w:hyperlink>
      <w:r>
        <w:t xml:space="preserve">.</w:t>
      </w:r>
      <w:r>
        <w:t xml:space="preserve"> </w:t>
      </w:r>
      <w:r>
        <w:rPr>
          <w:iCs/>
          <w:i/>
        </w:rPr>
        <w:t xml:space="preserve">Ecology</w:t>
      </w:r>
      <w:r>
        <w:t xml:space="preserve"> </w:t>
      </w:r>
      <w:r>
        <w:t xml:space="preserve">101, e03047</w:t>
      </w:r>
    </w:p>
    <w:bookmarkEnd w:id="140"/>
    <w:bookmarkStart w:id="141" w:name="X1edd2253d2e7e8e6db9e7574240f432ddda2ce1"/>
    <w:p>
      <w:pPr>
        <w:pStyle w:val="Bibliography"/>
      </w:pPr>
      <w:r>
        <w:t xml:space="preserve">47.</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41"/>
    <w:bookmarkStart w:id="143" w:name="ref-fortinNetworkEcologyDynamic2021"/>
    <w:p>
      <w:pPr>
        <w:pStyle w:val="Bibliography"/>
      </w:pPr>
      <w:r>
        <w:t xml:space="preserve">48.</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42">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43"/>
    <w:bookmarkStart w:id="144" w:name="ref-estayEditorialPatternsProcesses2023"/>
    <w:p>
      <w:pPr>
        <w:pStyle w:val="Bibliography"/>
      </w:pPr>
      <w:r>
        <w:t xml:space="preserve">49.</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44"/>
    <w:bookmarkStart w:id="146" w:name="ref-saraviaEcologicalNetworkAssembly2022"/>
    <w:p>
      <w:pPr>
        <w:pStyle w:val="Bibliography"/>
      </w:pPr>
      <w:r>
        <w:t xml:space="preserve">50.</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45">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9" Target="https://doi.org/10.1002/ecy.3047"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2"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5"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9" Target="https://doi.org/10.1002/ecy.3047"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2"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5"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2024-06-04T13:23:03Z</dcterms:created>
  <dcterms:modified xsi:type="dcterms:W3CDTF">2024-06-04T13:23:03Z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2024-06-04</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