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2024-06-06</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10"/>
        </w:numPr>
        <w:pStyle w:val="Compact"/>
      </w:pPr>
      <w:r>
        <w:t xml:space="preserve">The</w:t>
      </w:r>
      <w:r>
        <w:t xml:space="preserve"> </w:t>
      </w:r>
      <w:r>
        <w:t xml:space="preserve">[46]</w:t>
      </w:r>
      <w:r>
        <w:t xml:space="preserve"> </w:t>
      </w:r>
      <w:r>
        <w:t xml:space="preserve">paper 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[47]</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[48]</w:t>
      </w:r>
      <w:r>
        <w:t xml:space="preserve"> </w:t>
      </w:r>
      <w:r>
        <w:t xml:space="preserve">and that we should also start thinking about the interplay of time and space</w:t>
      </w:r>
      <w:r>
        <w:t xml:space="preserve"> </w:t>
      </w:r>
      <w:r>
        <w:t xml:space="preserve">[49]</w:t>
      </w:r>
      <w:r>
        <w:t xml:space="preserve">. Although deciding exactly what measure might actually be driving differences between local networks and the regional metaweb might not be that simple</w:t>
      </w:r>
      <w:r>
        <w:t xml:space="preserve"> </w:t>
      </w:r>
      <w:r>
        <w:t xml:space="preserve">[50]</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8" w:name="references"/>
    <w:p>
      <w:pPr>
        <w:pStyle w:val="Heading2"/>
      </w:pPr>
      <w:r>
        <w:t xml:space="preserve">References</w:t>
      </w:r>
    </w:p>
    <w:bookmarkStart w:id="147"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40" w:name="ref-terryFindingMissingLinks2020"/>
    <w:p>
      <w:pPr>
        <w:pStyle w:val="Bibliography"/>
      </w:pPr>
      <w:r>
        <w:t xml:space="preserve">46.</w:t>
      </w:r>
      <w:r>
        <w:t xml:space="preserve"> </w:t>
      </w:r>
      <w:r>
        <w:t xml:space="preserve">	</w:t>
      </w:r>
      <w:r>
        <w:t xml:space="preserve">Terry, J.C.D. and Lewis, O.T. (2020)</w:t>
      </w:r>
      <w:r>
        <w:t xml:space="preserve"> </w:t>
      </w:r>
      <w:hyperlink r:id="rId139">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40"/>
    <w:bookmarkStart w:id="141" w:name="X1edd2253d2e7e8e6db9e7574240f432ddda2ce1"/>
    <w:p>
      <w:pPr>
        <w:pStyle w:val="Bibliography"/>
      </w:pPr>
      <w:r>
        <w:t xml:space="preserve">47.</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41"/>
    <w:bookmarkStart w:id="143" w:name="ref-fortinNetworkEcologyDynamic2021"/>
    <w:p>
      <w:pPr>
        <w:pStyle w:val="Bibliography"/>
      </w:pPr>
      <w:r>
        <w:t xml:space="preserve">48.</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2">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3"/>
    <w:bookmarkStart w:id="144" w:name="ref-estayEditorialPatternsProcesses2023"/>
    <w:p>
      <w:pPr>
        <w:pStyle w:val="Bibliography"/>
      </w:pPr>
      <w:r>
        <w:t xml:space="preserve">49.</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4"/>
    <w:bookmarkStart w:id="146" w:name="ref-saraviaEcologicalNetworkAssembly2022"/>
    <w:p>
      <w:pPr>
        <w:pStyle w:val="Bibliography"/>
      </w:pPr>
      <w:r>
        <w:t xml:space="preserve">50.</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2024-06-07T09:56:23Z</dcterms:created>
  <dcterms:modified xsi:type="dcterms:W3CDTF">2024-06-07T09:56:23Z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2024-06-06</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