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Cs/>
          <w:b/>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4]</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pPr>
              <w:spacing w:after="16"/>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ofe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am I interested in predicting, and what data is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w:t>
      </w:r>
      <w:r>
        <w:rPr>
          <w:bCs/>
          <w:b/>
        </w:rPr>
        <w:t xml:space="preserve">topology generator</w:t>
      </w:r>
      <w:r>
        <w:t xml:space="preserve">) or the interactions for a given species pool (</w:t>
      </w:r>
      <w:r>
        <w:rPr>
          <w:bCs/>
          <w:b/>
        </w:rPr>
        <w:t xml:space="preserve">interaction predictor</w:t>
      </w:r>
      <w:r>
        <w:t xml:space="preserve">). To be clear, it is possible to construct a food web given a set of interaction, however, interaction predictors lack any sort of parametrisation of the network structure and so the resulting network is in itself a poor reflection of network structure</w:t>
      </w:r>
      <w:r>
        <w:t xml:space="preserve"> </w:t>
      </w:r>
      <w:r>
        <w:t xml:space="preserve">[24]</w:t>
      </w:r>
      <w:r>
        <w:t xml:space="preserve"> </w:t>
      </w:r>
      <w:r>
        <w:t xml:space="preserve">These models themselves are a reflection of the different goals and intentions of the research program from which they are developed.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trait hierarchy</w:t>
      </w:r>
      <w:r>
        <w:t xml:space="preserve"> </w:t>
      </w:r>
      <w:r>
        <w:t xml:space="preserve">[28]</w:t>
      </w:r>
      <w:r>
        <w:t xml:space="preserve">, and the log-ratio</w:t>
      </w:r>
      <w:r>
        <w:t xml:space="preserve"> </w:t>
      </w:r>
      <w:r>
        <w:t xml:space="preserve">[29]</w:t>
      </w:r>
      <w:r>
        <w:t xml:space="preserve"> </w:t>
      </w:r>
      <w:r>
        <w:t xml:space="preserve">models have been developed so as to be used as a tool to determine if species are able to interact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30]</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[32]</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[30]</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[15,35]</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[37]</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[33]</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rohrModelingFoodWebs2010"/>
    <w:p>
      <w:pPr>
        <w:pStyle w:val="Bibliography"/>
      </w:pPr>
      <w:r>
        <w:t xml:space="preserve">29.</w:t>
      </w:r>
      <w:r>
        <w:t xml:space="preserve"> </w:t>
      </w:r>
      <w:r>
        <w:t xml:space="preserve">	</w:t>
      </w:r>
      <w:r>
        <w:t xml:space="preserve">Rohr, R.P.</w:t>
      </w:r>
      <w:r>
        <w:t xml:space="preserve"> </w:t>
      </w:r>
      <w:r>
        <w:rPr>
          <w:iCs/>
          <w:i/>
        </w:rPr>
        <w:t xml:space="preserve">et al.</w:t>
      </w:r>
      <w:r>
        <w:t xml:space="preserve"> </w:t>
      </w:r>
      <w:r>
        <w:t xml:space="preserve">(2010)</w:t>
      </w:r>
      <w:r>
        <w:t xml:space="preserve"> </w:t>
      </w:r>
      <w:hyperlink r:id="rId105">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Cs/>
          <w:i/>
        </w:rPr>
        <w:t xml:space="preserve">The American Naturalist</w:t>
      </w:r>
      <w:r>
        <w:t xml:space="preserve"> </w:t>
      </w:r>
      <w:r>
        <w:t xml:space="preserve">176, 170–177</w:t>
      </w:r>
    </w:p>
    <w:bookmarkEnd w:id="106"/>
    <w:bookmarkStart w:id="108" w:name="ref-poisotSpeciesWhyEcological2015"/>
    <w:p>
      <w:pPr>
        <w:pStyle w:val="Bibliography"/>
      </w:pPr>
      <w:r>
        <w:t xml:space="preserve">30.</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0"/>
    <w:bookmarkStart w:id="112" w:name="ref-allesinaGeneralModelFood2008"/>
    <w:p>
      <w:pPr>
        <w:pStyle w:val="Bibliography"/>
      </w:pPr>
      <w:r>
        <w:t xml:space="preserve">32.</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2024-05-13T08:24:52Z</dcterms:created>
  <dcterms:modified xsi:type="dcterms:W3CDTF">2024-05-13T08:24:52Z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