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feasibility interactions (the physical</w:t>
                  </w:r>
                  <w:r>
                    <w:t xml:space="preserve"> </w:t>
                  </w:r>
                  <w:r>
                    <w:t xml:space="preserve">‘</w:t>
                  </w:r>
                  <w:r>
                    <w:t xml:space="preserve">compatibility</w:t>
                  </w:r>
                  <w:r>
                    <w:t xml:space="preserve">’</w:t>
                  </w:r>
                  <w:r>
                    <w:t xml:space="preserve"> </w:t>
                  </w:r>
                  <w:r>
                    <w:t xml:space="preserve">between consumer and resource), 2.) the co-occurrence interaction (the occurrence of the consumer and resource in the same space and time), 3.) mass effect interactions (how abundance influences interactions), 4.) consumer–resource interactions (what are the energetic gains and costs to the consumer from the resource) and 5.) consumer–environment interactions (metabolic costs of environment on the consumer).</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Cs/>
                <w:i/>
              </w:rPr>
              <w:t xml:space="preserve">sensu</w:t>
            </w:r>
            <w:r>
              <w:t xml:space="preserve"> </w:t>
            </w:r>
            <w:r>
              <w:t xml:space="preserve">Banville, in prep).</w:t>
            </w:r>
          </w:p>
          <w:p>
            <w:pPr>
              <w:pStyle w:val="BodyText"/>
            </w:pPr>
            <w:r>
              <w:rPr>
                <w:bCs/>
                <w:b/>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Cs/>
                <w:b/>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Cs/>
                <w:b/>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Cs/>
                <w:i/>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Cs/>
                <w:b/>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[50]</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Cs/>
          <w:i/>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Cs/>
          <w:i/>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Cs/>
          <w:i/>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2024-06-20T10:12:04Z</dcterms:created>
  <dcterms:modified xsi:type="dcterms:W3CDTF">2024-06-20T10:12:04Z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