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2024-05-09</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Cs/>
          <w:b/>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In this (item) we will…</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Simply put, the prediction of networks comes from a place of need. However, these needs come from two different (but still aligned) places of interest within the field of network ecology.</w:t>
      </w:r>
    </w:p>
    <w:p>
      <w:pPr>
        <w:pStyle w:val="BlockText"/>
      </w:pPr>
      <w:r>
        <w:t xml:space="preserve">Crucially most network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14]</w:t>
      </w:r>
      <w:r>
        <w:t xml:space="preserv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FirstParagraph"/>
      </w:pPr>
      <w:r>
        <w:t xml:space="preserve">Because measuring in the field is hard and sometimes we need model systems so we don’t have real data. The bigger reason is that we</w:t>
      </w:r>
      <w:r>
        <w:t xml:space="preserve"> </w:t>
      </w:r>
      <w:r>
        <w:rPr>
          <w:iCs/>
          <w:i/>
        </w:rPr>
        <w:t xml:space="preserve">think</w:t>
      </w:r>
      <w:r>
        <w:t xml:space="preserve"> </w:t>
      </w:r>
      <w:r>
        <w:t xml:space="preserve">that using a network-based approach is really the answer to helping us address some of the more bending issues we toil and think about in the world. Predicting because we want to get an approximation of the real world but also predicting because we want a model of the real world system</w:t>
      </w:r>
    </w:p>
    <w:p>
      <w:pPr>
        <w:pStyle w:val="BodyText"/>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Cs/>
          <w:i/>
        </w:rPr>
        <w:t xml:space="preserve">e.g.,</w:t>
      </w:r>
      <w:r>
        <w:t xml:space="preserve"> </w:t>
      </w:r>
      <w:r>
        <w:t xml:space="preserve">understanding energy flows) in a more synthetic setting, whereby these networks do not require any level of species specificity</w:t>
      </w:r>
      <w:r>
        <w:t xml:space="preserve"> </w:t>
      </w:r>
      <w:r>
        <w:rPr>
          <w:iCs/>
          <w:i/>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[5]</w:t>
      </w:r>
      <w:r>
        <w:t xml:space="preserve"> </w:t>
      </w:r>
      <w:r>
        <w:t xml:space="preserve">for a more mechanistic, and</w:t>
      </w:r>
      <w:r>
        <w:t xml:space="preserve"> </w:t>
      </w:r>
      <w:r>
        <w:t xml:space="preserve">[6]</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[15]</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t xml:space="preserve">potential or realised feeding links), the magnitude of the edges (</w:t>
      </w:r>
      <w:r>
        <w:rPr>
          <w:iCs/>
          <w:i/>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[16,17]</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Cs/>
          <w:i/>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[23]</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Cs/>
          <w:i/>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[24]</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25]</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Cs/>
          <w:i/>
        </w:rPr>
        <w:t xml:space="preserve">a</w:t>
      </w:r>
      <w:r>
        <w:t xml:space="preserve"> </w:t>
      </w:r>
      <w:r>
        <w:t xml:space="preserve">predate species</w:t>
      </w:r>
      <w:r>
        <w:t xml:space="preserve"> </w:t>
      </w:r>
      <w:r>
        <w:rPr>
          <w:iCs/>
          <w:i/>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[4]</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Users/tanyastrydom/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4]</w:t>
            </w:r>
          </w:p>
        </w:tc>
      </w:tr>
    </w:tbl>
    <w:bookmarkEnd w:id="30"/>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(topology generator) or the interactions for a given species pool (interaction predictor). These models themselves are a reflection of the different goals and intentions of the research program from which they are developed. Models such as the niche</w:t>
      </w:r>
      <w:r>
        <w:t xml:space="preserve"> </w:t>
      </w:r>
      <w:r>
        <w:t xml:space="preserve">[26]</w:t>
      </w:r>
      <w:r>
        <w:t xml:space="preserve"> </w:t>
      </w:r>
      <w:r>
        <w:t xml:space="preserve">or cascade</w:t>
      </w:r>
      <w:r>
        <w:t xml:space="preserve"> </w:t>
      </w:r>
      <w:r>
        <w:t xml:space="preserve">[27]</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[28]</w:t>
      </w:r>
      <w:r>
        <w:t xml:space="preserve">, trait hierarchy</w:t>
      </w:r>
      <w:r>
        <w:t xml:space="preserve"> </w:t>
      </w:r>
      <w:r>
        <w:t xml:space="preserve">[29]</w:t>
      </w:r>
      <w:r>
        <w:t xml:space="preserve">, and the log-ratio</w:t>
      </w:r>
      <w:r>
        <w:t xml:space="preserve"> </w:t>
      </w:r>
      <w:r>
        <w:t xml:space="preserve">[30]</w:t>
      </w:r>
      <w:r>
        <w:t xml:space="preserve"> </w:t>
      </w:r>
      <w:r>
        <w:t xml:space="preserve">models have been developed so as to be used as a tool to determine if species are able to interact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[25]</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[33]</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[14]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[18,34]</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[35]</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[36]</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[32]</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[37]</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[38]</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[39]</w:t>
      </w:r>
      <w:r>
        <w:t xml:space="preserve"> </w:t>
      </w:r>
      <w:r>
        <w:t xml:space="preserve">and that we should also start thinking about the interplay of time and space</w:t>
      </w:r>
      <w:r>
        <w:t xml:space="preserve"> </w:t>
      </w:r>
      <w:r>
        <w:t xml:space="preserve">[40]</w:t>
      </w:r>
      <w:r>
        <w:t xml:space="preserve">. Although deciding exactly what measure might actually be driving differences between local networks and the regional metaweb might not be that simple</w:t>
      </w:r>
      <w:r>
        <w:t xml:space="preserve"> </w:t>
      </w:r>
      <w:r>
        <w:t xml:space="preserve">[41]</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0" w:name="references"/>
    <w:p>
      <w:pPr>
        <w:pStyle w:val="Heading2"/>
      </w:pPr>
      <w:r>
        <w:t xml:space="preserve">References</w:t>
      </w:r>
    </w:p>
    <w:bookmarkStart w:id="129" w:name="refs"/>
    <w:bookmarkStart w:id="52" w:name="ref-hortalSevenShortfallsThat2015"/>
    <w:p>
      <w:pPr>
        <w:pStyle w:val="Bibliography"/>
      </w:pPr>
      <w:r>
        <w:t xml:space="preserve">1.</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6"/>
    <w:bookmarkStart w:id="78" w:name="ref-poisotSpeciesWhyEcological2015"/>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7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78"/>
    <w:bookmarkStart w:id="80" w:name="ref-poisotDescribeUnderstandPredict2016"/>
    <w:p>
      <w:pPr>
        <w:pStyle w:val="Bibliography"/>
      </w:pPr>
      <w:r>
        <w:t xml:space="preserve">15.</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9">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0"/>
    <w:bookmarkStart w:id="82" w:name="ref-proulxNetworkThinkingEcology2005"/>
    <w:p>
      <w:pPr>
        <w:pStyle w:val="Bibliography"/>
      </w:pPr>
      <w:r>
        <w:t xml:space="preserve">16.</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1">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2"/>
    <w:bookmarkStart w:id="84" w:name="X539896ce86e228708f5963ceeaf0e82711f0c07"/>
    <w:p>
      <w:pPr>
        <w:pStyle w:val="Bibliography"/>
      </w:pPr>
      <w:r>
        <w:t xml:space="preserve">17.</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83">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3"/>
    <w:bookmarkStart w:id="95" w:name="ref-cohenStochasticTheoryCommunity1985"/>
    <w:p>
      <w:pPr>
        <w:pStyle w:val="Bibliography"/>
      </w:pPr>
      <w:r>
        <w:t xml:space="preserve">23.</w:t>
      </w:r>
      <w:r>
        <w:t xml:space="preserve"> </w:t>
      </w:r>
      <w:r>
        <w:t xml:space="preserve">	</w:t>
      </w:r>
      <w:r>
        <w:t xml:space="preserve">Cohen, J.E.</w:t>
      </w:r>
      <w:r>
        <w:t xml:space="preserve"> </w:t>
      </w:r>
      <w:r>
        <w:rPr>
          <w:iCs/>
          <w:i/>
        </w:rPr>
        <w:t xml:space="preserve">et al.</w:t>
      </w:r>
      <w:r>
        <w:t xml:space="preserve"> </w:t>
      </w:r>
      <w:r>
        <w:t xml:space="preserve">(1985)</w:t>
      </w:r>
      <w:r>
        <w:t xml:space="preserve"> </w:t>
      </w:r>
      <w:hyperlink r:id="rId94">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Cs/>
          <w:i/>
        </w:rPr>
        <w:t xml:space="preserve">Proceedings of the Royal Society of London. Series B. Biological Sciences</w:t>
      </w:r>
      <w:r>
        <w:t xml:space="preserve"> </w:t>
      </w:r>
      <w:r>
        <w:t xml:space="preserve">224, 421–448</w:t>
      </w:r>
    </w:p>
    <w:bookmarkEnd w:id="95"/>
    <w:bookmarkStart w:id="97" w:name="ref-cohenFoodWebsDimensionality1977"/>
    <w:p>
      <w:pPr>
        <w:pStyle w:val="Bibliography"/>
      </w:pPr>
      <w:r>
        <w:t xml:space="preserve">24.</w:t>
      </w:r>
      <w:r>
        <w:t xml:space="preserve"> </w:t>
      </w:r>
      <w:r>
        <w:t xml:space="preserve">	</w:t>
      </w:r>
      <w:r>
        <w:t xml:space="preserve">Cohen, J.E. (1977)</w:t>
      </w:r>
      <w:r>
        <w:t xml:space="preserve"> </w:t>
      </w:r>
      <w:hyperlink r:id="rId96">
        <w:r>
          <w:rPr>
            <w:rStyle w:val="Hyperlink"/>
          </w:rPr>
          <w:t xml:space="preserve">Food webs and the dimensionality of trophic niche space</w:t>
        </w:r>
      </w:hyperlink>
      <w:r>
        <w:t xml:space="preserve">.</w:t>
      </w:r>
      <w:r>
        <w:t xml:space="preserve"> </w:t>
      </w:r>
      <w:r>
        <w:rPr>
          <w:iCs/>
          <w:i/>
        </w:rPr>
        <w:t xml:space="preserve">Proceedings of the National Academy of Sciences</w:t>
      </w:r>
      <w:r>
        <w:t xml:space="preserve"> </w:t>
      </w:r>
      <w:r>
        <w:t xml:space="preserve">74, 4533–4536</w:t>
      </w:r>
    </w:p>
    <w:bookmarkEnd w:id="97"/>
    <w:bookmarkStart w:id="99" w:name="ref-allesinaGeneralModelFood2008"/>
    <w:p>
      <w:pPr>
        <w:pStyle w:val="Bibliography"/>
      </w:pPr>
      <w:r>
        <w:t xml:space="preserve">25.</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98">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99"/>
    <w:bookmarkStart w:id="101" w:name="ref-williamsSimpleRulesYield2000"/>
    <w:p>
      <w:pPr>
        <w:pStyle w:val="Bibliography"/>
      </w:pPr>
      <w:r>
        <w:t xml:space="preserve">26.</w:t>
      </w:r>
      <w:r>
        <w:t xml:space="preserve"> </w:t>
      </w:r>
      <w:r>
        <w:t xml:space="preserve">	</w:t>
      </w:r>
      <w:r>
        <w:t xml:space="preserve">Williams, R.J. and Martinez, N.D. (2000)</w:t>
      </w:r>
      <w:r>
        <w:t xml:space="preserve"> </w:t>
      </w:r>
      <w:hyperlink r:id="rId100">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1"/>
    <w:bookmarkStart w:id="102" w:name="ref-cohenCommunityFoodWebs1990"/>
    <w:p>
      <w:pPr>
        <w:pStyle w:val="Bibliography"/>
      </w:pPr>
      <w:r>
        <w:t xml:space="preserve">27.</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2"/>
    <w:bookmarkStart w:id="104" w:name="Xb1d8b6b275822be1886d160023287af73cce966"/>
    <w:p>
      <w:pPr>
        <w:pStyle w:val="Bibliography"/>
      </w:pPr>
      <w:r>
        <w:t xml:space="preserve">28.</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3">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0</w:t>
      </w:r>
    </w:p>
    <w:bookmarkEnd w:id="104"/>
    <w:bookmarkStart w:id="106" w:name="X0fb50f1746fa9d2b24f89ed5bfe6ae1a2f58cc2"/>
    <w:p>
      <w:pPr>
        <w:pStyle w:val="Bibliography"/>
      </w:pPr>
      <w:r>
        <w:t xml:space="preserve">29.</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5">
        <w:r>
          <w:rPr>
            <w:rStyle w:val="Hyperlink"/>
          </w:rPr>
          <w:t xml:space="preserve">A framework for reconstructing ancient food webs using functional trait data</w:t>
        </w:r>
      </w:hyperlink>
      <w:r>
        <w:t xml:space="preserve">bioRxiv, 2024.01.30.578036</w:t>
      </w:r>
    </w:p>
    <w:bookmarkEnd w:id="106"/>
    <w:bookmarkStart w:id="108" w:name="ref-rohrModelingFoodWebs2010"/>
    <w:p>
      <w:pPr>
        <w:pStyle w:val="Bibliography"/>
      </w:pPr>
      <w:r>
        <w:t xml:space="preserve">30.</w:t>
      </w:r>
      <w:r>
        <w:t xml:space="preserve"> </w:t>
      </w:r>
      <w:r>
        <w:t xml:space="preserve">	</w:t>
      </w:r>
      <w:r>
        <w:t xml:space="preserve">Rohr, R.P.</w:t>
      </w:r>
      <w:r>
        <w:t xml:space="preserve"> </w:t>
      </w:r>
      <w:r>
        <w:rPr>
          <w:iCs/>
          <w:i/>
        </w:rPr>
        <w:t xml:space="preserve">et al.</w:t>
      </w:r>
      <w:r>
        <w:t xml:space="preserve"> </w:t>
      </w:r>
      <w:r>
        <w:t xml:space="preserve">(2010)</w:t>
      </w:r>
      <w:r>
        <w:t xml:space="preserve"> </w:t>
      </w:r>
      <w:hyperlink r:id="rId107">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Cs/>
          <w:i/>
        </w:rPr>
        <w:t xml:space="preserve">The American Naturalist</w:t>
      </w:r>
      <w:r>
        <w:t xml:space="preserve"> </w:t>
      </w:r>
      <w:r>
        <w:t xml:space="preserve">176, 170–177</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0"/>
    <w:bookmarkStart w:id="112" w:name="X023758d2a089016cd8f0c9d2421079cf7d062ff"/>
    <w:p>
      <w:pPr>
        <w:pStyle w:val="Bibliography"/>
      </w:pPr>
      <w:r>
        <w:t xml:space="preserve">32.</w:t>
      </w:r>
      <w:r>
        <w:t xml:space="preserve"> </w:t>
      </w:r>
      <w:r>
        <w:t xml:space="preserve">	</w:t>
      </w:r>
      <w:r>
        <w:t xml:space="preserve">Poisot, T. (2023)</w:t>
      </w:r>
      <w:r>
        <w:t xml:space="preserve"> </w:t>
      </w:r>
      <w:hyperlink r:id="rId11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2"/>
    <w:bookmarkStart w:id="114" w:name="ref-stoufferEvidenceExistenceRobust2007"/>
    <w:p>
      <w:pPr>
        <w:pStyle w:val="Bibliography"/>
      </w:pPr>
      <w:r>
        <w:t xml:space="preserve">33.</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4"/>
    <w:bookmarkStart w:id="116" w:name="ref-pringleResolvingFoodWebStructure2020"/>
    <w:p>
      <w:pPr>
        <w:pStyle w:val="Bibliography"/>
      </w:pPr>
      <w:r>
        <w:t xml:space="preserve">34.</w:t>
      </w:r>
      <w:r>
        <w:t xml:space="preserve"> </w:t>
      </w:r>
      <w:r>
        <w:t xml:space="preserve">	</w:t>
      </w:r>
      <w:r>
        <w:t xml:space="preserve">Pringle, R.M. and Hutchinson, M.C. (2020)</w:t>
      </w:r>
      <w:r>
        <w:t xml:space="preserve"> </w:t>
      </w:r>
      <w:hyperlink r:id="rId11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6"/>
    <w:bookmarkStart w:id="118" w:name="ref-berlowGoldilocksFactorFood2008"/>
    <w:p>
      <w:pPr>
        <w:pStyle w:val="Bibliography"/>
      </w:pPr>
      <w:r>
        <w:t xml:space="preserve">35.</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18"/>
    <w:bookmarkStart w:id="120" w:name="ref-brimacombeApplyingMethodIts2024"/>
    <w:p>
      <w:pPr>
        <w:pStyle w:val="Bibliography"/>
      </w:pPr>
      <w:r>
        <w:t xml:space="preserve">36.</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1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0"/>
    <w:bookmarkStart w:id="122" w:name="ref-beckerOptimisingPredictiveModels2022"/>
    <w:p>
      <w:pPr>
        <w:pStyle w:val="Bibliography"/>
      </w:pPr>
      <w:r>
        <w:t xml:space="preserve">37.</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2"/>
    <w:bookmarkStart w:id="123" w:name="X1edd2253d2e7e8e6db9e7574240f432ddda2ce1"/>
    <w:p>
      <w:pPr>
        <w:pStyle w:val="Bibliography"/>
      </w:pPr>
      <w:r>
        <w:t xml:space="preserve">38.</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3"/>
    <w:bookmarkStart w:id="125" w:name="ref-fortinNetworkEcologyDynamic2021"/>
    <w:p>
      <w:pPr>
        <w:pStyle w:val="Bibliography"/>
      </w:pPr>
      <w:r>
        <w:t xml:space="preserve">39.</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5"/>
    <w:bookmarkStart w:id="126" w:name="ref-estayEditorialPatternsProcesses2023"/>
    <w:p>
      <w:pPr>
        <w:pStyle w:val="Bibliography"/>
      </w:pPr>
      <w:r>
        <w:t xml:space="preserve">40.</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6"/>
    <w:bookmarkStart w:id="128" w:name="ref-saraviaEcologicalNetworkAssembly2022"/>
    <w:p>
      <w:pPr>
        <w:pStyle w:val="Bibliography"/>
      </w:pPr>
      <w:r>
        <w:t xml:space="preserve">41.</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90"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1"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6"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94" Target="https://doi.org/10.1098/rspb.1985.0042"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2"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77" Target="https://doi.org/10.1111/oik.01719" TargetMode="External" /><Relationship Type="http://schemas.openxmlformats.org/officeDocument/2006/relationships/hyperlink" Id="rId98"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55" Target="https://doi.org/10.1371/journal.pbio.1002559" TargetMode="External" /><Relationship Type="http://schemas.openxmlformats.org/officeDocument/2006/relationships/hyperlink" Id="rId83"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7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90"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1"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6"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94" Target="https://doi.org/10.1098/rspb.1985.0042"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2"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77" Target="https://doi.org/10.1111/oik.01719" TargetMode="External" /><Relationship Type="http://schemas.openxmlformats.org/officeDocument/2006/relationships/hyperlink" Id="rId98"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55" Target="https://doi.org/10.1371/journal.pbio.1002559" TargetMode="External" /><Relationship Type="http://schemas.openxmlformats.org/officeDocument/2006/relationships/hyperlink" Id="rId83"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7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2024-05-09T14:27:11Z</dcterms:created>
  <dcterms:modified xsi:type="dcterms:W3CDTF">2024-05-09T14:27:11Z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