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2024-06-21</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Cs/>
          <w:b/>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Cs/>
          <w:b/>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Cs/>
          <w:i/>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Cs/>
                <w:b/>
              </w:rPr>
              <w:t xml:space="preserve">A</w:t>
            </w:r>
            <w:r>
              <w:t xml:space="preserve"> </w:t>
            </w:r>
            <w:r>
              <w:t xml:space="preserve">shows the many ways in which a food web can be defined and described at the node, edge, and even network level. Panel</w:t>
            </w:r>
            <w:r>
              <w:t xml:space="preserve"> </w:t>
            </w:r>
            <w:r>
              <w:rPr>
                <w:bCs/>
                <w:b/>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Cs/>
                <w:i/>
              </w:rPr>
              <w:t xml:space="preserve">i.e.,</w:t>
            </w:r>
            <w:r>
              <w:t xml:space="preserve"> </w:t>
            </w:r>
            <w:r>
              <w:t xml:space="preserve">its anatomy. (</w:t>
            </w:r>
            <w:r>
              <w:rPr>
                <w:iCs/>
                <w:i/>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rPr>
          <w:bCs/>
          <w:b/>
        </w:rPr>
        <w:t xml:space="preserve">potential</w:t>
      </w:r>
      <w:r>
        <w:t xml:space="preserve"> </w:t>
      </w:r>
      <w:r>
        <w:t xml:space="preserve">or</w:t>
      </w:r>
      <w:r>
        <w:t xml:space="preserve"> </w:t>
      </w:r>
      <w:r>
        <w:rPr>
          <w:bCs/>
          <w:b/>
        </w:rPr>
        <w:t xml:space="preserve">realised feeding links</w:t>
      </w:r>
      <w:r>
        <w:t xml:space="preserve">), the magnitude of the edges (</w:t>
      </w:r>
      <w:r>
        <w:rPr>
          <w:iCs/>
          <w:i/>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Cs/>
          <w:i/>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Cs/>
          <w:i/>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will be meaningless if you are interested in understanding</w:t>
      </w:r>
      <w:r>
        <w:t xml:space="preserve"> </w:t>
      </w:r>
      <w:r>
        <w:rPr>
          <w:iCs/>
          <w:i/>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Cs/>
          <w:i/>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Cs/>
          <w:i/>
        </w:rPr>
        <w:t xml:space="preserve">e.g.,</w:t>
      </w:r>
      <w:r>
        <w:t xml:space="preserve"> </w:t>
      </w:r>
      <w:r>
        <w:t xml:space="preserve">stability), and potentially the function of communities (</w:t>
      </w:r>
      <w:r>
        <w:rPr>
          <w:iCs/>
          <w:i/>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Users/tanyastrydom/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Moving between the feasibility and reality of interactions</w:t>
            </w:r>
          </w:p>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ook w:firstRow="0" w:lastRow="0" w:firstColumn="0" w:lastColumn="0" w:noHBand="0" w:noVBand="0" w:val="0000"/>
              <w:jc w:val="start"/>
              <w:tblLayout w:type="fixed"/>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Cs/>
                      <w:i/>
                    </w:rPr>
                    <w:t xml:space="preserve">possibility</w:t>
                  </w:r>
                  <w:r>
                    <w:t xml:space="preserve"> </w:t>
                  </w:r>
                  <w:r>
                    <w:t xml:space="preserve">of an interaction occurring between two species to the quantification of</w:t>
                  </w:r>
                  <w:r>
                    <w:t xml:space="preserve"> </w:t>
                  </w:r>
                  <w:r>
                    <w:rPr>
                      <w:iCs/>
                      <w:i/>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feasibility interactions (the physical</w:t>
                  </w:r>
                  <w:r>
                    <w:t xml:space="preserve"> </w:t>
                  </w:r>
                  <w:r>
                    <w:t xml:space="preserve">‘</w:t>
                  </w:r>
                  <w:r>
                    <w:t xml:space="preserve">compatibility</w:t>
                  </w:r>
                  <w:r>
                    <w:t xml:space="preserve">’</w:t>
                  </w:r>
                  <w:r>
                    <w:t xml:space="preserve"> </w:t>
                  </w:r>
                  <w:r>
                    <w:t xml:space="preserve">between consumer and resource), 2.) the co-occurrence interaction (the occurrence of the consumer and resource in the same space and time), 3.) mass effect interactions (how abundance influences interactions), 4.) consumer–resource interactions (what are the energetic gains and costs to the consumer from the resource) and 5.) consumer–environment interactions (metabolic costs of environment on the consumer).</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Cs/>
                <w:b/>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Cs/>
                <w:i/>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Cs/>
                <w:i/>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interactions,</w:t>
            </w:r>
            <w:r>
              <w:t xml:space="preserve"> </w:t>
            </w:r>
            <w:r>
              <w:rPr>
                <w:iCs/>
                <w:i/>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Cs/>
                <w:i/>
              </w:rPr>
              <w:t xml:space="preserve">sensu</w:t>
            </w:r>
            <w:r>
              <w:t xml:space="preserve"> </w:t>
            </w:r>
            <w:r>
              <w:t xml:space="preserve">Banville, in prep).</w:t>
            </w:r>
          </w:p>
          <w:p>
            <w:pPr>
              <w:pStyle w:val="BodyText"/>
            </w:pPr>
            <w:r>
              <w:rPr>
                <w:bCs/>
                <w:b/>
              </w:rPr>
              <w:t xml:space="preserve">2. (Co)occurrence interactions</w:t>
            </w:r>
          </w:p>
          <w:p>
            <w:pPr>
              <w:pStyle w:val="BodyText"/>
            </w:pPr>
            <w:r>
              <w:t xml:space="preserve">Although the outright assumption that because two species are co-occurring it must mean that they are interacting is inherently flawed</w:t>
            </w:r>
            <w:r>
              <w:t xml:space="preserve"> </w:t>
            </w:r>
            <w:r>
              <w:t xml:space="preserve">[29]</w:t>
            </w:r>
            <w:r>
              <w:t xml:space="preserve">, it is of course impossible for two species to interact (at least in terms of feeding links) if they are not co-occurring in time and space. Hence it is of course important to take into consideration the co-occurrence of both the resource and the consumer. An example of this would be the work from</w:t>
            </w:r>
            <w:r>
              <w:t xml:space="preserve"> </w:t>
            </w:r>
            <w:r>
              <w:t xml:space="preserve">[30]</w:t>
            </w:r>
            <w:r>
              <w:t xml:space="preserve">, where a metaweb (feasibility network)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Cs/>
                <w:b/>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how I am presenting network prediction and more so a data parameter one needs… maybe…</w:t>
            </w:r>
          </w:p>
          <w:p>
            <w:pPr>
              <w:pStyle w:val="BodyText"/>
            </w:pPr>
            <w:r>
              <w:t xml:space="preserve">This is probably the point where we start to shift from a</w:t>
            </w:r>
            <w:r>
              <w:t xml:space="preserve"> </w:t>
            </w:r>
            <w:r>
              <w:rPr>
                <w:iCs/>
                <w:i/>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(well at least past Tanya seemed to think so)</w:t>
            </w:r>
          </w:p>
          <w:p>
            <w:pPr>
              <w:pStyle w:val="BodyText"/>
            </w:pPr>
            <w:r>
              <w:rPr>
                <w:bCs/>
                <w:b/>
              </w:rPr>
              <w:t xml:space="preserve">4. Consumer–resource (energetic) interactions</w:t>
            </w:r>
          </w:p>
          <w:p>
            <w:pPr>
              <w:pStyle w:val="BodyText"/>
            </w:pPr>
            <w:r>
              <w:t xml:space="preserve">This is where we begin to move into the foraging ecology space - specifically consumption rate and how that pertains to energy acquisition</w:t>
            </w:r>
            <w:r>
              <w:t xml:space="preserve"> </w:t>
            </w:r>
            <w:r>
              <w:rPr>
                <w:iCs/>
                <w:i/>
              </w:rPr>
              <w:t xml:space="preserve">i.e.,</w:t>
            </w:r>
            <w:r>
              <w:t xml:space="preserve"> </w:t>
            </w:r>
            <w:r>
              <w:t xml:space="preserve">optimal foraging theory.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as informed by energetic cost (not just purely based on</w:t>
            </w:r>
            <w:r>
              <w:t xml:space="preserve"> </w:t>
            </w:r>
            <w:r>
              <w:rPr>
                <w:iCs/>
                <w:i/>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as well as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Cs/>
                <w:b/>
              </w:rPr>
              <w:t xml:space="preserve">5. Consumer–environment (energetic)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Cs/>
                <w:i/>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Cs/>
                <w:i/>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Cs/>
          <w:i/>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Cs/>
          <w:i/>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Cs/>
          <w:i/>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Cs/>
          <w:i/>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Cs/>
          <w:b/>
        </w:rPr>
        <w:t xml:space="preserve">topology generators</w:t>
      </w:r>
      <w:r>
        <w:t xml:space="preserve"> </w:t>
      </w:r>
      <w:r>
        <w:t xml:space="preserve">and models developed to infer the interactions for a given species pool as</w:t>
      </w:r>
      <w:r>
        <w:t xml:space="preserve"> </w:t>
      </w:r>
      <w:r>
        <w:rPr>
          <w:bCs/>
          <w:b/>
        </w:rPr>
        <w:t xml:space="preserve">interaction predictors</w:t>
      </w:r>
      <w:r>
        <w:t xml:space="preserve">. It is meaningful to make this distinction because although it is possible to construct a food web given using an</w:t>
      </w:r>
      <w:r>
        <w:t xml:space="preserve"> </w:t>
      </w:r>
      <w:r>
        <w:rPr>
          <w:iCs/>
          <w:i/>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Cs/>
          <w:i/>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Cs/>
          <w:i/>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Cs/>
          <w:i/>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Cs/>
                      <w:i/>
                    </w:rPr>
                    <w:t xml:space="preserve">i.e.</w:t>
                  </w:r>
                  <w:r>
                    <w:t xml:space="preserve"> </w:t>
                  </w:r>
                  <w:r>
                    <w:t xml:space="preserve">non-trophic…)</w:t>
                  </w:r>
                </w:p>
              </w:tc>
            </w:tr>
          </w:tbl>
          <w:bookmarkEnd w:id="4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5" name="Picture"/>
                  <a:graphic>
                    <a:graphicData uri="http://schemas.openxmlformats.org/drawingml/2006/picture">
                      <pic:pic>
                        <pic:nvPicPr>
                          <pic:cNvPr descr="/Users/tanyastrydom/Applications/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Assessing model outputs</w:t>
            </w:r>
          </w:p>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Cs/>
                <w:b/>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ook w:firstRow="0" w:lastRow="0" w:firstColumn="0" w:lastColumn="0" w:noHBand="0" w:noVBand="0" w:val="0000"/>
              <w:jc w:val="start"/>
              <w:tblLayout w:type="fixed"/>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Cs/>
                <w:b/>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Cs/>
                <w:b/>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Cs/>
                <w:b/>
              </w:rPr>
              <w:t xml:space="preserve">metaweb</w:t>
            </w:r>
            <w:r>
              <w:t xml:space="preserve"> </w:t>
            </w:r>
            <w:r>
              <w:t xml:space="preserve">(</w:t>
            </w:r>
            <w:r>
              <w:rPr>
                <w:iCs/>
                <w:i/>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numPr>
          <w:ilvl w:val="1"/>
          <w:numId w:val="1002"/>
        </w:numPr>
        <w:pStyle w:val="Compact"/>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3"/>
        </w:numPr>
        <w:pStyle w:val="Compact"/>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numPr>
          <w:ilvl w:val="1"/>
          <w:numId w:val="1006"/>
        </w:numPr>
        <w:pStyle w:val="Compact"/>
      </w:pPr>
      <w:r>
        <w:t xml:space="preserve">I think this is sort of the crux of the argument presented in</w:t>
      </w:r>
      <w:r>
        <w:t xml:space="preserve"> </w:t>
      </w:r>
      <w:r>
        <w:t xml:space="preserve">[50]</w:t>
      </w:r>
      <w:r>
        <w:t xml:space="preserve"> </w:t>
      </w:r>
      <w:r>
        <w:t xml:space="preserve">as well.</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numPr>
          <w:ilvl w:val="1"/>
          <w:numId w:val="1009"/>
        </w:numPr>
        <w:pStyle w:val="Compact"/>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Cs/>
                <w:i/>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Cs/>
                <w:i/>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Cs/>
                <w:i/>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Cs/>
          <w:i/>
        </w:rPr>
        <w:t xml:space="preserve">Defining</w:t>
      </w:r>
      <w:r>
        <w:rPr>
          <w:iCs/>
          <w:i/>
        </w:rPr>
        <w:t xml:space="preserve"> </w:t>
      </w:r>
      <w:r>
        <w:rPr>
          <w:iCs/>
          <w:i/>
        </w:rPr>
        <w:t xml:space="preserve">Agroecology</w:t>
      </w:r>
      <w:r>
        <w:rPr>
          <w:iCs/>
          <w:i/>
        </w:rPr>
        <w:t xml:space="preserve"> </w:t>
      </w:r>
      <w:r>
        <w:rPr>
          <w:iCs/>
          <w:i/>
        </w:rPr>
        <w:t xml:space="preserve">–</w:t>
      </w:r>
      <w:r>
        <w:rPr>
          <w:iCs/>
          <w:i/>
        </w:rPr>
        <w:t xml:space="preserve"> </w:t>
      </w:r>
      <w:r>
        <w:rPr>
          <w:iCs/>
          <w:i/>
        </w:rPr>
        <w:t xml:space="preserve">A Festschrift</w:t>
      </w:r>
      <w:r>
        <w:rPr>
          <w:iCs/>
          <w:i/>
        </w:rPr>
        <w:t xml:space="preserve"> </w:t>
      </w:r>
      <w:r>
        <w:rPr>
          <w:iCs/>
          <w:i/>
        </w:rPr>
        <w:t xml:space="preserve">for</w:t>
      </w:r>
      <w:r>
        <w:rPr>
          <w:iCs/>
          <w:i/>
        </w:rPr>
        <w:t xml:space="preserve"> </w:t>
      </w:r>
      <w:r>
        <w:rPr>
          <w:iCs/>
          <w:i/>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Cs/>
          <w:i/>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Cs/>
          <w:i/>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Cs/>
          <w:i/>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Cs/>
          <w:i/>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Cs/>
          <w:i/>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Cs/>
          <w:i/>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Cs/>
          <w:i/>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Cs/>
          <w:i/>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Cs/>
          <w:i/>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Cs/>
          <w:i/>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Cs/>
          <w:i/>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Cs/>
          <w:i/>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Cs/>
          <w:i/>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Cs/>
          <w:i/>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Cs/>
          <w:i/>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Cs/>
          <w:i/>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Cs/>
          <w:i/>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Cs/>
          <w:i/>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Cs/>
          <w:i/>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Cs/>
          <w:i/>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Cs/>
          <w:i/>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Cs/>
          <w:i/>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Cs/>
          <w:i/>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Cs/>
          <w:i/>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Cs/>
          <w:i/>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Cs/>
          <w:i/>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Cs/>
          <w:i/>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Cs/>
          <w:i/>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Cs/>
          <w:i/>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Cs/>
          <w:i/>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Cs/>
          <w:i/>
        </w:rPr>
        <w:t xml:space="preserve">Unsolved</w:t>
      </w:r>
      <w:r>
        <w:rPr>
          <w:iCs/>
          <w:i/>
        </w:rPr>
        <w:t xml:space="preserve"> </w:t>
      </w:r>
      <w:r>
        <w:rPr>
          <w:iCs/>
          <w:i/>
        </w:rPr>
        <w:t xml:space="preserve">Problems</w:t>
      </w:r>
      <w:r>
        <w:rPr>
          <w:iCs/>
          <w:i/>
        </w:rPr>
        <w:t xml:space="preserve"> </w:t>
      </w:r>
      <w:r>
        <w:rPr>
          <w:iCs/>
          <w:i/>
        </w:rPr>
        <w:t xml:space="preserve">in</w:t>
      </w:r>
      <w:r>
        <w:rPr>
          <w:iCs/>
          <w:i/>
        </w:rPr>
        <w:t xml:space="preserve"> </w:t>
      </w:r>
      <w:r>
        <w:rPr>
          <w:iCs/>
          <w:i/>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Cs/>
          <w:i/>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Cs/>
          <w:i/>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Cs/>
          <w:i/>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Cs/>
          <w:i/>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Cs/>
          <w:i/>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Cs/>
          <w:i/>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Cs/>
          <w:i/>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Cs/>
          <w:i/>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Cs/>
          <w:i/>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Cs/>
          <w:i/>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Cs/>
          <w:i/>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Cs/>
          <w:i/>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Cs/>
          <w:i/>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Cs/>
          <w:i/>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Cs/>
          <w:i/>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Cs/>
          <w:i/>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Cs/>
          <w:i/>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Cs/>
          <w:i/>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Cs/>
          <w:i/>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Cs/>
          <w:i/>
        </w:rPr>
        <w:t xml:space="preserve">Nature</w:t>
      </w:r>
      <w:r>
        <w:t xml:space="preserve"> </w:t>
      </w:r>
      <w:r>
        <w:t xml:space="preserve">486, 485–489</w:t>
      </w:r>
    </w:p>
    <w:bookmarkEnd w:id="121"/>
    <w:bookmarkStart w:id="123" w:name="ref-cherifEnvironmentRescueCan2024"/>
    <w:p>
      <w:pPr>
        <w:pStyle w:val="Bibliography"/>
      </w:pPr>
      <w:r>
        <w:t xml:space="preserve">34.</w:t>
      </w:r>
      <w:r>
        <w:t xml:space="preserve"> </w:t>
      </w:r>
      <w:r>
        <w:t xml:space="preserve">	</w:t>
      </w:r>
      <w:r>
        <w:t xml:space="preserve">Cherif, M.</w:t>
      </w:r>
      <w:r>
        <w:t xml:space="preserve"> </w:t>
      </w:r>
      <w:r>
        <w:rPr>
          <w:iCs/>
          <w:i/>
        </w:rPr>
        <w:t xml:space="preserve">et al.</w:t>
      </w:r>
      <w:r>
        <w:t xml:space="preserve"> </w:t>
      </w:r>
      <w:r>
        <w:t xml:space="preserve">(2024)</w:t>
      </w:r>
      <w:r>
        <w:t xml:space="preserve"> </w:t>
      </w:r>
      <w:hyperlink r:id="rId122">
        <w:r>
          <w:rPr>
            <w:rStyle w:val="Hyperlink"/>
          </w:rPr>
          <w:t xml:space="preserve">The environment to the rescue: Can physics help predict predator–prey interactions?</w:t>
        </w:r>
      </w:hyperlink>
      <w:r>
        <w:t xml:space="preserve"> </w:t>
      </w:r>
      <w:r>
        <w:rPr>
          <w:iCs/>
          <w:i/>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Cs/>
          <w:i/>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Cs/>
          <w:i/>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Cs/>
          <w:i/>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Cs/>
          <w:i/>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Cs/>
          <w:i/>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Cs/>
          <w:i/>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Cs/>
          <w:i/>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Cs/>
          <w:i/>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Cs/>
          <w:i/>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Cs/>
          <w:i/>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Cs/>
          <w:i/>
        </w:rPr>
        <w:t xml:space="preserve">et al.</w:t>
      </w:r>
      <w:r>
        <w:t xml:space="preserve"> </w:t>
      </w:r>
      <w:r>
        <w:t xml:space="preserve">(1990)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Cs/>
          <w:i/>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Cs/>
          <w:i/>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Cs/>
          <w:i/>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Cs/>
          <w:i/>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Cs/>
          <w:i/>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Cs/>
          <w:i/>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Cs/>
          <w:i/>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Cs/>
          <w:i/>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Cs/>
          <w:i/>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Cs/>
          <w:i/>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Cs/>
          <w:i/>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Cs/>
          <w:i/>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Cs/>
          <w:i/>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Cs/>
          <w:i/>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Cs/>
          <w:i/>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Cs/>
          <w:i/>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Cs/>
          <w:i/>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Cs/>
          <w:i/>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Cs/>
          <w:i/>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Cs/>
          <w:i/>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Cs/>
          <w:i/>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Cs/>
          <w:i/>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Cs/>
          <w:i/>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2024-06-21T12:56:21Z</dcterms:created>
  <dcterms:modified xsi:type="dcterms:W3CDTF">2024-06-21T12:56:21Z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