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0.png" ContentType="image/png"/>
  <Override PartName="/word/media/rId34.jpg" ContentType="image/jpeg"/>
  <Override PartName="/word/media/rId50.png" ContentType="image/png"/>
  <Override PartName="/word/media/rId3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2024-05-07</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Cs/>
          <w:i/>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the penning of the</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has primarily been driven by two limitations; firstly, it is extremely challenging to actually record species interactions in the field</w:t>
      </w:r>
      <w:r>
        <w:t xml:space="preserve"> </w:t>
      </w:r>
      <w:r>
        <w:t xml:space="preserve">(Jordano 2016a, 2016b)</w:t>
      </w:r>
      <w:r>
        <w:t xml:space="preserve">, which has resulted in a limited coverage of</w:t>
      </w:r>
      <w:r>
        <w:t xml:space="preserve"> </w:t>
      </w:r>
      <w:r>
        <w:t xml:space="preserve">‘</w:t>
      </w:r>
      <w:r>
        <w:t xml:space="preserve">real world</w:t>
      </w:r>
      <w:r>
        <w:t xml:space="preserve">’</w:t>
      </w:r>
      <w:r>
        <w:t xml:space="preserve"> </w:t>
      </w:r>
      <w:r>
        <w:t xml:space="preserve">interaction data</w:t>
      </w:r>
      <w:r>
        <w:t xml:space="preserve"> </w:t>
      </w:r>
      <w:r>
        <w:t xml:space="preserve">(Poisot et al. 2021)</w:t>
      </w:r>
      <w:r>
        <w:t xml:space="preserve">, and secondly has been the need to develop terminology and tools that help us to construct, conceptualise, and analyse these networks. Although recording interactions in the field remains a challenge, the development of both practical tools</w:t>
      </w:r>
      <w:r>
        <w:t xml:space="preserve"> </w:t>
      </w:r>
      <w:r>
        <w:t xml:space="preserve">(</w:t>
      </w:r>
      <w:r>
        <w:rPr>
          <w:iCs/>
          <w:i/>
        </w:rPr>
        <w:t xml:space="preserve">i.e.,</w:t>
      </w:r>
      <w:r>
        <w:t xml:space="preserve"> </w:t>
      </w:r>
      <w:r>
        <w:t xml:space="preserve">tools that help us to record or measure interactions, Pringle and Hutchinson 2020)</w:t>
      </w:r>
      <w:r>
        <w:t xml:space="preserve">, as well as discussions around the development of tools to predict or infer them</w:t>
      </w:r>
      <w:r>
        <w:t xml:space="preserve"> </w:t>
      </w:r>
      <w:r>
        <w:t xml:space="preserve">(Morales-Castilla et al. 2015; Strydom et al. 2021)</w:t>
      </w:r>
      <w:r>
        <w:t xml:space="preserve">, has allowed us to begin filling in these</w:t>
      </w:r>
      <w:r>
        <w:t xml:space="preserve"> </w:t>
      </w:r>
      <w:r>
        <w:t xml:space="preserve">‘</w:t>
      </w:r>
      <w:r>
        <w:t xml:space="preserve">global gaps</w:t>
      </w:r>
      <w:r>
        <w:t xml:space="preserve">’</w:t>
      </w:r>
      <w:r>
        <w:t xml:space="preserve">, albeit in a, potentially, more synthetic manner</w:t>
      </w:r>
      <w:r>
        <w:t xml:space="preserve"> </w:t>
      </w:r>
      <w:r>
        <w:t xml:space="preserve">(Poisot, Gravel, et al. 2016)</w:t>
      </w:r>
      <w:r>
        <w:t xml:space="preserve">. Additionally, there has been extensive development in in the ways in which we formalise networks</w:t>
      </w:r>
      <w:r>
        <w:t xml:space="preserve"> </w:t>
      </w:r>
      <w:r>
        <w:t xml:space="preserve">(Dale and Fortin 2010; Fortin et al. 2012)</w:t>
      </w:r>
      <w:r>
        <w:t xml:space="preserve">, and the tools and language that we use to quantify the structure and properties of networks</w:t>
      </w:r>
      <w:r>
        <w:t xml:space="preserve"> </w:t>
      </w:r>
      <w:r>
        <w:t xml:space="preserve">(Delmas et al. 2019)</w:t>
      </w:r>
      <w:r>
        <w:t xml:space="preserve">. All together these tools mean that, as a field, network ecology can (and should) be integrated into the broader fields of ecology</w:t>
      </w:r>
      <w:r>
        <w:t xml:space="preserve"> </w:t>
      </w:r>
      <w:r>
        <w:t xml:space="preserve">(</w:t>
      </w:r>
      <w:r>
        <w:rPr>
          <w:iCs/>
          <w:i/>
        </w:rPr>
        <w:t xml:space="preserve">e.g.,</w:t>
      </w:r>
      <w:r>
        <w:t xml:space="preserve"> </w:t>
      </w:r>
      <w:r>
        <w:t xml:space="preserve">Thuiller et al. 2024)</w:t>
      </w:r>
      <w:r>
        <w:t xml:space="preserve"> </w:t>
      </w:r>
      <w:r>
        <w:t xml:space="preserve">and conservation biology</w:t>
      </w:r>
      <w:r>
        <w:t xml:space="preserve"> </w:t>
      </w:r>
      <w:r>
        <w:t xml:space="preserve">(</w:t>
      </w:r>
      <w:r>
        <w:rPr>
          <w:iCs/>
          <w:i/>
        </w:rPr>
        <w:t xml:space="preserve">e.g.,</w:t>
      </w:r>
      <w:r>
        <w:t xml:space="preserve"> </w:t>
      </w:r>
      <w:r>
        <w:t xml:space="preserve">Bhatia et al. 2023)</w:t>
      </w:r>
      <w:r>
        <w:t xml:space="preserve">. However (as with any new tool or model), it is important that one has a firm grasp of how the underlying philosophy that underpins the construction of networks (particularly synthetic ones) can have an impact on the interpretation of the questions being asked. In this manuscript we will discuss three themes that should help provide clarity and understanding for those wishing to take a step into network (particularly food web) ecology this includes; thinking about and understanding the underlying assumptions that are made when we attempt to delimit and describe a food webs, a synthesis of the different families of tools that are commonly used to construct food webs, and a discussion linking network ecology to some of the outstanding questions in ecology.</w:t>
      </w:r>
    </w:p>
    <w:tbl>
      <w:tblPr>
        <w:tblStyle w:val="Table"/>
        <w:tblW w:type="pct" w:w="5000"/>
        <w:tblLook w:firstRow="0" w:lastRow="0" w:firstColumn="0" w:lastColumn="0" w:noHBand="0" w:noVBand="0" w:val="0000"/>
        <w:jc w:val="start"/>
        <w:tblLayout w:type="fixed"/>
      </w:tblPr>
      <w:tblGrid>
        <w:gridCol w:w="7920"/>
      </w:tblGrid>
      <w:tr>
        <w:tc>
          <w:tcPr/>
          <w:bookmarkStart w:id="23" w:name="fig-concept"/>
          <w:p>
            <w:pPr>
              <w:pStyle w:val="Compact"/>
              <w:jc w:val="center"/>
            </w:pPr>
            <w:r>
              <w:drawing>
                <wp:inline>
                  <wp:extent cx="5334000" cy="7636446"/>
                  <wp:effectExtent b="0" l="0" r="0" t="0"/>
                  <wp:docPr descr="" title="" id="21" name="Picture"/>
                  <a:graphic>
                    <a:graphicData uri="http://schemas.openxmlformats.org/drawingml/2006/picture">
                      <pic:pic>
                        <pic:nvPicPr>
                          <pic:cNvPr descr="images/concept.jpeg" id="22" name="Picture"/>
                          <pic:cNvPicPr>
                            <a:picLocks noChangeArrowheads="1" noChangeAspect="1"/>
                          </pic:cNvPicPr>
                        </pic:nvPicPr>
                        <pic:blipFill>
                          <a:blip r:embed="rId20"/>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3"/>
        </w:tc>
      </w:tr>
    </w:tbl>
    <w:bookmarkStart w:id="28" w:name="sec-network-anatomy"/>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however the definition of</w:t>
      </w:r>
      <w:r>
        <w:t xml:space="preserve"> </w:t>
      </w:r>
      <w:r>
        <w:t xml:space="preserve">‘</w:t>
      </w:r>
      <w:r>
        <w:t xml:space="preserve">edges</w:t>
      </w:r>
      <w:r>
        <w:t xml:space="preserve">’</w:t>
      </w:r>
      <w:r>
        <w:t xml:space="preserve"> </w:t>
      </w:r>
      <w:r>
        <w:t xml:space="preserve">and</w:t>
      </w:r>
      <w:r>
        <w:t xml:space="preserve"> </w:t>
      </w:r>
      <w:r>
        <w:t xml:space="preserve">‘</w:t>
      </w:r>
      <w:r>
        <w:t xml:space="preserve">nodes</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Cs/>
          <w:i/>
        </w:rPr>
        <w:t xml:space="preserve">e.g.,</w:t>
      </w:r>
      <w:r>
        <w:t xml:space="preserve"> </w:t>
      </w:r>
      <w:r>
        <w:t xml:space="preserve">species or taxonomic group), edges (</w:t>
      </w:r>
      <w:r>
        <w:rPr>
          <w:iCs/>
          <w:i/>
        </w:rPr>
        <w:t xml:space="preserve">e.g.</w:t>
      </w:r>
      <w:r>
        <w:t xml:space="preserve"> </w:t>
      </w:r>
      <w:r>
        <w:t xml:space="preserve">potential or realised feeding links), the magnitude of the edges (</w:t>
      </w:r>
      <w:r>
        <w:rPr>
          <w:iCs/>
          <w:i/>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Cs/>
          <w:i/>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always be</w:t>
      </w:r>
      <w:r>
        <w:t xml:space="preserve"> </w:t>
      </w:r>
      <w:r>
        <w:t xml:space="preserve">‘</w:t>
      </w:r>
      <w:r>
        <w:t xml:space="preserve">pixel perfect</w:t>
      </w:r>
      <w:r>
        <w:t xml:space="preserve">’</w:t>
      </w:r>
      <w:r>
        <w:t xml:space="preserve"> </w:t>
      </w:r>
      <w:r>
        <w:rPr>
          <w:iCs/>
          <w:i/>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energy transfer and material flow</w:t>
      </w:r>
      <w:r>
        <w:t xml:space="preserve"> </w:t>
      </w:r>
      <w:r>
        <w:t xml:space="preserve">(Lindeman 1942)</w:t>
      </w:r>
      <w:r>
        <w:t xml:space="preserve">. How we quantify links will influence the resulting structure of the network - and the inferences we will make thereof. For example taking a food web that consists of links representing</w:t>
      </w:r>
      <w:r>
        <w:t xml:space="preserve"> </w:t>
      </w:r>
      <w:r>
        <w:rPr>
          <w:iCs/>
          <w:i/>
        </w:rPr>
        <w:t xml:space="preserve">potential</w:t>
      </w:r>
      <w:r>
        <w:t xml:space="preserve"> </w:t>
      </w:r>
      <w:r>
        <w:t xml:space="preserve">feeding links between species (</w:t>
      </w:r>
      <w:r>
        <w:rPr>
          <w:iCs/>
          <w:i/>
        </w:rPr>
        <w:t xml:space="preserve">i.e.,</w:t>
      </w:r>
      <w:r>
        <w:t xml:space="preserve"> </w:t>
      </w:r>
      <w:r>
        <w:t xml:space="preserve">a</w:t>
      </w:r>
      <w:r>
        <w:t xml:space="preserve"> </w:t>
      </w:r>
      <w:r>
        <w:t xml:space="preserve">‘</w:t>
      </w:r>
      <w:r>
        <w:t xml:space="preserve">present</w:t>
      </w:r>
      <w:r>
        <w:t xml:space="preserve">’</w:t>
      </w:r>
      <w:r>
        <w:t xml:space="preserve"> </w:t>
      </w:r>
      <w:r>
        <w:t xml:space="preserve">interaction is one implies that species</w:t>
      </w:r>
      <w:r>
        <w:t xml:space="preserve"> </w:t>
      </w:r>
      <w:r>
        <w:rPr>
          <w:iCs/>
          <w:i/>
        </w:rPr>
        <w:t xml:space="preserve">a</w:t>
      </w:r>
      <w:r>
        <w:t xml:space="preserve"> </w:t>
      </w:r>
      <w:r>
        <w:t xml:space="preserve">has the ability to consume species</w:t>
      </w:r>
      <w:r>
        <w:t xml:space="preserve"> </w:t>
      </w:r>
      <w:r>
        <w:rPr>
          <w:iCs/>
          <w:i/>
        </w:rPr>
        <w:t xml:space="preserve">b</w:t>
      </w:r>
      <w:r>
        <w:t xml:space="preserve"> </w:t>
      </w:r>
      <w:r>
        <w:t xml:space="preserve">but it does not mean that this interaction is realised in the field) will be meaningless if you are interested in understanding the flow of energy through the system as the links within the network are over connected. In addition to the various ways of defining the links between species pairs there are also a myriad of ways in which the links themselves can be quantified. Links between species are often treated as being present or absent (</w:t>
      </w:r>
      <w:r>
        <w:rPr>
          <w:iCs/>
          <w:i/>
        </w:rPr>
        <w:t xml:space="preserve">i.e.,</w:t>
      </w:r>
      <w:r>
        <w:t xml:space="preserve"> </w:t>
      </w:r>
      <w:r>
        <w:t xml:space="preserve">binary) but it is also possible to use probabilities</w:t>
      </w:r>
      <w:r>
        <w:t xml:space="preserve"> </w:t>
      </w:r>
      <w:r>
        <w:t xml:space="preserve">(which quantifies how likely an interaction is to occur, Poisot, Cirtwill, et al. 2016)</w:t>
      </w:r>
      <w:r>
        <w:t xml:space="preserve"> </w:t>
      </w:r>
      <w:r>
        <w:t xml:space="preserve">or continuous measurements</w:t>
      </w:r>
      <w:r>
        <w:t xml:space="preserve"> </w:t>
      </w:r>
      <w:r>
        <w:t xml:space="preserve">(which quantifies the effect of one species on another, 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5"/>
    <w:bookmarkStart w:id="26" w:name="aggregating-networks"/>
    <w:p>
      <w:pPr>
        <w:pStyle w:val="Heading3"/>
      </w:pPr>
      <w:r>
        <w:t xml:space="preserve">1.3 Aggregating networks</w:t>
      </w:r>
    </w:p>
    <w:p>
      <w:pPr>
        <w:pStyle w:val="FirstParagraph"/>
      </w:pPr>
      <w:r>
        <w:t xml:space="preserve">Here I think we need to talk about realised vs potential links (i.e. the concept of a metaweb) but also the idea that we are often aggregating over time and space which makes boundaries and whatnot all a bit fuzzy</w:t>
      </w:r>
    </w:p>
    <w:p>
      <w:pPr>
        <w:pStyle w:val="BlockText"/>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bookmarkEnd w:id="26"/>
    <w:bookmarkStart w:id="27" w:name="Xd2b304d41a6d0e9195260e2c4114d0b234683e7"/>
    <w:p>
      <w:pPr>
        <w:pStyle w:val="Heading3"/>
      </w:pPr>
      <w:r>
        <w:t xml:space="preserve">1.4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Cs/>
          <w:i/>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w:t>
      </w:r>
      <w:r>
        <w:t xml:space="preserve"> </w:t>
      </w:r>
      <w:r>
        <w:t xml:space="preserve">(the</w:t>
      </w:r>
      <w:r>
        <w:t xml:space="preserve"> </w:t>
      </w:r>
      <w:r>
        <w:t xml:space="preserve">“</w:t>
      </w:r>
      <w:r>
        <w:t xml:space="preserve">niche axis,</w:t>
      </w:r>
      <w:r>
        <w:t xml:space="preserve">”</w:t>
      </w:r>
      <w:r>
        <w:t xml:space="preserve"> </w:t>
      </w:r>
      <w:r>
        <w:t xml:space="preserve">Allesina, Alonso, and Pascual 2008)</w:t>
      </w:r>
      <w:r>
        <w:t xml:space="preserve"> </w:t>
      </w:r>
      <w:r>
        <w:t xml:space="preserve">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This</w:t>
      </w:r>
      <w:r>
        <w:t xml:space="preserve"> </w:t>
      </w:r>
      <w:r>
        <w:t xml:space="preserve">‘</w:t>
      </w:r>
      <w:r>
        <w:t xml:space="preserve">niche-based</w:t>
      </w:r>
      <w:r>
        <w:t xml:space="preserve">’</w:t>
      </w:r>
      <w:r>
        <w:t xml:space="preserve"> </w:t>
      </w:r>
      <w:r>
        <w:t xml:space="preserve">way of thinking might be beneficial when thinking about networks at the structural level, and when trying to map large-scale processes [ref?] however there was also a need to develop ways of thinking that were more geared to thinking about why does species</w:t>
      </w:r>
      <w:r>
        <w:t xml:space="preserve"> </w:t>
      </w:r>
      <w:r>
        <w:rPr>
          <w:iCs/>
          <w:i/>
        </w:rPr>
        <w:t xml:space="preserve">a</w:t>
      </w:r>
      <w:r>
        <w:t xml:space="preserve"> </w:t>
      </w:r>
      <w:r>
        <w:t xml:space="preserve">predate species</w:t>
      </w:r>
      <w:r>
        <w:t xml:space="preserve"> </w:t>
      </w:r>
      <w:r>
        <w:rPr>
          <w:iCs/>
          <w:i/>
        </w:rPr>
        <w:t xml:space="preserve">b</w:t>
      </w:r>
      <w:r>
        <w:t xml:space="preserve">, broadly this is the result of two things; a predator needs to have the correct traits to be able to capture, kill, and consume, its prey (a mismatch between predator and prey is termed a forbidden link,</w:t>
      </w:r>
      <w:r>
        <w:t xml:space="preserve"> </w:t>
      </w:r>
      <w:r>
        <w:t xml:space="preserve">Jordano (2016b)</w:t>
      </w:r>
      <w:r>
        <w:t xml:space="preserve">) and it needs to be energetically feasible [feeding ecology ref]. When we think of interactions in these terms it makes sense that nodes are defined at the species level (or at least as species that have the same traits and/or energy content), however the links between them can be quantified in different ways… [this is lazy writing]</w:t>
      </w:r>
    </w:p>
    <w:p>
      <w:pPr>
        <w:pStyle w:val="BodyText"/>
      </w:pPr>
      <w:r>
        <w:rPr>
          <w:iCs/>
          <w:i/>
        </w:rPr>
        <w:t xml:space="preserve">something, something, introducing that the same problem (different philosophies) is also a thing that you need to think about when aggregating interactions/generating networks.</w:t>
      </w:r>
    </w:p>
    <w:bookmarkEnd w:id="27"/>
    <w:bookmarkEnd w:id="28"/>
    <w:bookmarkStart w:id="57" w:name="constructing-ecological-networks"/>
    <w:p>
      <w:pPr>
        <w:pStyle w:val="Heading2"/>
      </w:pPr>
      <w:r>
        <w:t xml:space="preserve">2 Constructing ecological networks</w:t>
      </w:r>
    </w:p>
    <w:p>
      <w:pPr>
        <w:pStyle w:val="BlockText"/>
      </w:pPr>
      <w:r>
        <w:t xml:space="preserve">maybe a more direct link here to the fact that when working with networks its often synthetic ones</w:t>
      </w:r>
      <w:r>
        <w:t xml:space="preserve"> </w:t>
      </w:r>
      <w:r>
        <w:rPr>
          <w:iCs/>
          <w:i/>
        </w:rPr>
        <w:t xml:space="preserve">i.e.,</w:t>
      </w:r>
      <w:r>
        <w:t xml:space="preserve"> </w:t>
      </w:r>
      <w:r>
        <w:t xml:space="preserve">the product of some sort of modelling exercise; alternatively there has also been a push to develop predictive tools to create hypothetical (but plausible) networks for real world situations. Also talk about even deciding to create a network from field observations is in and of itself still a</w:t>
      </w:r>
      <w:r>
        <w:t xml:space="preserve"> </w:t>
      </w:r>
      <w:r>
        <w:t xml:space="preserve">‘</w:t>
      </w:r>
      <w:r>
        <w:t xml:space="preserve">model</w:t>
      </w:r>
      <w:r>
        <w:t xml:space="preserve">’</w:t>
      </w:r>
      <w:r>
        <w:t xml:space="preserve"> </w:t>
      </w:r>
      <w:r>
        <w:t xml:space="preserve">that has assumptions… for example decisions are made about delimiting, aggregation, and observation, the idea of aggregating over time or aggregating over space. Same can e said for different food web generating tools , they have their own underlying rules and assumptions that are made when constructing a food web, which will determine and influence the resulting structure or inferred interactions</w:t>
      </w:r>
      <w:r>
        <w:t xml:space="preserve"> </w:t>
      </w:r>
      <w:r>
        <w:t xml:space="preserve">(Petchey et al. 2008)</w:t>
      </w:r>
    </w:p>
    <w:p>
      <w:pPr>
        <w:pStyle w:val="FirstParagraph"/>
      </w:pPr>
      <w:r>
        <w:t xml:space="preserve">Arguably the need for methods and tools that can be used to construct synthetic food webs arises from two different (but still aligned) places of interest within the field of network ecology. On the one side sits the researcher who is interested in generating a set of ecologically plausible networks for the purpose of understanding some higher-level process/concept (</w:t>
      </w:r>
      <w:r>
        <w:rPr>
          <w:iCs/>
          <w:i/>
        </w:rPr>
        <w:t xml:space="preserve">e.g.,</w:t>
      </w:r>
      <w:r>
        <w:t xml:space="preserve"> </w:t>
      </w:r>
      <w:r>
        <w:t xml:space="preserve">understanding energy flows) in a more synthetic setting, whereby these networks do not require any level of species specificity</w:t>
      </w:r>
      <w:r>
        <w:t xml:space="preserve"> </w:t>
      </w:r>
      <w:r>
        <w:rPr>
          <w:iCs/>
          <w:i/>
        </w:rPr>
        <w:t xml:space="preserve">per se</w:t>
      </w:r>
      <w:r>
        <w:t xml:space="preserve"> </w:t>
      </w:r>
      <w:r>
        <w:t xml:space="preserve">and it is more the arrangement of the nodes and links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interactions in the field (see</w:t>
      </w:r>
      <w:r>
        <w:t xml:space="preserve"> </w:t>
      </w:r>
      <w:r>
        <w:t xml:space="preserve">Morales-Castilla et al. (2015)</w:t>
      </w:r>
      <w:r>
        <w:t xml:space="preserve"> </w:t>
      </w:r>
      <w:r>
        <w:t xml:space="preserve">for a more mechanistic, and</w:t>
      </w:r>
      <w:r>
        <w:t xml:space="preserve"> </w:t>
      </w:r>
      <w:r>
        <w:t xml:space="preserve">Strydom et al. (2021)</w:t>
      </w:r>
      <w:r>
        <w:t xml:space="preserve"> </w:t>
      </w:r>
      <w:r>
        <w:t xml:space="preserve">for a more statistical overview of ways to approach this specific issue). Of course these two categories are not distinct, mutually exclusive, groups but can rather be viewed as operating on a continuum ranging from a need for generality (</w:t>
      </w:r>
      <w:r>
        <w:rPr>
          <w:iCs/>
          <w:i/>
        </w:rPr>
        <w:t xml:space="preserve">i.e.,</w:t>
      </w:r>
      <w:r>
        <w:t xml:space="preserve"> </w:t>
      </w:r>
      <w:r>
        <w:t xml:space="preserve">creating a network that, when taken in aggregate, the distribution of links (interactions) between nodes (species) are ecologically plausible) to a need for specificity (</w:t>
      </w:r>
      <w:r>
        <w:rPr>
          <w:iCs/>
          <w:i/>
        </w:rPr>
        <w:t xml:space="preserve">i.e.,</w:t>
      </w:r>
      <w:r>
        <w:t xml:space="preserve"> </w:t>
      </w:r>
      <w:r>
        <w:t xml:space="preserve">local-level predictions between specific species pairs).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2024), but also how well the tool is able to retrieve the specific network or interaction properties that they desire.</w:t>
      </w:r>
    </w:p>
    <w:bookmarkStart w:id="43" w:name="model-families"/>
    <w:p>
      <w:pPr>
        <w:pStyle w:val="Heading3"/>
      </w:pPr>
      <w:r>
        <w:t xml:space="preserve">2.1 Model families</w:t>
      </w:r>
    </w:p>
    <w:p>
      <w:pPr>
        <w:pStyle w:val="FirstParagraph"/>
      </w:pPr>
      <w:r>
        <w:t xml:space="preserve">As there are many food web generating tools to choose from it is perhaps useful to think about these tools in terms of families, where families represent tools that have a similar methodology and (more importantly) have the same underlying philosophies and assumptions that determine the links betweens nodes as well as how these may be encoded, a summary of these model families are presented in</w:t>
      </w:r>
      <w:r>
        <w:t xml:space="preserve"> </w:t>
      </w:r>
      <w:hyperlink w:anchor="tbl-families">
        <w:r>
          <w:rPr>
            <w:rStyle w:val="Hyperlink"/>
          </w:rPr>
          <w:t xml:space="preserve">Table 1</w:t>
        </w:r>
      </w:hyperlink>
      <w:r>
        <w:t xml:space="preserve"> </w:t>
      </w:r>
      <w:r>
        <w:t xml:space="preserve">and discussed in more detail below. It should be noted that although we provide some examples of specific use cases within each model family this by no means an exhaustive list of of all the different approaches ever used but rather a representative collection of some of the more canonical approaches used within each model family. Although there have been efforts to compare and contrast different models</w:t>
      </w:r>
      <w:r>
        <w:t xml:space="preserve"> </w:t>
      </w:r>
      <w:r>
        <w:t xml:space="preserve">Pichler et al. (2020)</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food web.</w:t>
      </w:r>
    </w:p>
    <w:tbl>
      <w:tblPr>
        <w:tblStyle w:val="Table"/>
        <w:tblW w:type="pct" w:w="5000"/>
        <w:tblLook w:firstRow="0" w:lastRow="0" w:firstColumn="0" w:lastColumn="0" w:noHBand="0" w:noVBand="0" w:val="0000"/>
        <w:jc w:val="start"/>
        <w:tblLayout w:type="fixed"/>
      </w:tblPr>
      <w:tblGrid>
        <w:gridCol w:w="7920"/>
      </w:tblGrid>
      <w:tr>
        <w:tc>
          <w:tcPr/>
          <w:bookmarkStart w:id="29"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ook w:firstRow="1" w:lastRow="0" w:firstColumn="0" w:lastColumn="0" w:noHBand="0" w:noVBand="0" w:val="0020"/>
              <w:jc w:val="start"/>
              <w:tblLayout w:type="fixed"/>
            </w:tblPr>
            <w:tblGrid>
              <w:gridCol w:w="1131"/>
              <w:gridCol w:w="1131"/>
              <w:gridCol w:w="1131"/>
              <w:gridCol w:w="1131"/>
              <w:gridCol w:w="1131"/>
              <w:gridCol w:w="1131"/>
              <w:gridCol w:w="1131"/>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Williams and Martinez (2008)</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Strydom et al. (2023)</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Morales-Castilla et al. (2015)</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Pichler et al. (2020)</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pPr>
                </w:p>
              </w:tc>
            </w:tr>
          </w:tbl>
          <w:bookmarkEnd w:id="29"/>
          <w:p/>
        </w:tc>
      </w:tr>
    </w:tbl>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This family of models is often used as a way of benchmarking things… Broadly there are two different approaches;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w:t>
      </w:r>
    </w:p>
    <w:p>
      <w:pPr>
        <w:pStyle w:val="BodyText"/>
      </w:pPr>
      <w:r>
        <w:rPr>
          <w:bCs/>
          <w:b/>
        </w:rPr>
        <w:t xml:space="preserve">Neutral models:</w:t>
      </w:r>
      <w:r>
        <w:t xml:space="preserve"> </w:t>
      </w:r>
      <w:r>
        <w:t xml:space="preserve">Can be tied to Hubble’s (spellings but also name??) neutral theory [ref, probably mass-ratio] where it is assumed that the interactions that occur between species are due to the abundance of species within the community</w:t>
      </w:r>
      <w:r>
        <w:t xml:space="preserve"> </w:t>
      </w:r>
      <w:r>
        <w:t xml:space="preserve">(Pomeranz et al. 2019)</w:t>
      </w:r>
      <w:r>
        <w:t xml:space="preserve">.</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to determine interactions.</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trait-feeding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 Another approach that uses the concept of embedding is the log-ratio approach</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by using ecological proxies</w:t>
      </w:r>
      <w:r>
        <w:t xml:space="preserve"> </w:t>
      </w:r>
      <w:r>
        <w:t xml:space="preserve">(see Morales-Castilla et al. 2015 for a more details on the idea of using this approach)</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feasibly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This approach involves having a group of experts come together to assess and assign the likelihood of feeding interactions being able to occur for a specified community. This is done in a pairwise manner where the experts will assign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w:t>
      </w:r>
      <w:r>
        <w:t xml:space="preserve">This has the added advantage that interactions can be scored in a more categorical (or probabilistic)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or</w:t>
      </w:r>
      <w:r>
        <w:t xml:space="preserve"> </w:t>
      </w:r>
      <w:r>
        <w:rPr>
          <w:iCs/>
          <w:i/>
        </w:rPr>
        <w:t xml:space="preserve">network</w:t>
      </w:r>
      <w:r>
        <w:t xml:space="preserve"> </w:t>
      </w:r>
      <w:r>
        <w:rPr>
          <w:iCs/>
          <w:i/>
        </w:rPr>
        <w:t xml:space="preserve">e.g.,</w:t>
      </w:r>
      <w:r>
        <w:t xml:space="preserve"> </w:t>
      </w:r>
      <w:r>
        <w:t xml:space="preserve">Mangal</w:t>
      </w:r>
      <w:r>
        <w:t xml:space="preserve"> </w:t>
      </w:r>
      <w:r>
        <w:t xml:space="preserve">(Poisot, Baiser, et al. 2016)</w:t>
      </w:r>
      <w:r>
        <w:t xml:space="preserve"> </w:t>
      </w:r>
      <w:r>
        <w:t xml:space="preserve">datasets, these can be mined to look for interactions for specific species pairs. This is done by matching species pairs against those within a dataset of trophic interactions to determine if an interaction is present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and will thus be prone to many false negatives (missing pairwise interactions) being generated using this approach.</w:t>
      </w:r>
    </w:p>
    <w:p>
      <w:pPr>
        <w:pStyle w:val="BodyText"/>
      </w:pPr>
      <w:r>
        <w:rPr>
          <w:bCs/>
          <w:b/>
        </w:rPr>
        <w:t xml:space="preserve">Co-occurrence:</w:t>
      </w:r>
      <w:r>
        <w:t xml:space="preserve"> </w:t>
      </w:r>
      <w:r>
        <w:t xml:space="preserve">Trying to infer interactions from the co-occurrence patterns of species pairs within the community</w:t>
      </w:r>
      <w:r>
        <w:t xml:space="preserve"> </w:t>
      </w:r>
      <w:r>
        <w:rPr>
          <w:iCs/>
          <w:i/>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ook w:firstRow="0" w:lastRow="0" w:firstColumn="0" w:lastColumn="0" w:noHBand="0" w:noVBand="0" w:val="0000"/>
        <w:jc w:val="start"/>
        <w:tblLayout w:type="fixed"/>
      </w:tblPr>
      <w:tblGrid>
        <w:gridCol w:w="7920"/>
      </w:tblGrid>
      <w:tr>
        <w:tc>
          <w:tcPr/>
          <w:bookmarkStart w:id="33" w:name="fig-venn"/>
          <w:p>
            <w:pPr>
              <w:pStyle w:val="Compact"/>
              <w:jc w:val="center"/>
            </w:pPr>
            <w:r>
              <w:drawing>
                <wp:inline>
                  <wp:extent cx="5334000" cy="3725758"/>
                  <wp:effectExtent b="0" l="0" r="0" t="0"/>
                  <wp:docPr descr="" title="" id="31" name="Picture"/>
                  <a:graphic>
                    <a:graphicData uri="http://schemas.openxmlformats.org/drawingml/2006/picture">
                      <pic:pic>
                        <pic:nvPicPr>
                          <pic:cNvPr descr="images/model_venn.png" id="32" name="Picture"/>
                          <pic:cNvPicPr>
                            <a:picLocks noChangeArrowheads="1" noChangeAspect="1"/>
                          </pic:cNvPicPr>
                        </pic:nvPicPr>
                        <pic:blipFill>
                          <a:blip r:embed="rId30"/>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7" w:name="fig-outhwaite"/>
          <w:p>
            <w:pPr>
              <w:pStyle w:val="Compact"/>
              <w:jc w:val="center"/>
            </w:pPr>
            <w:r>
              <w:drawing>
                <wp:inline>
                  <wp:extent cx="5334000" cy="4000500"/>
                  <wp:effectExtent b="0" l="0" r="0" t="0"/>
                  <wp:docPr descr="" title="" id="35" name="Picture"/>
                  <a:graphic>
                    <a:graphicData uri="http://schemas.openxmlformats.org/drawingml/2006/picture">
                      <pic:pic>
                        <pic:nvPicPr>
                          <pic:cNvPr descr="images/outhwaite_schematic.jpeg" id="36"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37"/>
        </w:tc>
      </w:tr>
    </w:tbl>
    <w:tbl>
      <w:tblPr>
        <w:tblStyle w:val="Table"/>
        <w:tblW w:type="pct" w:w="5000"/>
        <w:tblLook w:firstRow="0" w:lastRow="0" w:firstColumn="0" w:lastColumn="0" w:noHBand="0" w:noVBand="0" w:val="0000"/>
        <w:jc w:val="start"/>
        <w:tblLayout w:type="fixed"/>
      </w:tblPr>
      <w:tblGrid>
        <w:gridCol w:w="7920"/>
      </w:tblGrid>
      <w:tr>
        <w:tc>
          <w:tcPr/>
          <w:bookmarkStart w:id="41" w:name="fig-dendo"/>
          <w:p>
            <w:pPr>
              <w:pStyle w:val="Compact"/>
              <w:jc w:val="center"/>
            </w:pPr>
            <w:r>
              <w:drawing>
                <wp:inline>
                  <wp:extent cx="5334000" cy="3810000"/>
                  <wp:effectExtent b="0" l="0" r="0" t="0"/>
                  <wp:docPr descr="" title="" id="39" name="Picture"/>
                  <a:graphic>
                    <a:graphicData uri="http://schemas.openxmlformats.org/drawingml/2006/picture">
                      <pic:pic>
                        <pic:nvPicPr>
                          <pic:cNvPr descr="index_files/figure-docx/notebooks-model_qualitative-fig-dendo-output-1.png" id="40" name="Picture"/>
                          <pic:cNvPicPr>
                            <a:picLocks noChangeArrowheads="1" noChangeAspect="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Dendrogram of the trait table</w:t>
            </w:r>
          </w:p>
          <w:bookmarkEnd w:id="41"/>
        </w:tc>
      </w:tr>
    </w:tbl>
    <w:p>
      <w:pPr>
        <w:pStyle w:val="BodyText"/>
      </w:pPr>
      <w:r>
        <w:rPr>
          <w:vertAlign w:val="subscript"/>
        </w:rPr>
        <w:t xml:space="preserve">Source:</w:t>
      </w:r>
      <w:r>
        <w:rPr>
          <w:vertAlign w:val="subscript"/>
        </w:rPr>
        <w:t xml:space="preserve"> </w:t>
      </w:r>
      <w:hyperlink r:id="rId42">
        <w:r>
          <w:rPr>
            <w:rStyle w:val="Hyperlink"/>
            <w:vertAlign w:val="subscript"/>
          </w:rPr>
          <w:t xml:space="preserve">Model family traits</w:t>
        </w:r>
      </w:hyperlink>
    </w:p>
    <w:bookmarkEnd w:id="43"/>
    <w:bookmarkStart w:id="55" w:name="assessing-model-outputs"/>
    <w:p>
      <w:pPr>
        <w:pStyle w:val="Heading3"/>
      </w:pPr>
      <w:r>
        <w:t xml:space="preserve">2.2 Assessing model outputs</w:t>
      </w:r>
    </w:p>
    <w:p>
      <w:pPr>
        <w:pStyle w:val="FirstParagraph"/>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two broader criteria, namely the ability of the model to correctly capture different elements of the structure of the network and the ability of the model to correctly retrieve pairwise interactions. When thinking about how to benchmark models it is perhaps beneficial to take a step back and once again assess what are the needs of the researcher and linking this back to what aspects of the network (</w:t>
      </w:r>
      <w:hyperlink w:anchor="sec-network-anatomy">
        <w:r>
          <w:rPr>
            <w:rStyle w:val="Hyperlink"/>
          </w:rPr>
          <w:t xml:space="preserve">Section 1</w:t>
        </w:r>
      </w:hyperlink>
      <w:r>
        <w:t xml:space="preserve">) are of importance. For example if we are concerned with being able to successfully predict pairwise interactions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(Allesina, Alonso, and Pascual 2008)</w:t>
      </w:r>
      <w:r>
        <w:t xml:space="preserve">. One of the main challenges when assessing the ability to retrieve pairwise interactions is that food webs are sparse (that means that there are few links given the number of species) and it is important tha we are able to discern between a model that is able to correctly predict interactions that do (true positives) and not (true negatives) occur and one that is simply predicting a lack of interactions</w:t>
      </w:r>
      <w:r>
        <w:t xml:space="preserve"> </w:t>
      </w:r>
      <w:r>
        <w:t xml:space="preserve">(Poisot 2023)</w:t>
      </w:r>
      <w:r>
        <w:t xml:space="preserve">.</w:t>
      </w:r>
    </w:p>
    <w:p>
      <w:pPr>
        <w:pStyle w:val="BlockText"/>
      </w:pPr>
      <w:r>
        <w:t xml:space="preserve">benchmarking requires the use of empirical networks and comparing that to the predicted one</w:t>
      </w:r>
    </w:p>
    <w:bookmarkStart w:id="49" w:name="benchmarking-for-structure"/>
    <w:p>
      <w:pPr>
        <w:pStyle w:val="Heading5"/>
      </w:pPr>
      <w:r>
        <w:t xml:space="preserve">2.2.0.1 Benchmarking for structure</w:t>
      </w:r>
    </w:p>
    <w:p>
      <w:pPr>
        <w:pStyle w:val="FirstParagraph"/>
      </w:pPr>
      <w:r>
        <w:t xml:space="preserve">Despite structural models being some of the older model families there is a distinctive lack of clear guidelines as to how we assess the ability of these models to replicate the</w:t>
      </w:r>
      <w:r>
        <w:t xml:space="preserve"> </w:t>
      </w:r>
      <w:r>
        <w:rPr>
          <w:iCs/>
          <w:i/>
        </w:rPr>
        <w:t xml:space="preserve">entire</w:t>
      </w:r>
      <w:r>
        <w:t xml:space="preserve"> </w:t>
      </w:r>
      <w:r>
        <w:t xml:space="preserve">structure of a network. In part this may perhaps be driven by the underlying research agenda and interest in different aspects of capturing the structure of networks</w:t>
      </w:r>
      <w:r>
        <w:t xml:space="preserve"> </w:t>
      </w:r>
      <w:r>
        <w:rPr>
          <w:iCs/>
          <w:i/>
        </w:rPr>
        <w:t xml:space="preserve">e.g.,</w:t>
      </w:r>
      <w:r>
        <w:t xml:space="preserve"> </w:t>
      </w:r>
      <w:r>
        <w:t xml:space="preserve">the obsession with intervality [ref] or link distributions [ref]. However, it is still a good idea to think about the network in its entirety and to benchmark structural models in a more holistic manner. Some useful ways to assess how well the model predicts the shape (</w:t>
      </w:r>
      <w:r>
        <w:rPr>
          <w:iCs/>
          <w:i/>
        </w:rPr>
        <w:t xml:space="preserve">e.g.,</w:t>
      </w:r>
      <w:r>
        <w:t xml:space="preserve"> </w:t>
      </w:r>
      <w:r>
        <w:t xml:space="preserve">the height (chain length) and…), links (</w:t>
      </w:r>
      <w:r>
        <w:rPr>
          <w:iCs/>
          <w:i/>
        </w:rPr>
        <w:t xml:space="preserve">e.g.,</w:t>
      </w:r>
      <w:r>
        <w:t xml:space="preserve"> </w:t>
      </w:r>
      <w:r>
        <w:t xml:space="preserve">connectance), internal structure (</w:t>
      </w:r>
      <w:r>
        <w:rPr>
          <w:iCs/>
          <w:i/>
        </w:rPr>
        <w:t xml:space="preserve">e.g.,</w:t>
      </w:r>
      <w:r>
        <w:t xml:space="preserve"> </w:t>
      </w:r>
      <w:r>
        <w:t xml:space="preserve">SVD entropy,</w:t>
      </w:r>
      <w:r>
        <w:t xml:space="preserve"> </w:t>
      </w:r>
      <w:r>
        <w:t xml:space="preserve">Strydom, Dalla Riva, and Poisot (2021)</w:t>
      </w:r>
      <w:r>
        <w:t xml:space="preserve">), and meso-level features (</w:t>
      </w:r>
      <w:r>
        <w:rPr>
          <w:iCs/>
          <w:i/>
        </w:rPr>
        <w:t xml:space="preserve">e.g.,</w:t>
      </w:r>
      <w:r>
        <w:t xml:space="preserve"> </w:t>
      </w:r>
      <w:r>
        <w:t xml:space="preserve">motifs,</w:t>
      </w:r>
      <w:r>
        <w:t xml:space="preserve"> </w:t>
      </w:r>
      <w:r>
        <w:t xml:space="preserve">Stouffer et al. (2007)</w:t>
      </w:r>
      <w:r>
        <w:t xml:space="preserve">) of a network. This is shown in</w:t>
      </w:r>
      <w:r>
        <w:t xml:space="preserve"> </w:t>
      </w:r>
      <w:hyperlink w:anchor="fig-topology">
        <w:r>
          <w:rPr>
            <w:rStyle w:val="Hyperlink"/>
          </w:rPr>
          <w:t xml:space="preserve">Figure 5</w:t>
        </w:r>
      </w:hyperlink>
      <w:r>
        <w:t xml:space="preserve">…</w:t>
      </w:r>
    </w:p>
    <w:p>
      <w:pPr>
        <w:numPr>
          <w:ilvl w:val="0"/>
          <w:numId w:val="1001"/>
        </w:numPr>
      </w:pPr>
      <w:r>
        <w:t xml:space="preserve">Maybe look at some of the historic papers that compare some of the</w:t>
      </w:r>
      <w:r>
        <w:t xml:space="preserve"> </w:t>
      </w:r>
      <w:r>
        <w:t xml:space="preserve">‘</w:t>
      </w:r>
      <w:r>
        <w:t xml:space="preserve">resource models</w:t>
      </w:r>
      <w:r>
        <w:t xml:space="preserve">’</w:t>
      </w:r>
    </w:p>
    <w:p>
      <w:pPr>
        <w:numPr>
          <w:ilvl w:val="0"/>
          <w:numId w:val="1001"/>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1"/>
        </w:numPr>
      </w:pPr>
      <w:r>
        <w:t xml:space="preserve">Look at</w:t>
      </w:r>
      <w:r>
        <w:t xml:space="preserve"> </w:t>
      </w:r>
      <w:r>
        <w:t xml:space="preserve">Vermaat, Dunne, and Gilbert (2009)</w:t>
      </w:r>
    </w:p>
    <w:tbl>
      <w:tblPr>
        <w:tblStyle w:val="Table"/>
        <w:tblW w:type="pct" w:w="5000"/>
        <w:tblLook w:firstRow="0" w:lastRow="0" w:firstColumn="0" w:lastColumn="0" w:noHBand="0" w:noVBand="0" w:val="0000"/>
        <w:jc w:val="start"/>
        <w:tblLayout w:type="fixed"/>
      </w:tblPr>
      <w:tblGrid>
        <w:gridCol w:w="7920"/>
      </w:tblGrid>
      <w:tr>
        <w:tc>
          <w:tcPr/>
          <w:bookmarkStart w:id="47" w:name="fig-topology"/>
          <w:p>
            <w:pPr>
              <w:pStyle w:val="Compact"/>
              <w:jc w:val="center"/>
            </w:pPr>
            <w:r>
              <w:drawing>
                <wp:inline>
                  <wp:extent cx="5334000" cy="3810000"/>
                  <wp:effectExtent b="0" l="0" r="0" t="0"/>
                  <wp:docPr descr="" title="" id="45" name="Picture"/>
                  <a:graphic>
                    <a:graphicData uri="http://schemas.openxmlformats.org/drawingml/2006/picture">
                      <pic:pic>
                        <pic:nvPicPr>
                          <pic:cNvPr descr="index_files/figure-docx/notebooks-model_quantitative-fig-topology-output-2.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Difference between real and model network property. S1 - S5 represent the different motif structures identified in</w:t>
            </w:r>
            <w:r>
              <w:t xml:space="preserve"> </w:t>
            </w:r>
            <w:r>
              <w:t xml:space="preserve">Stouffer et al. (2007)</w:t>
            </w:r>
            <w:r>
              <w:t xml:space="preserve">.</w:t>
            </w:r>
          </w:p>
          <w:bookmarkEnd w:id="47"/>
        </w:tc>
      </w:tr>
    </w:tbl>
    <w:p>
      <w:pPr>
        <w:pStyle w:val="BodyText"/>
      </w:pPr>
      <w:r>
        <w:rPr>
          <w:vertAlign w:val="subscript"/>
        </w:rPr>
        <w:t xml:space="preserve">Source:</w:t>
      </w:r>
      <w:r>
        <w:rPr>
          <w:vertAlign w:val="subscript"/>
        </w:rPr>
        <w:t xml:space="preserve"> </w:t>
      </w:r>
      <w:hyperlink r:id="rId48">
        <w:r>
          <w:rPr>
            <w:rStyle w:val="Hyperlink"/>
            <w:vertAlign w:val="subscript"/>
          </w:rPr>
          <w:t xml:space="preserve">Quantitative approach to topology generators</w:t>
        </w:r>
      </w:hyperlink>
    </w:p>
    <w:bookmarkEnd w:id="49"/>
    <w:bookmarkStart w:id="54" w:name="benchmarking-for-interactions"/>
    <w:p>
      <w:pPr>
        <w:pStyle w:val="Heading5"/>
      </w:pPr>
      <w:r>
        <w:t xml:space="preserve">2.2.0.2 Benchmarking for interactions</w:t>
      </w:r>
    </w:p>
    <w:p>
      <w:pPr>
        <w:pStyle w:val="FirstParagraph"/>
      </w:pPr>
      <w:r>
        <w:t xml:space="preserve">Broadly speaking the task of assessing the ability of a model to predict interactions as being an assessment of the model’s classification ability (does it correctly predict the presence and absence of interactions?) and so we want to benchmark the model on how well it is able to correctly predict these presences and absences. This can be done in a myriad of ways</w:t>
      </w:r>
      <w:r>
        <w:t xml:space="preserve"> </w:t>
      </w:r>
      <w:r>
        <w:t xml:space="preserve">(Strydom et al. 2021; Poisot 2023)</w:t>
      </w:r>
      <w:r>
        <w:t xml:space="preserve"> </w:t>
      </w:r>
      <w:r>
        <w:t xml:space="preserve">but is always based off of the confusion matrix [ref maybe?]. Essentially the confusion matrix 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 Using the confusion matrix it is then possible to assess the</w:t>
      </w:r>
      <w:r>
        <w:t xml:space="preserve"> </w:t>
      </w:r>
      <w:r>
        <w:t xml:space="preserve">‘</w:t>
      </w:r>
      <w:r>
        <w:t xml:space="preserve">quality</w:t>
      </w:r>
      <w:r>
        <w:t xml:space="preserve">’</w:t>
      </w:r>
      <w:r>
        <w:t xml:space="preserve"> </w:t>
      </w:r>
      <w:r>
        <w:t xml:space="preserve">of the model predictions such as their accuracy or informedness.</w:t>
      </w:r>
    </w:p>
    <w:p>
      <w:pPr>
        <w:pStyle w:val="BodyText"/>
      </w:pPr>
      <w:r>
        <w:t xml:space="preserve">As mentioned above one of the main challenges we are faced with when trying to benchmark interaction predictions is the high class imbalance (inherit sparsity) of networks, and as highlighted by</w:t>
      </w:r>
      <w:r>
        <w:t xml:space="preserve"> </w:t>
      </w:r>
      <w:r>
        <w:t xml:space="preserve">Poisot (2023)</w:t>
      </w:r>
      <w:r>
        <w:t xml:space="preserve"> </w:t>
      </w:r>
      <w:r>
        <w:t xml:space="preserve">we can very easy to lull ourselves into a false sense of predictive accuracy if we use the wrong benchmarking tools — even a low skill (fails to predict interactions that are present) model can appear to do well if we assess it on its ability to correctly predict interactions, this is because most interactions are absent and so a model that predicts interactions as being absent will still predict most interactions correctly. Another aspect of assessing these types of predictions is quantifying the bias of the model, this will give and indication id the model tends to systematically over predict one of the classes. As per</w:t>
      </w:r>
      <w:r>
        <w:t xml:space="preserve"> </w:t>
      </w:r>
      <w:r>
        <w:t xml:space="preserve">Poisot (2023)</w:t>
      </w:r>
      <w:r>
        <w:t xml:space="preserve"> </w:t>
      </w:r>
      <w:r>
        <w:t xml:space="preserve">the best ways to assess the classification performance of the different models is to use the Precision-Recall (PR-AUC) to assess precision [ref?], and the Matthews correlation coefficient (MCC) to assess accuracy</w:t>
      </w:r>
      <w:r>
        <w:t xml:space="preserve"> </w:t>
      </w:r>
      <w:r>
        <w:t xml:space="preserve">(Matthews 1975)</w:t>
      </w:r>
      <w:r>
        <w:t xml:space="preserve">.</w:t>
      </w:r>
    </w:p>
    <w:p>
      <w:pPr>
        <w:numPr>
          <w:ilvl w:val="0"/>
          <w:numId w:val="1002"/>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2"/>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2"/>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2"/>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ook w:firstRow="0" w:lastRow="0" w:firstColumn="0" w:lastColumn="0" w:noHBand="0" w:noVBand="0" w:val="0000"/>
        <w:jc w:val="start"/>
        <w:tblLayout w:type="fixed"/>
      </w:tblPr>
      <w:tblGrid>
        <w:gridCol w:w="7920"/>
      </w:tblGrid>
      <w:tr>
        <w:tc>
          <w:tcPr/>
          <w:bookmarkStart w:id="53" w:name="fig-pichler"/>
          <w:p>
            <w:pPr>
              <w:pStyle w:val="Compact"/>
              <w:jc w:val="center"/>
            </w:pPr>
            <w:r>
              <w:drawing>
                <wp:inline>
                  <wp:extent cx="5334000" cy="3895724"/>
                  <wp:effectExtent b="0" l="0" r="0" t="0"/>
                  <wp:docPr descr="" title="" id="51" name="Picture"/>
                  <a:graphic>
                    <a:graphicData uri="http://schemas.openxmlformats.org/drawingml/2006/picture">
                      <pic:pic>
                        <pic:nvPicPr>
                          <pic:cNvPr descr="images/pichler_result.png" id="52" name="Picture"/>
                          <pic:cNvPicPr>
                            <a:picLocks noChangeArrowheads="1" noChangeAspect="1"/>
                          </pic:cNvPicPr>
                        </pic:nvPicPr>
                        <pic:blipFill>
                          <a:blip r:embed="rId50"/>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Moc result from</w:t>
            </w:r>
            <w:r>
              <w:t xml:space="preserve"> </w:t>
            </w:r>
            <w:r>
              <w:t xml:space="preserve">Pichler et al. (2020)</w:t>
            </w:r>
          </w:p>
          <w:bookmarkEnd w:id="53"/>
        </w:tc>
      </w:tr>
    </w:tbl>
    <w:bookmarkEnd w:id="54"/>
    <w:bookmarkEnd w:id="55"/>
    <w:bookmarkStart w:id="56" w:name="the-bigger-picture"/>
    <w:p>
      <w:pPr>
        <w:pStyle w:val="Heading3"/>
      </w:pPr>
      <w:r>
        <w:t xml:space="preserve">2.3 The bigger picture</w:t>
      </w:r>
    </w:p>
    <w:p>
      <w:pPr>
        <w:pStyle w:val="FirstParagraph"/>
      </w:pPr>
      <w:r>
        <w:t xml:space="preserve">In addition to thinking about the</w:t>
      </w:r>
      <w:r>
        <w:t xml:space="preserve"> </w:t>
      </w:r>
      <w:r>
        <w:t xml:space="preserve">‘</w:t>
      </w:r>
      <w:r>
        <w:t xml:space="preserve">performance</w:t>
      </w:r>
      <w:r>
        <w:t xml:space="preserve">’</w:t>
      </w:r>
      <w:r>
        <w:t xml:space="preserve"> </w:t>
      </w:r>
      <w:r>
        <w:t xml:space="preserve">if a model it is also important to be aware of the</w:t>
      </w:r>
      <w:r>
        <w:t xml:space="preserve"> </w:t>
      </w:r>
      <w:r>
        <w:t xml:space="preserve">‘</w:t>
      </w:r>
      <w:r>
        <w:t xml:space="preserve">unseen</w:t>
      </w:r>
      <w:r>
        <w:t xml:space="preserve">’</w:t>
      </w:r>
      <w:r>
        <w:t xml:space="preserve"> </w:t>
      </w:r>
      <w:r>
        <w:t xml:space="preserve">costs and limitations of the different modelling families. This includes thinking about the need for additional data sources (such as trait or phylogenetic data), the computational cost, as well as the time it might take to generate a network,</w:t>
      </w:r>
      <w:r>
        <w:t xml:space="preserve"> </w:t>
      </w:r>
      <w:r>
        <w:rPr>
          <w:iCs/>
          <w:i/>
        </w:rPr>
        <w:t xml:space="preserve">e.g.,</w:t>
      </w:r>
      <w:r>
        <w:t xml:space="preserve"> </w:t>
      </w:r>
      <w:r>
        <w:t xml:space="preserve">binary classifiers require an (often times) extensive list of additional trait data for the model training process, which limits predictions to communities for which you do have the relevant auxiliary data available.</w:t>
      </w:r>
    </w:p>
    <w:p>
      <w:pPr>
        <w:pStyle w:val="BlockText"/>
      </w:pPr>
      <w:r>
        <w:t xml:space="preserve">What data do I need? Can a make</w:t>
      </w:r>
      <w:r>
        <w:t xml:space="preserve"> </w:t>
      </w:r>
      <w:r>
        <w:rPr>
          <w:iCs/>
          <w:i/>
        </w:rPr>
        <w:t xml:space="preserve">de novo</w:t>
      </w:r>
      <w:r>
        <w:t xml:space="preserve"> </w:t>
      </w:r>
      <w:r>
        <w:t xml:space="preserve">predictions? What are the related</w:t>
      </w:r>
      <w:r>
        <w:t xml:space="preserve"> </w:t>
      </w:r>
      <w:r>
        <w:t xml:space="preserve">‘</w:t>
      </w:r>
      <w:r>
        <w:t xml:space="preserve">sinks</w:t>
      </w:r>
      <w:r>
        <w:t xml:space="preserve">’</w:t>
      </w:r>
      <w:r>
        <w:t xml:space="preserve"> </w:t>
      </w:r>
      <w:r>
        <w:rPr>
          <w:iCs/>
          <w:i/>
        </w:rPr>
        <w:t xml:space="preserve">e.g.,</w:t>
      </w:r>
      <w:r>
        <w:t xml:space="preserve"> </w:t>
      </w:r>
      <w:r>
        <w:t xml:space="preserve">computational or time? What does the network I am constructing actually represent?</w:t>
      </w:r>
    </w:p>
    <w:bookmarkEnd w:id="56"/>
    <w:bookmarkEnd w:id="57"/>
    <w:bookmarkStart w:id="58" w:name="Xfe4d9e131bc97c150d95dacef9fb8a6ff04d334"/>
    <w:p>
      <w:pPr>
        <w:pStyle w:val="Heading2"/>
      </w:pPr>
      <w:r>
        <w:t xml:space="preserve">3 Linking network ecology to the outstanding questions in ecology</w:t>
      </w:r>
    </w:p>
    <w:p>
      <w:pPr>
        <w:numPr>
          <w:ilvl w:val="0"/>
          <w:numId w:val="1003"/>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3"/>
        </w:numPr>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1"/>
          <w:numId w:val="1004"/>
        </w:numPr>
        <w:pStyle w:val="Compact"/>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3"/>
        </w:numPr>
      </w:pPr>
      <w:r>
        <w:t xml:space="preserve">Brief history of the development of tools within the context of the two different fields? Sort of where the theory/body of work was based and how that has changed?</w:t>
      </w:r>
    </w:p>
    <w:p>
      <w:pPr>
        <w:numPr>
          <w:ilvl w:val="0"/>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0"/>
          <w:numId w:val="1003"/>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58"/>
    <w:bookmarkStart w:id="60" w:name="discussion"/>
    <w:p>
      <w:pPr>
        <w:pStyle w:val="Heading2"/>
      </w:pPr>
      <w:r>
        <w:t xml:space="preserve">4 Discussion</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5"/>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5"/>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06"/>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07"/>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08"/>
        </w:numPr>
      </w:pPr>
      <w:r>
        <w:t xml:space="preserve">Aligning (dove-tailing) with this the idea of ensemble modelling as presented by</w:t>
      </w:r>
      <w:r>
        <w:t xml:space="preserve"> </w:t>
      </w:r>
      <w:r>
        <w:t xml:space="preserve">Becker et al. (2022)</w:t>
      </w:r>
    </w:p>
    <w:p>
      <w:pPr>
        <w:numPr>
          <w:ilvl w:val="0"/>
          <w:numId w:val="1007"/>
        </w:numPr>
      </w:pPr>
      <w:r>
        <w:t xml:space="preserve">It will be interesting to bring up the idea that if a model is missing a specific pairwise link but doing well at the structural level then when does it matter?</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Start w:id="59" w:name="downsampling"/>
    <w:p>
      <w:pPr>
        <w:pStyle w:val="Heading3"/>
      </w:pPr>
      <w:r>
        <w:t xml:space="preserve">4.1 Downsampling</w:t>
      </w:r>
    </w:p>
    <w:p>
      <w:pPr>
        <w:numPr>
          <w:ilvl w:val="0"/>
          <w:numId w:val="1009"/>
        </w:numPr>
      </w:pPr>
      <w:r>
        <w:t xml:space="preserve">Dansereau, Barros, and Poisot (2023)</w:t>
      </w:r>
    </w:p>
    <w:p>
      <w:pPr>
        <w:numPr>
          <w:ilvl w:val="0"/>
          <w:numId w:val="1009"/>
        </w:numPr>
      </w:pPr>
      <w:r>
        <w:t xml:space="preserve">“</w:t>
      </w:r>
      <w:r>
        <w:t xml:space="preserve">That being said, there is a compelling argument for the need to `combine’ these smaller functional units with larger spatial networks</w:t>
      </w:r>
      <w:r>
        <w:t xml:space="preserve"> </w:t>
      </w:r>
      <w:r>
        <w:t xml:space="preserve">(Fortin, Dale, and Brimacombe 2021)</w:t>
      </w:r>
      <w:r>
        <w:t xml:space="preserve"> </w:t>
      </w:r>
      <w:r>
        <w:t xml:space="preserve">and that we should also start thinking about the interplay of time and space</w:t>
      </w:r>
      <w:r>
        <w:t xml:space="preserve"> </w:t>
      </w:r>
      <w:r>
        <w:t xml:space="preserve">(Estay, Fortin, and López 2023)</w:t>
      </w:r>
      <w:r>
        <w:t xml:space="preserve">. Although deciding exactly what measure might actually be driving differences between local networks and the regional metaweb might not be that simple</w:t>
      </w:r>
      <w:r>
        <w:t xml:space="preserve"> </w:t>
      </w:r>
      <w:r>
        <w:t xml:space="preserve">(Saravia et al. 2022)</w:t>
      </w:r>
      <w:r>
        <w:t xml:space="preserve">.</w:t>
      </w:r>
      <w:r>
        <w:t xml:space="preserve">”</w:t>
      </w:r>
    </w:p>
    <w:bookmarkEnd w:id="59"/>
    <w:bookmarkEnd w:id="60"/>
    <w:bookmarkStart w:id="195" w:name="references"/>
    <w:p>
      <w:pPr>
        <w:pStyle w:val="Heading2"/>
      </w:pPr>
      <w:r>
        <w:t xml:space="preserve">References</w:t>
      </w:r>
    </w:p>
    <w:bookmarkStart w:id="194" w:name="refs"/>
    <w:bookmarkStart w:id="62"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61">
        <w:r>
          <w:rPr>
            <w:rStyle w:val="Hyperlink"/>
          </w:rPr>
          <w:t xml:space="preserve">https://doi.org/10.1126/science.1156269</w:t>
        </w:r>
      </w:hyperlink>
      <w:r>
        <w:t xml:space="preserve">.</w:t>
      </w:r>
    </w:p>
    <w:bookmarkEnd w:id="62"/>
    <w:bookmarkStart w:id="64"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3">
        <w:r>
          <w:rPr>
            <w:rStyle w:val="Hyperlink"/>
          </w:rPr>
          <w:t xml:space="preserve">https://doi.org/10.1371/journal.pcbi.1011458</w:t>
        </w:r>
      </w:hyperlink>
      <w:r>
        <w:t xml:space="preserve">.</w:t>
      </w:r>
    </w:p>
    <w:bookmarkEnd w:id="64"/>
    <w:bookmarkStart w:id="66"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65">
        <w:r>
          <w:rPr>
            <w:rStyle w:val="Hyperlink"/>
          </w:rPr>
          <w:t xml:space="preserve">https://doi.org/10.1073/pnas.1633576100</w:t>
        </w:r>
      </w:hyperlink>
      <w:r>
        <w:t xml:space="preserve">.</w:t>
      </w:r>
    </w:p>
    <w:bookmarkEnd w:id="66"/>
    <w:bookmarkStart w:id="68"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Cs/>
          <w:i/>
        </w:rPr>
        <w:t xml:space="preserve">The Lancet Microbe</w:t>
      </w:r>
      <w:r>
        <w:t xml:space="preserve"> </w:t>
      </w:r>
      <w:r>
        <w:t xml:space="preserve">3 (8): e625–37.</w:t>
      </w:r>
      <w:r>
        <w:t xml:space="preserve"> </w:t>
      </w:r>
      <w:hyperlink r:id="rId67">
        <w:r>
          <w:rPr>
            <w:rStyle w:val="Hyperlink"/>
          </w:rPr>
          <w:t xml:space="preserve">https://doi.org/10.1016/S2666-5247(21)00245-7</w:t>
        </w:r>
      </w:hyperlink>
      <w:r>
        <w:t xml:space="preserve">.</w:t>
      </w:r>
    </w:p>
    <w:bookmarkEnd w:id="68"/>
    <w:bookmarkStart w:id="70"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69">
        <w:r>
          <w:rPr>
            <w:rStyle w:val="Hyperlink"/>
          </w:rPr>
          <w:t xml:space="preserve">https://doi.org/10.1073/pnas.0603039103</w:t>
        </w:r>
      </w:hyperlink>
      <w:r>
        <w:t xml:space="preserve">.</w:t>
      </w:r>
    </w:p>
    <w:bookmarkEnd w:id="70"/>
    <w:bookmarkStart w:id="72"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71">
        <w:r>
          <w:rPr>
            <w:rStyle w:val="Hyperlink"/>
          </w:rPr>
          <w:t xml:space="preserve">https://doi.org/10.1073/pnas.0800967105</w:t>
        </w:r>
      </w:hyperlink>
      <w:r>
        <w:t xml:space="preserve">.</w:t>
      </w:r>
    </w:p>
    <w:bookmarkEnd w:id="72"/>
    <w:bookmarkStart w:id="74"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Cs/>
          <w:i/>
        </w:rPr>
        <w:t xml:space="preserve">Journal of Animal Ecology</w:t>
      </w:r>
      <w:r>
        <w:t xml:space="preserve"> </w:t>
      </w:r>
      <w:r>
        <w:t xml:space="preserve">73 (3): 585–98.</w:t>
      </w:r>
      <w:r>
        <w:t xml:space="preserve"> </w:t>
      </w:r>
      <w:hyperlink r:id="rId73">
        <w:r>
          <w:rPr>
            <w:rStyle w:val="Hyperlink"/>
          </w:rPr>
          <w:t xml:space="preserve">https://doi.org/10.1111/j.0021-8790.2004.00833.x</w:t>
        </w:r>
      </w:hyperlink>
      <w:r>
        <w:t xml:space="preserve">.</w:t>
      </w:r>
    </w:p>
    <w:bookmarkEnd w:id="74"/>
    <w:bookmarkStart w:id="76" w:name="X17a301eebb3c5bc57992fd8c229d26f33144785"/>
    <w:p>
      <w:pPr>
        <w:pStyle w:val="Bibliography"/>
      </w:pPr>
      <w:r>
        <w:t xml:space="preserve">Bhatia, Udit, Sarth Dubey, Tarik C. Gouhier, and Auroop R. Ganguly. 2023.</w:t>
      </w:r>
      <w:r>
        <w:t xml:space="preserve"> </w:t>
      </w:r>
      <w:r>
        <w:t xml:space="preserve">“Network-Based Restoration Strategies Maximize Ecosystem Recovery.”</w:t>
      </w:r>
      <w:r>
        <w:t xml:space="preserve"> </w:t>
      </w:r>
      <w:r>
        <w:rPr>
          <w:iCs/>
          <w:i/>
        </w:rPr>
        <w:t xml:space="preserve">Communications Biology</w:t>
      </w:r>
      <w:r>
        <w:t xml:space="preserve"> </w:t>
      </w:r>
      <w:r>
        <w:t xml:space="preserve">6 (1): 1–10.</w:t>
      </w:r>
      <w:r>
        <w:t xml:space="preserve"> </w:t>
      </w:r>
      <w:hyperlink r:id="rId75">
        <w:r>
          <w:rPr>
            <w:rStyle w:val="Hyperlink"/>
          </w:rPr>
          <w:t xml:space="preserve">https://doi.org/10.1038/s42003-023-05622-3</w:t>
        </w:r>
      </w:hyperlink>
      <w:r>
        <w:t xml:space="preserve">.</w:t>
      </w:r>
    </w:p>
    <w:bookmarkEnd w:id="76"/>
    <w:bookmarkStart w:id="78"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 </w:t>
      </w:r>
      <w:r>
        <w:t xml:space="preserve">23 (7): 1050–63.</w:t>
      </w:r>
      <w:r>
        <w:t xml:space="preserve"> </w:t>
      </w:r>
      <w:hyperlink r:id="rId77">
        <w:r>
          <w:rPr>
            <w:rStyle w:val="Hyperlink"/>
          </w:rPr>
          <w:t xml:space="preserve">https://doi.org/10.1111/ele.13525</w:t>
        </w:r>
      </w:hyperlink>
      <w:r>
        <w:t xml:space="preserve">.</w:t>
      </w:r>
    </w:p>
    <w:bookmarkEnd w:id="78"/>
    <w:bookmarkStart w:id="80"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79">
        <w:r>
          <w:rPr>
            <w:rStyle w:val="Hyperlink"/>
          </w:rPr>
          <w:t xml:space="preserve">https://doi.org/10.13140/RG.2.2.22076.65927</w:t>
        </w:r>
      </w:hyperlink>
      <w:r>
        <w:t xml:space="preserve">.</w:t>
      </w:r>
    </w:p>
    <w:bookmarkEnd w:id="80"/>
    <w:bookmarkStart w:id="82"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81">
        <w:r>
          <w:rPr>
            <w:rStyle w:val="Hyperlink"/>
          </w:rPr>
          <w:t xml:space="preserve">https://doi.org/10.1371/journal.pbio.3002068</w:t>
        </w:r>
      </w:hyperlink>
      <w:r>
        <w:t xml:space="preserve">.</w:t>
      </w:r>
    </w:p>
    <w:bookmarkEnd w:id="82"/>
    <w:bookmarkStart w:id="84"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83">
        <w:r>
          <w:rPr>
            <w:rStyle w:val="Hyperlink"/>
          </w:rPr>
          <w:t xml:space="preserve">https://doi.org/10.1111/ele.13966</w:t>
        </w:r>
      </w:hyperlink>
      <w:r>
        <w:t xml:space="preserve">.</w:t>
      </w:r>
    </w:p>
    <w:bookmarkEnd w:id="84"/>
    <w:bookmarkStart w:id="86"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85">
        <w:r>
          <w:rPr>
            <w:rStyle w:val="Hyperlink"/>
          </w:rPr>
          <w:t xml:space="preserve">https://doi.org/10.1038/nature02327</w:t>
        </w:r>
      </w:hyperlink>
      <w:r>
        <w:t xml:space="preserve">.</w:t>
      </w:r>
    </w:p>
    <w:bookmarkEnd w:id="86"/>
    <w:bookmarkStart w:id="88"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87">
        <w:r>
          <w:rPr>
            <w:rStyle w:val="Hyperlink"/>
          </w:rPr>
          <w:t xml:space="preserve">https://doi.org/10.1111/2041-210X.13180</w:t>
        </w:r>
      </w:hyperlink>
      <w:r>
        <w:t xml:space="preserve">.</w:t>
      </w:r>
    </w:p>
    <w:bookmarkEnd w:id="88"/>
    <w:bookmarkStart w:id="90" w:name="ref-cohenFoodWebsDimensionality1977"/>
    <w:p>
      <w:pPr>
        <w:pStyle w:val="Bibliography"/>
      </w:pPr>
      <w:r>
        <w:t xml:space="preserve">Cohen, Joel E. 1977.</w:t>
      </w:r>
      <w:r>
        <w:t xml:space="preserve"> </w:t>
      </w:r>
      <w:r>
        <w:t xml:space="preserve">“Food Webs and the Dimensionality of Trophic Niche Space.”</w:t>
      </w:r>
      <w:r>
        <w:t xml:space="preserve"> </w:t>
      </w:r>
      <w:r>
        <w:rPr>
          <w:iCs/>
          <w:i/>
        </w:rPr>
        <w:t xml:space="preserve">Proceedings of the National Academy of Sciences</w:t>
      </w:r>
      <w:r>
        <w:t xml:space="preserve"> </w:t>
      </w:r>
      <w:r>
        <w:t xml:space="preserve">74 (10): 4533–36.</w:t>
      </w:r>
      <w:r>
        <w:t xml:space="preserve"> </w:t>
      </w:r>
      <w:hyperlink r:id="rId89">
        <w:r>
          <w:rPr>
            <w:rStyle w:val="Hyperlink"/>
          </w:rPr>
          <w:t xml:space="preserve">https://doi.org/10.1073/pnas.74.10.4533</w:t>
        </w:r>
      </w:hyperlink>
      <w:r>
        <w:t xml:space="preserve">.</w:t>
      </w:r>
    </w:p>
    <w:bookmarkEnd w:id="90"/>
    <w:bookmarkStart w:id="91"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91"/>
    <w:bookmarkStart w:id="93"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92">
        <w:r>
          <w:rPr>
            <w:rStyle w:val="Hyperlink"/>
          </w:rPr>
          <w:t xml:space="preserve">https://doi.org/10.1098/rspb.1985.0042</w:t>
        </w:r>
      </w:hyperlink>
      <w:r>
        <w:t xml:space="preserve">.</w:t>
      </w:r>
    </w:p>
    <w:bookmarkEnd w:id="93"/>
    <w:bookmarkStart w:id="95"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Cs/>
          <w:i/>
        </w:rPr>
        <w:t xml:space="preserve">Annual Review of Ecology, Evolution, and Systematics</w:t>
      </w:r>
      <w:r>
        <w:t xml:space="preserve"> </w:t>
      </w:r>
      <w:r>
        <w:t xml:space="preserve">41: 21–38.</w:t>
      </w:r>
      <w:r>
        <w:t xml:space="preserve"> </w:t>
      </w:r>
      <w:hyperlink r:id="rId94">
        <w:r>
          <w:rPr>
            <w:rStyle w:val="Hyperlink"/>
          </w:rPr>
          <w:t xml:space="preserve">https://www.jstor.org/stable/27896212</w:t>
        </w:r>
      </w:hyperlink>
      <w:r>
        <w:t xml:space="preserve">.</w:t>
      </w:r>
    </w:p>
    <w:bookmarkEnd w:id="95"/>
    <w:bookmarkStart w:id="96" w:name="X1edd2253d2e7e8e6db9e7574240f432ddda2ce1"/>
    <w:p>
      <w:pPr>
        <w:pStyle w:val="Bibliography"/>
      </w:pPr>
      <w:r>
        <w:t xml:space="preserve">Dansereau, Gabriel, Ceres Barros, and Timothée Poisot. 2023.</w:t>
      </w:r>
      <w:r>
        <w:t xml:space="preserve"> </w:t>
      </w:r>
      <w:r>
        <w:t xml:space="preserve">“Spatially Explicit Predictions of Food Web Structure from Regional Level Data,”</w:t>
      </w:r>
      <w:r>
        <w:t xml:space="preserve"> </w:t>
      </w:r>
      <w:r>
        <w:t xml:space="preserve">September.</w:t>
      </w:r>
    </w:p>
    <w:bookmarkEnd w:id="96"/>
    <w:bookmarkStart w:id="97" w:name="ref-darwinOriginSpeciesMeans1859"/>
    <w:p>
      <w:pPr>
        <w:pStyle w:val="Bibliography"/>
      </w:pPr>
      <w:r>
        <w:t xml:space="preserve">Darwin, Charles. 1859.</w:t>
      </w:r>
      <w:r>
        <w:t xml:space="preserve"> </w:t>
      </w:r>
      <w:r>
        <w:rPr>
          <w:iCs/>
          <w:i/>
        </w:rPr>
        <w:t xml:space="preserve">On the</w:t>
      </w:r>
      <w:r>
        <w:rPr>
          <w:iCs/>
          <w:i/>
        </w:rPr>
        <w:t xml:space="preserve"> </w:t>
      </w:r>
      <w:r>
        <w:rPr>
          <w:iCs/>
          <w:i/>
        </w:rPr>
        <w:t xml:space="preserve">Origin</w:t>
      </w:r>
      <w:r>
        <w:rPr>
          <w:iCs/>
          <w:i/>
        </w:rPr>
        <w:t xml:space="preserve"> </w:t>
      </w:r>
      <w:r>
        <w:rPr>
          <w:iCs/>
          <w:i/>
        </w:rPr>
        <w:t xml:space="preserve">of</w:t>
      </w:r>
      <w:r>
        <w:rPr>
          <w:iCs/>
          <w:i/>
        </w:rPr>
        <w:t xml:space="preserve"> </w:t>
      </w:r>
      <w:r>
        <w:rPr>
          <w:iCs/>
          <w:i/>
        </w:rPr>
        <w:t xml:space="preserve">Species</w:t>
      </w:r>
      <w:r>
        <w:rPr>
          <w:iCs/>
          <w:i/>
        </w:rPr>
        <w:t xml:space="preserve"> </w:t>
      </w:r>
      <w:r>
        <w:rPr>
          <w:iCs/>
          <w:i/>
        </w:rPr>
        <w:t xml:space="preserve">by</w:t>
      </w:r>
      <w:r>
        <w:rPr>
          <w:iCs/>
          <w:i/>
        </w:rPr>
        <w:t xml:space="preserve"> </w:t>
      </w:r>
      <w:r>
        <w:rPr>
          <w:iCs/>
          <w:i/>
        </w:rPr>
        <w:t xml:space="preserve">Means</w:t>
      </w:r>
      <w:r>
        <w:rPr>
          <w:iCs/>
          <w:i/>
        </w:rPr>
        <w:t xml:space="preserve"> </w:t>
      </w:r>
      <w:r>
        <w:rPr>
          <w:iCs/>
          <w:i/>
        </w:rPr>
        <w:t xml:space="preserve">of</w:t>
      </w:r>
      <w:r>
        <w:rPr>
          <w:iCs/>
          <w:i/>
        </w:rPr>
        <w:t xml:space="preserve"> </w:t>
      </w:r>
      <w:r>
        <w:rPr>
          <w:iCs/>
          <w:i/>
        </w:rPr>
        <w:t xml:space="preserve">Natural Selection</w:t>
      </w:r>
      <w:r>
        <w:rPr>
          <w:iCs/>
          <w:i/>
        </w:rPr>
        <w:t xml:space="preserve">, or the</w:t>
      </w:r>
      <w:r>
        <w:rPr>
          <w:iCs/>
          <w:i/>
        </w:rPr>
        <w:t xml:space="preserve"> </w:t>
      </w:r>
      <w:r>
        <w:rPr>
          <w:iCs/>
          <w:i/>
        </w:rPr>
        <w:t xml:space="preserve">Preservation</w:t>
      </w:r>
      <w:r>
        <w:rPr>
          <w:iCs/>
          <w:i/>
        </w:rPr>
        <w:t xml:space="preserve"> </w:t>
      </w:r>
      <w:r>
        <w:rPr>
          <w:iCs/>
          <w:i/>
        </w:rPr>
        <w:t xml:space="preserve">of</w:t>
      </w:r>
      <w:r>
        <w:rPr>
          <w:iCs/>
          <w:i/>
        </w:rPr>
        <w:t xml:space="preserve"> </w:t>
      </w:r>
      <w:r>
        <w:rPr>
          <w:iCs/>
          <w:i/>
        </w:rPr>
        <w:t xml:space="preserve">Favoured Races</w:t>
      </w:r>
      <w:r>
        <w:rPr>
          <w:iCs/>
          <w:i/>
        </w:rPr>
        <w:t xml:space="preserve"> </w:t>
      </w:r>
      <w:r>
        <w:rPr>
          <w:iCs/>
          <w:i/>
        </w:rPr>
        <w:t xml:space="preserve">in the</w:t>
      </w:r>
      <w:r>
        <w:rPr>
          <w:iCs/>
          <w:i/>
        </w:rPr>
        <w:t xml:space="preserve"> </w:t>
      </w:r>
      <w:r>
        <w:rPr>
          <w:iCs/>
          <w:i/>
        </w:rPr>
        <w:t xml:space="preserve">Struggle</w:t>
      </w:r>
      <w:r>
        <w:rPr>
          <w:iCs/>
          <w:i/>
        </w:rPr>
        <w:t xml:space="preserve"> </w:t>
      </w:r>
      <w:r>
        <w:rPr>
          <w:iCs/>
          <w:i/>
        </w:rPr>
        <w:t xml:space="preserve">for</w:t>
      </w:r>
      <w:r>
        <w:rPr>
          <w:iCs/>
          <w:i/>
        </w:rPr>
        <w:t xml:space="preserve"> </w:t>
      </w:r>
      <w:r>
        <w:rPr>
          <w:iCs/>
          <w:i/>
        </w:rPr>
        <w:t xml:space="preserve">Life</w:t>
      </w:r>
      <w:r>
        <w:t xml:space="preserve">. London: J. Murray.</w:t>
      </w:r>
    </w:p>
    <w:bookmarkEnd w:id="97"/>
    <w:bookmarkStart w:id="99"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98">
        <w:r>
          <w:rPr>
            <w:rStyle w:val="Hyperlink"/>
          </w:rPr>
          <w:t xml:space="preserve">https://doi.org/10.2307/1936298</w:t>
        </w:r>
      </w:hyperlink>
      <w:r>
        <w:t xml:space="preserve">.</w:t>
      </w:r>
    </w:p>
    <w:bookmarkEnd w:id="99"/>
    <w:bookmarkStart w:id="101"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Cs/>
          <w:i/>
        </w:rPr>
        <w:t xml:space="preserve">Biological Reviews</w:t>
      </w:r>
      <w:r>
        <w:t xml:space="preserve"> </w:t>
      </w:r>
      <w:r>
        <w:t xml:space="preserve">94 (1): 16–36.</w:t>
      </w:r>
      <w:r>
        <w:t xml:space="preserve"> </w:t>
      </w:r>
      <w:hyperlink r:id="rId100">
        <w:r>
          <w:rPr>
            <w:rStyle w:val="Hyperlink"/>
          </w:rPr>
          <w:t xml:space="preserve">https://doi.org/10.1111/brv.12433</w:t>
        </w:r>
      </w:hyperlink>
      <w:r>
        <w:t xml:space="preserve">.</w:t>
      </w:r>
    </w:p>
    <w:bookmarkEnd w:id="101"/>
    <w:bookmarkStart w:id="103"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102">
        <w:r>
          <w:rPr>
            <w:rStyle w:val="Hyperlink"/>
          </w:rPr>
          <w:t xml:space="preserve">https://doi.org/10.7717/peerj.3644</w:t>
        </w:r>
      </w:hyperlink>
      <w:r>
        <w:t xml:space="preserve">.</w:t>
      </w:r>
    </w:p>
    <w:bookmarkEnd w:id="103"/>
    <w:bookmarkStart w:id="104"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104"/>
    <w:bookmarkStart w:id="106"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105">
        <w:r>
          <w:rPr>
            <w:rStyle w:val="Hyperlink"/>
          </w:rPr>
          <w:t xml:space="preserve">https://doi.org/10.1371/journal.pbio.0060102</w:t>
        </w:r>
      </w:hyperlink>
      <w:r>
        <w:t xml:space="preserve">.</w:t>
      </w:r>
    </w:p>
    <w:bookmarkEnd w:id="106"/>
    <w:bookmarkStart w:id="108"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107">
        <w:r>
          <w:rPr>
            <w:rStyle w:val="Hyperlink"/>
          </w:rPr>
          <w:t xml:space="preserve">https://doi.org/10.1111/2041-210X.12062</w:t>
        </w:r>
      </w:hyperlink>
      <w:r>
        <w:t xml:space="preserve">.</w:t>
      </w:r>
    </w:p>
    <w:bookmarkEnd w:id="108"/>
    <w:bookmarkStart w:id="109" w:name="ref-estayEditorialPatternsProcesses2023"/>
    <w:p>
      <w:pPr>
        <w:pStyle w:val="Bibliography"/>
      </w:pPr>
      <w:r>
        <w:t xml:space="preserve">Estay, Sergio A., Marie-Josée Fortin, and Daniela N. López. 2023.</w:t>
      </w:r>
      <w:r>
        <w:t xml:space="preserve"> </w:t>
      </w:r>
      <w:r>
        <w:t xml:space="preserve">“Editorial:</w:t>
      </w:r>
      <w:r>
        <w:t xml:space="preserve"> </w:t>
      </w:r>
      <w:r>
        <w:t xml:space="preserve">Patterns</w:t>
      </w:r>
      <w:r>
        <w:t xml:space="preserve"> </w:t>
      </w:r>
      <w:r>
        <w:t xml:space="preserve">and Processes in Ecological Networks over Space.”</w:t>
      </w:r>
      <w:r>
        <w:t xml:space="preserve"> </w:t>
      </w:r>
      <w:r>
        <w:rPr>
          <w:iCs/>
          <w:i/>
        </w:rPr>
        <w:t xml:space="preserve">Frontiers in Ecology and Evolution</w:t>
      </w:r>
      <w:r>
        <w:t xml:space="preserve"> </w:t>
      </w:r>
      <w:r>
        <w:t xml:space="preserve">11.</w:t>
      </w:r>
    </w:p>
    <w:bookmarkEnd w:id="109"/>
    <w:bookmarkStart w:id="111" w:name="ref-fortinNetworkEcologyDynamic2021"/>
    <w:p>
      <w:pPr>
        <w:pStyle w:val="Bibliography"/>
      </w:pPr>
      <w:r>
        <w:t xml:space="preserve">Fortin, Marie-Josée, Mark R. T. Dale, and Chris Brimacombe. 2021.</w:t>
      </w:r>
      <w:r>
        <w:t xml:space="preserve"> </w:t>
      </w:r>
      <w:r>
        <w:t xml:space="preserve">“Network Ecology in Dynamic Landscapes.”</w:t>
      </w:r>
      <w:r>
        <w:t xml:space="preserve"> </w:t>
      </w:r>
      <w:r>
        <w:rPr>
          <w:iCs/>
          <w:i/>
        </w:rPr>
        <w:t xml:space="preserve">Proceedings of the Royal Society B: Biological Sciences</w:t>
      </w:r>
      <w:r>
        <w:t xml:space="preserve"> </w:t>
      </w:r>
      <w:r>
        <w:t xml:space="preserve">288 (1949): rspb.2020.1889, 20201889.</w:t>
      </w:r>
      <w:r>
        <w:t xml:space="preserve"> </w:t>
      </w:r>
      <w:hyperlink r:id="rId110">
        <w:r>
          <w:rPr>
            <w:rStyle w:val="Hyperlink"/>
          </w:rPr>
          <w:t xml:space="preserve">https://doi.org/10.1098/rspb.2020.1889</w:t>
        </w:r>
      </w:hyperlink>
      <w:r>
        <w:t xml:space="preserve">.</w:t>
      </w:r>
    </w:p>
    <w:bookmarkEnd w:id="111"/>
    <w:bookmarkStart w:id="113" w:name="ref-fortinSpatialStatisticsSpatial2012"/>
    <w:p>
      <w:pPr>
        <w:pStyle w:val="Bibliography"/>
      </w:pPr>
      <w:r>
        <w:t xml:space="preserve">Fortin, Marie-Josée, Patrick M. A. James, Alistair MacKenzie, Stephanie J. Melles, and Bronwyn Rayfield. 2012.</w:t>
      </w:r>
      <w:r>
        <w:t xml:space="preserve"> </w:t>
      </w:r>
      <w:r>
        <w:t xml:space="preserve">“Spatial Statistics, Spatial Regression, and Graph Theory in Ecology.”</w:t>
      </w:r>
      <w:r>
        <w:t xml:space="preserve"> </w:t>
      </w:r>
      <w:r>
        <w:rPr>
          <w:iCs/>
          <w:i/>
        </w:rPr>
        <w:t xml:space="preserve">Spatial Statistics</w:t>
      </w:r>
      <w:r>
        <w:t xml:space="preserve"> </w:t>
      </w:r>
      <w:r>
        <w:t xml:space="preserve">1 (May): 100–109.</w:t>
      </w:r>
      <w:r>
        <w:t xml:space="preserve"> </w:t>
      </w:r>
      <w:hyperlink r:id="rId112">
        <w:r>
          <w:rPr>
            <w:rStyle w:val="Hyperlink"/>
          </w:rPr>
          <w:t xml:space="preserve">https://doi.org/10.1016/j.spasta.2012.02.004</w:t>
        </w:r>
      </w:hyperlink>
      <w:r>
        <w:t xml:space="preserve">.</w:t>
      </w:r>
    </w:p>
    <w:bookmarkEnd w:id="113"/>
    <w:bookmarkStart w:id="11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114">
        <w:r>
          <w:rPr>
            <w:rStyle w:val="Hyperlink"/>
          </w:rPr>
          <w:t xml:space="preserve">https://doi.org/10.1111/j.1461-0248.2005.00868.x</w:t>
        </w:r>
      </w:hyperlink>
      <w:r>
        <w:t xml:space="preserve">.</w:t>
      </w:r>
    </w:p>
    <w:bookmarkEnd w:id="115"/>
    <w:bookmarkStart w:id="11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116">
        <w:r>
          <w:rPr>
            <w:rStyle w:val="Hyperlink"/>
          </w:rPr>
          <w:t xml:space="preserve">https://doi.org/10.1111/2041-210X.12103</w:t>
        </w:r>
      </w:hyperlink>
      <w:r>
        <w:t xml:space="preserve">.</w:t>
      </w:r>
    </w:p>
    <w:bookmarkEnd w:id="117"/>
    <w:bookmarkStart w:id="11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118">
        <w:r>
          <w:rPr>
            <w:rStyle w:val="Hyperlink"/>
          </w:rPr>
          <w:t xml:space="preserve">https://doi.org/10.1016/j.fooweb.2015.09.001</w:t>
        </w:r>
      </w:hyperlink>
      <w:r>
        <w:t xml:space="preserve">.</w:t>
      </w:r>
    </w:p>
    <w:bookmarkEnd w:id="119"/>
    <w:bookmarkStart w:id="121"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20">
        <w:r>
          <w:rPr>
            <w:rStyle w:val="Hyperlink"/>
          </w:rPr>
          <w:t xml:space="preserve">https://doi.org/10.1371/journal.pbio.1002559</w:t>
        </w:r>
      </w:hyperlink>
      <w:r>
        <w:t xml:space="preserve">.</w:t>
      </w:r>
    </w:p>
    <w:bookmarkEnd w:id="121"/>
    <w:bookmarkStart w:id="123"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22">
        <w:r>
          <w:rPr>
            <w:rStyle w:val="Hyperlink"/>
          </w:rPr>
          <w:t xml:space="preserve">https://doi.org/10.1111/1365-2435.12763</w:t>
        </w:r>
      </w:hyperlink>
      <w:r>
        <w:t xml:space="preserve">.</w:t>
      </w:r>
    </w:p>
    <w:bookmarkEnd w:id="123"/>
    <w:bookmarkStart w:id="125" w:name="Xe227781537312aad81566d289906b7942bbcf13"/>
    <w:p>
      <w:pPr>
        <w:pStyle w:val="Bibliography"/>
      </w:pPr>
      <w:r>
        <w:t xml:space="preserve">Lindeman, Raymond L. 1942.</w:t>
      </w:r>
      <w:r>
        <w:t xml:space="preserve"> </w:t>
      </w:r>
      <w:r>
        <w:t xml:space="preserve">“The</w:t>
      </w:r>
      <w:r>
        <w:t xml:space="preserve"> </w:t>
      </w:r>
      <w:r>
        <w:t xml:space="preserve">Trophic-Dynamic Aspect</w:t>
      </w:r>
      <w:r>
        <w:t xml:space="preserve"> </w:t>
      </w:r>
      <w:r>
        <w:t xml:space="preserve">of</w:t>
      </w:r>
      <w:r>
        <w:t xml:space="preserve"> </w:t>
      </w:r>
      <w:r>
        <w:t xml:space="preserve">Ecology</w:t>
      </w:r>
      <w:r>
        <w:t xml:space="preserve">.”</w:t>
      </w:r>
      <w:r>
        <w:t xml:space="preserve"> </w:t>
      </w:r>
      <w:r>
        <w:rPr>
          <w:iCs/>
          <w:i/>
        </w:rPr>
        <w:t xml:space="preserve">Ecology</w:t>
      </w:r>
      <w:r>
        <w:t xml:space="preserve"> </w:t>
      </w:r>
      <w:r>
        <w:t xml:space="preserve">23 (4): 399–417.</w:t>
      </w:r>
      <w:r>
        <w:t xml:space="preserve"> </w:t>
      </w:r>
      <w:hyperlink r:id="rId124">
        <w:r>
          <w:rPr>
            <w:rStyle w:val="Hyperlink"/>
          </w:rPr>
          <w:t xml:space="preserve">https://doi.org/10.2307/1930126</w:t>
        </w:r>
      </w:hyperlink>
      <w:r>
        <w:t xml:space="preserve">.</w:t>
      </w:r>
    </w:p>
    <w:bookmarkEnd w:id="125"/>
    <w:bookmarkStart w:id="127"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26">
        <w:r>
          <w:rPr>
            <w:rStyle w:val="Hyperlink"/>
          </w:rPr>
          <w:t xml:space="preserve">https://doi.org/10.1111/ecog.06619</w:t>
        </w:r>
      </w:hyperlink>
      <w:r>
        <w:t xml:space="preserve">.</w:t>
      </w:r>
    </w:p>
    <w:bookmarkEnd w:id="127"/>
    <w:bookmarkStart w:id="129"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28">
        <w:r>
          <w:rPr>
            <w:rStyle w:val="Hyperlink"/>
          </w:rPr>
          <w:t xml:space="preserve">https://doi.org/10.1111/geb.13138</w:t>
        </w:r>
      </w:hyperlink>
      <w:r>
        <w:t xml:space="preserve">.</w:t>
      </w:r>
    </w:p>
    <w:bookmarkEnd w:id="129"/>
    <w:bookmarkStart w:id="131" w:name="X2a589c3f70be24dcdbea2f3732f285388833a32"/>
    <w:p>
      <w:pPr>
        <w:pStyle w:val="Bibliography"/>
      </w:pPr>
      <w:r>
        <w:t xml:space="preserve">Matthews, B. W. 1975.</w:t>
      </w:r>
      <w:r>
        <w:t xml:space="preserve"> </w:t>
      </w:r>
      <w:r>
        <w:t xml:space="preserve">“Comparison of the Predicted and Observed Secondary Structure of</w:t>
      </w:r>
      <w:r>
        <w:t xml:space="preserve"> </w:t>
      </w:r>
      <w:r>
        <w:t xml:space="preserve">T4</w:t>
      </w:r>
      <w:r>
        <w:t xml:space="preserve"> </w:t>
      </w:r>
      <w:r>
        <w:t xml:space="preserve">Phage Lysozyme.”</w:t>
      </w:r>
      <w:r>
        <w:t xml:space="preserve"> </w:t>
      </w:r>
      <w:r>
        <w:rPr>
          <w:iCs/>
          <w:i/>
        </w:rPr>
        <w:t xml:space="preserve">Biochimica Et Biophysica Acta (BBA) - Protein Structure</w:t>
      </w:r>
      <w:r>
        <w:t xml:space="preserve"> </w:t>
      </w:r>
      <w:r>
        <w:t xml:space="preserve">405 (2): 442–51.</w:t>
      </w:r>
      <w:r>
        <w:t xml:space="preserve"> </w:t>
      </w:r>
      <w:hyperlink r:id="rId130">
        <w:r>
          <w:rPr>
            <w:rStyle w:val="Hyperlink"/>
          </w:rPr>
          <w:t xml:space="preserve">https://doi.org/10.1016/0005-2795(75)90109-9</w:t>
        </w:r>
      </w:hyperlink>
      <w:r>
        <w:t xml:space="preserve">.</w:t>
      </w:r>
    </w:p>
    <w:bookmarkEnd w:id="131"/>
    <w:bookmarkStart w:id="13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32">
        <w:r>
          <w:rPr>
            <w:rStyle w:val="Hyperlink"/>
          </w:rPr>
          <w:t xml:space="preserve">https://doi.org/10.1016/j.tree.2015.03.014</w:t>
        </w:r>
      </w:hyperlink>
      <w:r>
        <w:t xml:space="preserve">.</w:t>
      </w:r>
    </w:p>
    <w:bookmarkEnd w:id="133"/>
    <w:bookmarkStart w:id="135"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Cs/>
          <w:i/>
        </w:rPr>
        <w:t xml:space="preserve">Ecology Letters</w:t>
      </w:r>
      <w:r>
        <w:t xml:space="preserve"> </w:t>
      </w:r>
      <w:r>
        <w:t xml:space="preserve">21 (11): 1660–69.</w:t>
      </w:r>
      <w:r>
        <w:t xml:space="preserve"> </w:t>
      </w:r>
      <w:hyperlink r:id="rId134">
        <w:r>
          <w:rPr>
            <w:rStyle w:val="Hyperlink"/>
          </w:rPr>
          <w:t xml:space="preserve">https://doi.org/10.1111/ele.13143</w:t>
        </w:r>
      </w:hyperlink>
      <w:r>
        <w:t xml:space="preserve">.</w:t>
      </w:r>
    </w:p>
    <w:bookmarkEnd w:id="135"/>
    <w:bookmarkStart w:id="137"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36">
        <w:r>
          <w:rPr>
            <w:rStyle w:val="Hyperlink"/>
          </w:rPr>
          <w:t xml:space="preserve">https://doi.org/10.1073/pnas.0710672105</w:t>
        </w:r>
      </w:hyperlink>
      <w:r>
        <w:t xml:space="preserve">.</w:t>
      </w:r>
    </w:p>
    <w:bookmarkEnd w:id="137"/>
    <w:bookmarkStart w:id="139"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38">
        <w:r>
          <w:rPr>
            <w:rStyle w:val="Hyperlink"/>
          </w:rPr>
          <w:t xml:space="preserve">https://doi.org/10.1016/j.jtbi.2011.03.019</w:t>
        </w:r>
      </w:hyperlink>
      <w:r>
        <w:t xml:space="preserve">.</w:t>
      </w:r>
    </w:p>
    <w:bookmarkEnd w:id="139"/>
    <w:bookmarkStart w:id="141"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40">
        <w:r>
          <w:rPr>
            <w:rStyle w:val="Hyperlink"/>
          </w:rPr>
          <w:t xml:space="preserve">https://doi.org/10.1111/2041-210X.13329</w:t>
        </w:r>
      </w:hyperlink>
      <w:r>
        <w:t xml:space="preserve">.</w:t>
      </w:r>
    </w:p>
    <w:bookmarkEnd w:id="141"/>
    <w:bookmarkStart w:id="143"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42">
        <w:r>
          <w:rPr>
            <w:rStyle w:val="Hyperlink"/>
          </w:rPr>
          <w:t xml:space="preserve">https://doi.org/10.1016/j.ecoinf.2014.08.005</w:t>
        </w:r>
      </w:hyperlink>
      <w:r>
        <w:t xml:space="preserve">.</w:t>
      </w:r>
    </w:p>
    <w:bookmarkEnd w:id="143"/>
    <w:bookmarkStart w:id="145"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44">
        <w:r>
          <w:rPr>
            <w:rStyle w:val="Hyperlink"/>
          </w:rPr>
          <w:t xml:space="preserve">https://doi.org/10.1111/2041-210X.14071</w:t>
        </w:r>
      </w:hyperlink>
      <w:r>
        <w:t xml:space="preserve">.</w:t>
      </w:r>
    </w:p>
    <w:bookmarkEnd w:id="145"/>
    <w:bookmarkStart w:id="147"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Cs/>
          <w:i/>
        </w:rPr>
        <w:t xml:space="preserve">Ecography</w:t>
      </w:r>
      <w:r>
        <w:t xml:space="preserve"> </w:t>
      </w:r>
      <w:r>
        <w:t xml:space="preserve">39 (4): 384–90.</w:t>
      </w:r>
      <w:r>
        <w:t xml:space="preserve"> </w:t>
      </w:r>
      <w:hyperlink r:id="rId146">
        <w:r>
          <w:rPr>
            <w:rStyle w:val="Hyperlink"/>
          </w:rPr>
          <w:t xml:space="preserve">https://doi.org/10.1111/ecog.00976</w:t>
        </w:r>
      </w:hyperlink>
      <w:r>
        <w:t xml:space="preserve">.</w:t>
      </w:r>
    </w:p>
    <w:bookmarkEnd w:id="147"/>
    <w:bookmarkStart w:id="149"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48">
        <w:r>
          <w:rPr>
            <w:rStyle w:val="Hyperlink"/>
          </w:rPr>
          <w:t xml:space="preserve">https://doi.org/10.1111/jbi.14127</w:t>
        </w:r>
      </w:hyperlink>
      <w:r>
        <w:t xml:space="preserve">.</w:t>
      </w:r>
    </w:p>
    <w:bookmarkEnd w:id="149"/>
    <w:bookmarkStart w:id="151"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Cs/>
          <w:i/>
        </w:rPr>
        <w:t xml:space="preserve">Methods in Ecology and Evolution</w:t>
      </w:r>
      <w:r>
        <w:t xml:space="preserve"> </w:t>
      </w:r>
      <w:r>
        <w:t xml:space="preserve">7 (3): 303–12.</w:t>
      </w:r>
      <w:r>
        <w:t xml:space="preserve"> </w:t>
      </w:r>
      <w:hyperlink r:id="rId150">
        <w:r>
          <w:rPr>
            <w:rStyle w:val="Hyperlink"/>
          </w:rPr>
          <w:t xml:space="preserve">https://doi.org/10</w:t>
        </w:r>
      </w:hyperlink>
      <w:r>
        <w:t xml:space="preserve">.</w:t>
      </w:r>
    </w:p>
    <w:bookmarkEnd w:id="151"/>
    <w:bookmarkStart w:id="153" w:name="ref-poisotSyntheticDatasetsCommunity2016"/>
    <w:p>
      <w:pPr>
        <w:pStyle w:val="Bibliography"/>
      </w:pPr>
      <w:r>
        <w:t xml:space="preserve">Poisot, Timothée, Dominique Gravel, Shawn Leroux, Spencer A. Wood, Marie-Josée Fortin, Benjamin Baiser, Alyssa R. Cirtwill, Miguel B. Araújo, and Daniel B. Stouffer. 2016.</w:t>
      </w:r>
      <w:r>
        <w:t xml:space="preserve"> </w:t>
      </w:r>
      <w:r>
        <w:t xml:space="preserve">“Synthetic Datasets and Community Tools for the Rapid Testing of Ecological Hypotheses.”</w:t>
      </w:r>
      <w:r>
        <w:t xml:space="preserve"> </w:t>
      </w:r>
      <w:r>
        <w:rPr>
          <w:iCs/>
          <w:i/>
        </w:rPr>
        <w:t xml:space="preserve">Ecography</w:t>
      </w:r>
      <w:r>
        <w:t xml:space="preserve"> </w:t>
      </w:r>
      <w:r>
        <w:t xml:space="preserve">39 (4): 402–8.</w:t>
      </w:r>
      <w:r>
        <w:t xml:space="preserve"> </w:t>
      </w:r>
      <w:hyperlink r:id="rId152">
        <w:r>
          <w:rPr>
            <w:rStyle w:val="Hyperlink"/>
          </w:rPr>
          <w:t xml:space="preserve">https://doi.org/10.1111/ecog.01941</w:t>
        </w:r>
      </w:hyperlink>
      <w:r>
        <w:t xml:space="preserve">.</w:t>
      </w:r>
    </w:p>
    <w:bookmarkEnd w:id="153"/>
    <w:bookmarkStart w:id="155"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54">
        <w:r>
          <w:rPr>
            <w:rStyle w:val="Hyperlink"/>
          </w:rPr>
          <w:t xml:space="preserve">https://doi.org/10.1111/oik.01719</w:t>
        </w:r>
      </w:hyperlink>
      <w:r>
        <w:t xml:space="preserve">.</w:t>
      </w:r>
    </w:p>
    <w:bookmarkEnd w:id="155"/>
    <w:bookmarkStart w:id="157"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56">
        <w:r>
          <w:rPr>
            <w:rStyle w:val="Hyperlink"/>
          </w:rPr>
          <w:t xml:space="preserve">https://www.jstor.org/stable/48582345</w:t>
        </w:r>
      </w:hyperlink>
      <w:r>
        <w:t xml:space="preserve">.</w:t>
      </w:r>
    </w:p>
    <w:bookmarkEnd w:id="157"/>
    <w:bookmarkStart w:id="159"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58">
        <w:r>
          <w:rPr>
            <w:rStyle w:val="Hyperlink"/>
          </w:rPr>
          <w:t xml:space="preserve">https://doi.org/10.1111/2041-210X.13125</w:t>
        </w:r>
      </w:hyperlink>
      <w:r>
        <w:t xml:space="preserve">.</w:t>
      </w:r>
    </w:p>
    <w:bookmarkEnd w:id="159"/>
    <w:bookmarkStart w:id="161"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60">
        <w:r>
          <w:rPr>
            <w:rStyle w:val="Hyperlink"/>
          </w:rPr>
          <w:t xml:space="preserve">https://doi.org/10.1515/9780691195322-020</w:t>
        </w:r>
      </w:hyperlink>
      <w:r>
        <w:t xml:space="preserve">.</w:t>
      </w:r>
    </w:p>
    <w:bookmarkEnd w:id="161"/>
    <w:bookmarkStart w:id="163"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62">
        <w:r>
          <w:rPr>
            <w:rStyle w:val="Hyperlink"/>
          </w:rPr>
          <w:t xml:space="preserve">https://doi.org/10.1146/annurev-ecolsys-110218-024908</w:t>
        </w:r>
      </w:hyperlink>
      <w:r>
        <w:t xml:space="preserve">.</w:t>
      </w:r>
    </w:p>
    <w:bookmarkEnd w:id="163"/>
    <w:bookmarkStart w:id="165"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Cs/>
          <w:i/>
        </w:rPr>
        <w:t xml:space="preserve">Trends in Ecology &amp; Evolution</w:t>
      </w:r>
      <w:r>
        <w:t xml:space="preserve"> </w:t>
      </w:r>
      <w:r>
        <w:t xml:space="preserve">20 (6): 345–53.</w:t>
      </w:r>
      <w:r>
        <w:t xml:space="preserve"> </w:t>
      </w:r>
      <w:hyperlink r:id="rId164">
        <w:r>
          <w:rPr>
            <w:rStyle w:val="Hyperlink"/>
          </w:rPr>
          <w:t xml:space="preserve">https://doi.org/10.1016/j.tree.2005.04.004</w:t>
        </w:r>
      </w:hyperlink>
      <w:r>
        <w:t xml:space="preserve">.</w:t>
      </w:r>
    </w:p>
    <w:bookmarkEnd w:id="165"/>
    <w:bookmarkStart w:id="167"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66">
        <w:r>
          <w:rPr>
            <w:rStyle w:val="Hyperlink"/>
          </w:rPr>
          <w:t xml:space="preserve">https://doi.org/10.1086/653667</w:t>
        </w:r>
      </w:hyperlink>
      <w:r>
        <w:t xml:space="preserve">.</w:t>
      </w:r>
    </w:p>
    <w:bookmarkEnd w:id="167"/>
    <w:bookmarkStart w:id="169" w:name="ref-saraviaEcologicalNetworkAssembly2022"/>
    <w:p>
      <w:pPr>
        <w:pStyle w:val="Bibliography"/>
      </w:pPr>
      <w:r>
        <w:t xml:space="preserve">Saravia, Leonardo A., Tomás I Marina, Nadiah P. Kristensen, Marleen De Troch, and Fernando R. Momo. 2022.</w:t>
      </w:r>
      <w:r>
        <w:t xml:space="preserve"> </w:t>
      </w:r>
      <w:r>
        <w:t xml:space="preserve">“Ecological Network Assembly:</w:t>
      </w:r>
      <w:r>
        <w:t xml:space="preserve"> </w:t>
      </w:r>
      <w:r>
        <w:t xml:space="preserve">How</w:t>
      </w:r>
      <w:r>
        <w:t xml:space="preserve"> </w:t>
      </w:r>
      <w:r>
        <w:t xml:space="preserve">the Regional Metaweb Influences Local Food Webs.”</w:t>
      </w:r>
      <w:r>
        <w:t xml:space="preserve"> </w:t>
      </w:r>
      <w:r>
        <w:rPr>
          <w:iCs/>
          <w:i/>
        </w:rPr>
        <w:t xml:space="preserve">Journal of Animal Ecology</w:t>
      </w:r>
      <w:r>
        <w:t xml:space="preserve"> </w:t>
      </w:r>
      <w:r>
        <w:t xml:space="preserve">91 (3): 630–42.</w:t>
      </w:r>
      <w:r>
        <w:t xml:space="preserve"> </w:t>
      </w:r>
      <w:hyperlink r:id="rId168">
        <w:r>
          <w:rPr>
            <w:rStyle w:val="Hyperlink"/>
          </w:rPr>
          <w:t xml:space="preserve">https://doi.org/10.1111/1365-2656.13652</w:t>
        </w:r>
      </w:hyperlink>
      <w:r>
        <w:t xml:space="preserve">.</w:t>
      </w:r>
    </w:p>
    <w:bookmarkEnd w:id="169"/>
    <w:bookmarkStart w:id="171"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70">
        <w:r>
          <w:rPr>
            <w:rStyle w:val="Hyperlink"/>
          </w:rPr>
          <w:t xml:space="preserve">https://doi.org/10.1101/2024.01.30.578036</w:t>
        </w:r>
      </w:hyperlink>
      <w:r>
        <w:t xml:space="preserve">.</w:t>
      </w:r>
    </w:p>
    <w:bookmarkEnd w:id="171"/>
    <w:bookmarkStart w:id="173"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72">
        <w:r>
          <w:rPr>
            <w:rStyle w:val="Hyperlink"/>
          </w:rPr>
          <w:t xml:space="preserve">https://doi.org/10.1098/rspb.2007.0571</w:t>
        </w:r>
      </w:hyperlink>
      <w:r>
        <w:t xml:space="preserve">.</w:t>
      </w:r>
    </w:p>
    <w:bookmarkEnd w:id="173"/>
    <w:bookmarkStart w:id="175"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74">
        <w:r>
          <w:rPr>
            <w:rStyle w:val="Hyperlink"/>
          </w:rPr>
          <w:t xml:space="preserve">https://doi.org/10.1111/2041-210X.13835</w:t>
        </w:r>
      </w:hyperlink>
      <w:r>
        <w:t xml:space="preserve">.</w:t>
      </w:r>
    </w:p>
    <w:bookmarkEnd w:id="175"/>
    <w:bookmarkStart w:id="177"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76">
        <w:r>
          <w:rPr>
            <w:rStyle w:val="Hyperlink"/>
          </w:rPr>
          <w:t xml:space="preserve">https://doi.org/10.1111/2041-210X.14228</w:t>
        </w:r>
      </w:hyperlink>
      <w:r>
        <w:t xml:space="preserve">.</w:t>
      </w:r>
    </w:p>
    <w:bookmarkEnd w:id="177"/>
    <w:bookmarkStart w:id="179"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78">
        <w:r>
          <w:rPr>
            <w:rStyle w:val="Hyperlink"/>
          </w:rPr>
          <w:t xml:space="preserve">https://doi.org/10.1098/rstb.2021.0063</w:t>
        </w:r>
      </w:hyperlink>
      <w:r>
        <w:t xml:space="preserve">.</w:t>
      </w:r>
    </w:p>
    <w:bookmarkEnd w:id="179"/>
    <w:bookmarkStart w:id="181"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80">
        <w:r>
          <w:rPr>
            <w:rStyle w:val="Hyperlink"/>
          </w:rPr>
          <w:t xml:space="preserve">https://doi.org/10.3389/fevo.2021.623141</w:t>
        </w:r>
      </w:hyperlink>
      <w:r>
        <w:t xml:space="preserve">.</w:t>
      </w:r>
    </w:p>
    <w:bookmarkEnd w:id="181"/>
    <w:bookmarkStart w:id="183"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Cs/>
          <w:i/>
        </w:rPr>
        <w:t xml:space="preserve">Plant-Animal Interactions in</w:t>
      </w:r>
      <w:r>
        <w:rPr>
          <w:iCs/>
          <w:i/>
        </w:rPr>
        <w:t xml:space="preserve"> </w:t>
      </w:r>
      <w:r>
        <w:rPr>
          <w:iCs/>
          <w:i/>
        </w:rPr>
        <w:t xml:space="preserve">Mediterranean-type</w:t>
      </w:r>
      <w:r>
        <w:rPr>
          <w:iCs/>
          <w:i/>
        </w:rPr>
        <w:t xml:space="preserve"> </w:t>
      </w:r>
      <w:r>
        <w:rPr>
          <w:iCs/>
          <w:i/>
        </w:rPr>
        <w:t xml:space="preserve">Ecosystems</w:t>
      </w:r>
      <w:r>
        <w:t xml:space="preserve">, edited by M. Arianoutsou and R. H. Groves, 3–11. Dordrecht: Springer Netherlands.</w:t>
      </w:r>
      <w:r>
        <w:t xml:space="preserve"> </w:t>
      </w:r>
      <w:hyperlink r:id="rId182">
        <w:r>
          <w:rPr>
            <w:rStyle w:val="Hyperlink"/>
          </w:rPr>
          <w:t xml:space="preserve">https://doi.org/10.1007/978-94-011-0908-6_1</w:t>
        </w:r>
      </w:hyperlink>
      <w:r>
        <w:t xml:space="preserve">.</w:t>
      </w:r>
    </w:p>
    <w:bookmarkEnd w:id="183"/>
    <w:bookmarkStart w:id="185"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84">
        <w:r>
          <w:rPr>
            <w:rStyle w:val="Hyperlink"/>
          </w:rPr>
          <w:t xml:space="preserve">https://doi.org/10.1111/jbi.14734</w:t>
        </w:r>
      </w:hyperlink>
      <w:r>
        <w:t xml:space="preserve">.</w:t>
      </w:r>
    </w:p>
    <w:bookmarkEnd w:id="185"/>
    <w:bookmarkStart w:id="187"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86">
        <w:r>
          <w:rPr>
            <w:rStyle w:val="Hyperlink"/>
          </w:rPr>
          <w:t xml:space="preserve">https://www.ncbi.nlm.nih.gov/pubmed/19294932</w:t>
        </w:r>
      </w:hyperlink>
      <w:r>
        <w:t xml:space="preserve">.</w:t>
      </w:r>
    </w:p>
    <w:bookmarkEnd w:id="187"/>
    <w:bookmarkStart w:id="189"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88">
        <w:r>
          <w:rPr>
            <w:rStyle w:val="Hyperlink"/>
          </w:rPr>
          <w:t xml:space="preserve">https://doi.org/10.1038/35004572</w:t>
        </w:r>
      </w:hyperlink>
      <w:r>
        <w:t xml:space="preserve">.</w:t>
      </w:r>
    </w:p>
    <w:bookmarkEnd w:id="189"/>
    <w:bookmarkStart w:id="191"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90">
        <w:r>
          <w:rPr>
            <w:rStyle w:val="Hyperlink"/>
          </w:rPr>
          <w:t xml:space="preserve">https://doi.org/10.1111/j.1365-2656.2008.01362.x</w:t>
        </w:r>
      </w:hyperlink>
      <w:r>
        <w:t xml:space="preserve">.</w:t>
      </w:r>
    </w:p>
    <w:bookmarkEnd w:id="191"/>
    <w:bookmarkStart w:id="193"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92">
        <w:r>
          <w:rPr>
            <w:rStyle w:val="Hyperlink"/>
          </w:rPr>
          <w:t xml:space="preserve">https://doi.org/10.1038/s41598-017-05585-6</w:t>
        </w:r>
      </w:hyperlink>
      <w:r>
        <w:t xml:space="preserve">.</w:t>
      </w:r>
    </w:p>
    <w:bookmarkEnd w:id="193"/>
    <w:bookmarkEnd w:id="194"/>
    <w:bookmarkEnd w:id="1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0" Target="media/rId30.png" /><Relationship Type="http://schemas.openxmlformats.org/officeDocument/2006/relationships/image" Id="rId34" Target="media/rId34.jpg" /><Relationship Type="http://schemas.openxmlformats.org/officeDocument/2006/relationships/image" Id="rId50" Target="media/rId50.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hyperlink" Id="rId42" Target="https://BecksLab.github.io/ms_t_is_for_topology/notebooks/model_qualitative-preview.html#cell-fig-dendo" TargetMode="External" /><Relationship Type="http://schemas.openxmlformats.org/officeDocument/2006/relationships/hyperlink" Id="rId48" Target="https://BecksLab.github.io/ms_t_is_for_topology/notebooks/model_quantitative-preview.html#cell-fig-topology" TargetMode="External" /><Relationship Type="http://schemas.openxmlformats.org/officeDocument/2006/relationships/hyperlink" Id="rId150" Target="https://doi.org/10" TargetMode="External" /><Relationship Type="http://schemas.openxmlformats.org/officeDocument/2006/relationships/hyperlink" Id="rId182" Target="https://doi.org/10.1007/978-94-011-0908-6_1" TargetMode="External" /><Relationship Type="http://schemas.openxmlformats.org/officeDocument/2006/relationships/hyperlink" Id="rId130" Target="https://doi.org/10.1016/0005-2795(75)90109-9" TargetMode="External" /><Relationship Type="http://schemas.openxmlformats.org/officeDocument/2006/relationships/hyperlink" Id="rId67" Target="https://doi.org/10.1016/S2666-5247(21)00245-7" TargetMode="External" /><Relationship Type="http://schemas.openxmlformats.org/officeDocument/2006/relationships/hyperlink" Id="rId142" Target="https://doi.org/10.1016/j.ecoinf.2014.08.005" TargetMode="External" /><Relationship Type="http://schemas.openxmlformats.org/officeDocument/2006/relationships/hyperlink" Id="rId118" Target="https://doi.org/10.1016/j.fooweb.2015.09.001" TargetMode="External" /><Relationship Type="http://schemas.openxmlformats.org/officeDocument/2006/relationships/hyperlink" Id="rId138" Target="https://doi.org/10.1016/j.jtbi.2011.03.019" TargetMode="External" /><Relationship Type="http://schemas.openxmlformats.org/officeDocument/2006/relationships/hyperlink" Id="rId112" Target="https://doi.org/10.1016/j.spasta.2012.02.004" TargetMode="External" /><Relationship Type="http://schemas.openxmlformats.org/officeDocument/2006/relationships/hyperlink" Id="rId164" Target="https://doi.org/10.1016/j.tree.2005.04.004" TargetMode="External" /><Relationship Type="http://schemas.openxmlformats.org/officeDocument/2006/relationships/hyperlink" Id="rId132" Target="https://doi.org/10.1016/j.tree.2015.03.014" TargetMode="External" /><Relationship Type="http://schemas.openxmlformats.org/officeDocument/2006/relationships/hyperlink" Id="rId188" Target="https://doi.org/10.1038/35004572" TargetMode="External" /><Relationship Type="http://schemas.openxmlformats.org/officeDocument/2006/relationships/hyperlink" Id="rId85" Target="https://doi.org/10.1038/nature02327" TargetMode="External" /><Relationship Type="http://schemas.openxmlformats.org/officeDocument/2006/relationships/hyperlink" Id="rId192" Target="https://doi.org/10.1038/s41598-017-05585-6" TargetMode="External" /><Relationship Type="http://schemas.openxmlformats.org/officeDocument/2006/relationships/hyperlink" Id="rId75" Target="https://doi.org/10.1038/s42003-023-05622-3" TargetMode="External" /><Relationship Type="http://schemas.openxmlformats.org/officeDocument/2006/relationships/hyperlink" Id="rId69" Target="https://doi.org/10.1073/pnas.0603039103" TargetMode="External" /><Relationship Type="http://schemas.openxmlformats.org/officeDocument/2006/relationships/hyperlink" Id="rId136" Target="https://doi.org/10.1073/pnas.0710672105" TargetMode="External" /><Relationship Type="http://schemas.openxmlformats.org/officeDocument/2006/relationships/hyperlink" Id="rId71"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89" Target="https://doi.org/10.1073/pnas.74.10.4533" TargetMode="External" /><Relationship Type="http://schemas.openxmlformats.org/officeDocument/2006/relationships/hyperlink" Id="rId166" Target="https://doi.org/10.1086/653667" TargetMode="External" /><Relationship Type="http://schemas.openxmlformats.org/officeDocument/2006/relationships/hyperlink" Id="rId92" Target="https://doi.org/10.1098/rspb.1985.0042" TargetMode="External" /><Relationship Type="http://schemas.openxmlformats.org/officeDocument/2006/relationships/hyperlink" Id="rId172" Target="https://doi.org/10.1098/rspb.2007.0571" TargetMode="External" /><Relationship Type="http://schemas.openxmlformats.org/officeDocument/2006/relationships/hyperlink" Id="rId110" Target="https://doi.org/10.1098/rspb.2020.1889" TargetMode="External" /><Relationship Type="http://schemas.openxmlformats.org/officeDocument/2006/relationships/hyperlink" Id="rId178" Target="https://doi.org/10.1098/rstb.2021.0063" TargetMode="External" /><Relationship Type="http://schemas.openxmlformats.org/officeDocument/2006/relationships/hyperlink" Id="rId170" Target="https://doi.org/10.1101/2024.01.30.578036" TargetMode="External" /><Relationship Type="http://schemas.openxmlformats.org/officeDocument/2006/relationships/hyperlink" Id="rId122" Target="https://doi.org/10.1111/1365-2435.12763" TargetMode="External" /><Relationship Type="http://schemas.openxmlformats.org/officeDocument/2006/relationships/hyperlink" Id="rId168" Target="https://doi.org/10.1111/1365-2656.13652" TargetMode="External" /><Relationship Type="http://schemas.openxmlformats.org/officeDocument/2006/relationships/hyperlink" Id="rId107" Target="https://doi.org/10.1111/2041-210X.12062" TargetMode="External" /><Relationship Type="http://schemas.openxmlformats.org/officeDocument/2006/relationships/hyperlink" Id="rId116" Target="https://doi.org/10.1111/2041-210X.12103" TargetMode="External" /><Relationship Type="http://schemas.openxmlformats.org/officeDocument/2006/relationships/hyperlink" Id="rId158" Target="https://doi.org/10.1111/2041-210X.13125" TargetMode="External" /><Relationship Type="http://schemas.openxmlformats.org/officeDocument/2006/relationships/hyperlink" Id="rId87" Target="https://doi.org/10.1111/2041-210X.13180" TargetMode="External" /><Relationship Type="http://schemas.openxmlformats.org/officeDocument/2006/relationships/hyperlink" Id="rId140" Target="https://doi.org/10.1111/2041-210X.13329" TargetMode="External" /><Relationship Type="http://schemas.openxmlformats.org/officeDocument/2006/relationships/hyperlink" Id="rId174" Target="https://doi.org/10.1111/2041-210X.13835" TargetMode="External" /><Relationship Type="http://schemas.openxmlformats.org/officeDocument/2006/relationships/hyperlink" Id="rId144" Target="https://doi.org/10.1111/2041-210X.14071" TargetMode="External" /><Relationship Type="http://schemas.openxmlformats.org/officeDocument/2006/relationships/hyperlink" Id="rId176"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146" Target="https://doi.org/10.1111/ecog.00976" TargetMode="External" /><Relationship Type="http://schemas.openxmlformats.org/officeDocument/2006/relationships/hyperlink" Id="rId152" Target="https://doi.org/10.1111/ecog.01941" TargetMode="External" /><Relationship Type="http://schemas.openxmlformats.org/officeDocument/2006/relationships/hyperlink" Id="rId126" Target="https://doi.org/10.1111/ecog.06619" TargetMode="External" /><Relationship Type="http://schemas.openxmlformats.org/officeDocument/2006/relationships/hyperlink" Id="rId134" Target="https://doi.org/10.1111/ele.13143" TargetMode="External" /><Relationship Type="http://schemas.openxmlformats.org/officeDocument/2006/relationships/hyperlink" Id="rId77" Target="https://doi.org/10.1111/ele.13525" TargetMode="External" /><Relationship Type="http://schemas.openxmlformats.org/officeDocument/2006/relationships/hyperlink" Id="rId83" Target="https://doi.org/10.1111/ele.13966" TargetMode="External" /><Relationship Type="http://schemas.openxmlformats.org/officeDocument/2006/relationships/hyperlink" Id="rId128" Target="https://doi.org/10.1111/geb.13138" TargetMode="External" /><Relationship Type="http://schemas.openxmlformats.org/officeDocument/2006/relationships/hyperlink" Id="rId73" Target="https://doi.org/10.1111/j.0021-8790.2004.00833.x" TargetMode="External" /><Relationship Type="http://schemas.openxmlformats.org/officeDocument/2006/relationships/hyperlink" Id="rId190" Target="https://doi.org/10.1111/j.1365-2656.2008.01362.x" TargetMode="External" /><Relationship Type="http://schemas.openxmlformats.org/officeDocument/2006/relationships/hyperlink" Id="rId114" Target="https://doi.org/10.1111/j.1461-0248.2005.00868.x" TargetMode="External" /><Relationship Type="http://schemas.openxmlformats.org/officeDocument/2006/relationships/hyperlink" Id="rId148" Target="https://doi.org/10.1111/jbi.14127" TargetMode="External" /><Relationship Type="http://schemas.openxmlformats.org/officeDocument/2006/relationships/hyperlink" Id="rId184" Target="https://doi.org/10.1111/jbi.14734" TargetMode="External" /><Relationship Type="http://schemas.openxmlformats.org/officeDocument/2006/relationships/hyperlink" Id="rId154" Target="https://doi.org/10.1111/oik.01719" TargetMode="External" /><Relationship Type="http://schemas.openxmlformats.org/officeDocument/2006/relationships/hyperlink" Id="rId61" Target="https://doi.org/10.1126/science.1156269" TargetMode="External" /><Relationship Type="http://schemas.openxmlformats.org/officeDocument/2006/relationships/hyperlink" Id="rId162" Target="https://doi.org/10.1146/annurev-ecolsys-110218-024908" TargetMode="External" /><Relationship Type="http://schemas.openxmlformats.org/officeDocument/2006/relationships/hyperlink" Id="rId79" Target="https://doi.org/10.13140/RG.2.2.22076.65927" TargetMode="External" /><Relationship Type="http://schemas.openxmlformats.org/officeDocument/2006/relationships/hyperlink" Id="rId105" Target="https://doi.org/10.1371/journal.pbio.0060102" TargetMode="External" /><Relationship Type="http://schemas.openxmlformats.org/officeDocument/2006/relationships/hyperlink" Id="rId120" Target="https://doi.org/10.1371/journal.pbio.1002559" TargetMode="External" /><Relationship Type="http://schemas.openxmlformats.org/officeDocument/2006/relationships/hyperlink" Id="rId81"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60" Target="https://doi.org/10.1515/9780691195322-020" TargetMode="External" /><Relationship Type="http://schemas.openxmlformats.org/officeDocument/2006/relationships/hyperlink" Id="rId124" Target="https://doi.org/10.2307/1930126" TargetMode="External" /><Relationship Type="http://schemas.openxmlformats.org/officeDocument/2006/relationships/hyperlink" Id="rId98" Target="https://doi.org/10.2307/1936298" TargetMode="External" /><Relationship Type="http://schemas.openxmlformats.org/officeDocument/2006/relationships/hyperlink" Id="rId180" Target="https://doi.org/10.3389/fevo.2021.623141" TargetMode="External" /><Relationship Type="http://schemas.openxmlformats.org/officeDocument/2006/relationships/hyperlink" Id="rId102" Target="https://doi.org/10.7717/peerj.3644" TargetMode="External" /><Relationship Type="http://schemas.openxmlformats.org/officeDocument/2006/relationships/hyperlink" Id="rId94" Target="https://www.jstor.org/stable/27896212" TargetMode="External" /><Relationship Type="http://schemas.openxmlformats.org/officeDocument/2006/relationships/hyperlink" Id="rId156" Target="https://www.jstor.org/stable/48582345" TargetMode="External" /><Relationship Type="http://schemas.openxmlformats.org/officeDocument/2006/relationships/hyperlink" Id="rId186"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2" Target="https://BecksLab.github.io/ms_t_is_for_topology/notebooks/model_qualitative-preview.html#cell-fig-dendo" TargetMode="External" /><Relationship Type="http://schemas.openxmlformats.org/officeDocument/2006/relationships/hyperlink" Id="rId48" Target="https://BecksLab.github.io/ms_t_is_for_topology/notebooks/model_quantitative-preview.html#cell-fig-topology" TargetMode="External" /><Relationship Type="http://schemas.openxmlformats.org/officeDocument/2006/relationships/hyperlink" Id="rId150" Target="https://doi.org/10" TargetMode="External" /><Relationship Type="http://schemas.openxmlformats.org/officeDocument/2006/relationships/hyperlink" Id="rId182" Target="https://doi.org/10.1007/978-94-011-0908-6_1" TargetMode="External" /><Relationship Type="http://schemas.openxmlformats.org/officeDocument/2006/relationships/hyperlink" Id="rId130" Target="https://doi.org/10.1016/0005-2795(75)90109-9" TargetMode="External" /><Relationship Type="http://schemas.openxmlformats.org/officeDocument/2006/relationships/hyperlink" Id="rId67" Target="https://doi.org/10.1016/S2666-5247(21)00245-7" TargetMode="External" /><Relationship Type="http://schemas.openxmlformats.org/officeDocument/2006/relationships/hyperlink" Id="rId142" Target="https://doi.org/10.1016/j.ecoinf.2014.08.005" TargetMode="External" /><Relationship Type="http://schemas.openxmlformats.org/officeDocument/2006/relationships/hyperlink" Id="rId118" Target="https://doi.org/10.1016/j.fooweb.2015.09.001" TargetMode="External" /><Relationship Type="http://schemas.openxmlformats.org/officeDocument/2006/relationships/hyperlink" Id="rId138" Target="https://doi.org/10.1016/j.jtbi.2011.03.019" TargetMode="External" /><Relationship Type="http://schemas.openxmlformats.org/officeDocument/2006/relationships/hyperlink" Id="rId112" Target="https://doi.org/10.1016/j.spasta.2012.02.004" TargetMode="External" /><Relationship Type="http://schemas.openxmlformats.org/officeDocument/2006/relationships/hyperlink" Id="rId164" Target="https://doi.org/10.1016/j.tree.2005.04.004" TargetMode="External" /><Relationship Type="http://schemas.openxmlformats.org/officeDocument/2006/relationships/hyperlink" Id="rId132" Target="https://doi.org/10.1016/j.tree.2015.03.014" TargetMode="External" /><Relationship Type="http://schemas.openxmlformats.org/officeDocument/2006/relationships/hyperlink" Id="rId188" Target="https://doi.org/10.1038/35004572" TargetMode="External" /><Relationship Type="http://schemas.openxmlformats.org/officeDocument/2006/relationships/hyperlink" Id="rId85" Target="https://doi.org/10.1038/nature02327" TargetMode="External" /><Relationship Type="http://schemas.openxmlformats.org/officeDocument/2006/relationships/hyperlink" Id="rId192" Target="https://doi.org/10.1038/s41598-017-05585-6" TargetMode="External" /><Relationship Type="http://schemas.openxmlformats.org/officeDocument/2006/relationships/hyperlink" Id="rId75" Target="https://doi.org/10.1038/s42003-023-05622-3" TargetMode="External" /><Relationship Type="http://schemas.openxmlformats.org/officeDocument/2006/relationships/hyperlink" Id="rId69" Target="https://doi.org/10.1073/pnas.0603039103" TargetMode="External" /><Relationship Type="http://schemas.openxmlformats.org/officeDocument/2006/relationships/hyperlink" Id="rId136" Target="https://doi.org/10.1073/pnas.0710672105" TargetMode="External" /><Relationship Type="http://schemas.openxmlformats.org/officeDocument/2006/relationships/hyperlink" Id="rId71"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89" Target="https://doi.org/10.1073/pnas.74.10.4533" TargetMode="External" /><Relationship Type="http://schemas.openxmlformats.org/officeDocument/2006/relationships/hyperlink" Id="rId166" Target="https://doi.org/10.1086/653667" TargetMode="External" /><Relationship Type="http://schemas.openxmlformats.org/officeDocument/2006/relationships/hyperlink" Id="rId92" Target="https://doi.org/10.1098/rspb.1985.0042" TargetMode="External" /><Relationship Type="http://schemas.openxmlformats.org/officeDocument/2006/relationships/hyperlink" Id="rId172" Target="https://doi.org/10.1098/rspb.2007.0571" TargetMode="External" /><Relationship Type="http://schemas.openxmlformats.org/officeDocument/2006/relationships/hyperlink" Id="rId110" Target="https://doi.org/10.1098/rspb.2020.1889" TargetMode="External" /><Relationship Type="http://schemas.openxmlformats.org/officeDocument/2006/relationships/hyperlink" Id="rId178" Target="https://doi.org/10.1098/rstb.2021.0063" TargetMode="External" /><Relationship Type="http://schemas.openxmlformats.org/officeDocument/2006/relationships/hyperlink" Id="rId170" Target="https://doi.org/10.1101/2024.01.30.578036" TargetMode="External" /><Relationship Type="http://schemas.openxmlformats.org/officeDocument/2006/relationships/hyperlink" Id="rId122" Target="https://doi.org/10.1111/1365-2435.12763" TargetMode="External" /><Relationship Type="http://schemas.openxmlformats.org/officeDocument/2006/relationships/hyperlink" Id="rId168" Target="https://doi.org/10.1111/1365-2656.13652" TargetMode="External" /><Relationship Type="http://schemas.openxmlformats.org/officeDocument/2006/relationships/hyperlink" Id="rId107" Target="https://doi.org/10.1111/2041-210X.12062" TargetMode="External" /><Relationship Type="http://schemas.openxmlformats.org/officeDocument/2006/relationships/hyperlink" Id="rId116" Target="https://doi.org/10.1111/2041-210X.12103" TargetMode="External" /><Relationship Type="http://schemas.openxmlformats.org/officeDocument/2006/relationships/hyperlink" Id="rId158" Target="https://doi.org/10.1111/2041-210X.13125" TargetMode="External" /><Relationship Type="http://schemas.openxmlformats.org/officeDocument/2006/relationships/hyperlink" Id="rId87" Target="https://doi.org/10.1111/2041-210X.13180" TargetMode="External" /><Relationship Type="http://schemas.openxmlformats.org/officeDocument/2006/relationships/hyperlink" Id="rId140" Target="https://doi.org/10.1111/2041-210X.13329" TargetMode="External" /><Relationship Type="http://schemas.openxmlformats.org/officeDocument/2006/relationships/hyperlink" Id="rId174" Target="https://doi.org/10.1111/2041-210X.13835" TargetMode="External" /><Relationship Type="http://schemas.openxmlformats.org/officeDocument/2006/relationships/hyperlink" Id="rId144" Target="https://doi.org/10.1111/2041-210X.14071" TargetMode="External" /><Relationship Type="http://schemas.openxmlformats.org/officeDocument/2006/relationships/hyperlink" Id="rId176"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146" Target="https://doi.org/10.1111/ecog.00976" TargetMode="External" /><Relationship Type="http://schemas.openxmlformats.org/officeDocument/2006/relationships/hyperlink" Id="rId152" Target="https://doi.org/10.1111/ecog.01941" TargetMode="External" /><Relationship Type="http://schemas.openxmlformats.org/officeDocument/2006/relationships/hyperlink" Id="rId126" Target="https://doi.org/10.1111/ecog.06619" TargetMode="External" /><Relationship Type="http://schemas.openxmlformats.org/officeDocument/2006/relationships/hyperlink" Id="rId134" Target="https://doi.org/10.1111/ele.13143" TargetMode="External" /><Relationship Type="http://schemas.openxmlformats.org/officeDocument/2006/relationships/hyperlink" Id="rId77" Target="https://doi.org/10.1111/ele.13525" TargetMode="External" /><Relationship Type="http://schemas.openxmlformats.org/officeDocument/2006/relationships/hyperlink" Id="rId83" Target="https://doi.org/10.1111/ele.13966" TargetMode="External" /><Relationship Type="http://schemas.openxmlformats.org/officeDocument/2006/relationships/hyperlink" Id="rId128" Target="https://doi.org/10.1111/geb.13138" TargetMode="External" /><Relationship Type="http://schemas.openxmlformats.org/officeDocument/2006/relationships/hyperlink" Id="rId73" Target="https://doi.org/10.1111/j.0021-8790.2004.00833.x" TargetMode="External" /><Relationship Type="http://schemas.openxmlformats.org/officeDocument/2006/relationships/hyperlink" Id="rId190" Target="https://doi.org/10.1111/j.1365-2656.2008.01362.x" TargetMode="External" /><Relationship Type="http://schemas.openxmlformats.org/officeDocument/2006/relationships/hyperlink" Id="rId114" Target="https://doi.org/10.1111/j.1461-0248.2005.00868.x" TargetMode="External" /><Relationship Type="http://schemas.openxmlformats.org/officeDocument/2006/relationships/hyperlink" Id="rId148" Target="https://doi.org/10.1111/jbi.14127" TargetMode="External" /><Relationship Type="http://schemas.openxmlformats.org/officeDocument/2006/relationships/hyperlink" Id="rId184" Target="https://doi.org/10.1111/jbi.14734" TargetMode="External" /><Relationship Type="http://schemas.openxmlformats.org/officeDocument/2006/relationships/hyperlink" Id="rId154" Target="https://doi.org/10.1111/oik.01719" TargetMode="External" /><Relationship Type="http://schemas.openxmlformats.org/officeDocument/2006/relationships/hyperlink" Id="rId61" Target="https://doi.org/10.1126/science.1156269" TargetMode="External" /><Relationship Type="http://schemas.openxmlformats.org/officeDocument/2006/relationships/hyperlink" Id="rId162" Target="https://doi.org/10.1146/annurev-ecolsys-110218-024908" TargetMode="External" /><Relationship Type="http://schemas.openxmlformats.org/officeDocument/2006/relationships/hyperlink" Id="rId79" Target="https://doi.org/10.13140/RG.2.2.22076.65927" TargetMode="External" /><Relationship Type="http://schemas.openxmlformats.org/officeDocument/2006/relationships/hyperlink" Id="rId105" Target="https://doi.org/10.1371/journal.pbio.0060102" TargetMode="External" /><Relationship Type="http://schemas.openxmlformats.org/officeDocument/2006/relationships/hyperlink" Id="rId120" Target="https://doi.org/10.1371/journal.pbio.1002559" TargetMode="External" /><Relationship Type="http://schemas.openxmlformats.org/officeDocument/2006/relationships/hyperlink" Id="rId81"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60" Target="https://doi.org/10.1515/9780691195322-020" TargetMode="External" /><Relationship Type="http://schemas.openxmlformats.org/officeDocument/2006/relationships/hyperlink" Id="rId124" Target="https://doi.org/10.2307/1930126" TargetMode="External" /><Relationship Type="http://schemas.openxmlformats.org/officeDocument/2006/relationships/hyperlink" Id="rId98" Target="https://doi.org/10.2307/1936298" TargetMode="External" /><Relationship Type="http://schemas.openxmlformats.org/officeDocument/2006/relationships/hyperlink" Id="rId180" Target="https://doi.org/10.3389/fevo.2021.623141" TargetMode="External" /><Relationship Type="http://schemas.openxmlformats.org/officeDocument/2006/relationships/hyperlink" Id="rId102" Target="https://doi.org/10.7717/peerj.3644" TargetMode="External" /><Relationship Type="http://schemas.openxmlformats.org/officeDocument/2006/relationships/hyperlink" Id="rId94" Target="https://www.jstor.org/stable/27896212" TargetMode="External" /><Relationship Type="http://schemas.openxmlformats.org/officeDocument/2006/relationships/hyperlink" Id="rId156" Target="https://www.jstor.org/stable/48582345" TargetMode="External" /><Relationship Type="http://schemas.openxmlformats.org/officeDocument/2006/relationships/hyperlink" Id="rId186"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2024-05-07T10:06:04Z</dcterms:created>
  <dcterms:modified xsi:type="dcterms:W3CDTF">2024-05-07T10:06:04Z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2024-05-07</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