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33.png" ContentType="image/png"/>
  <Override PartName="/word/media/rId37.jpg" ContentType="image/jpeg"/>
  <Override PartName="/word/media/rId56.png" ContentType="image/png"/>
  <Override PartName="/word/media/rId29.jpg" ContentType="image/jpeg"/>
  <Override PartName="/word/media/rId46.png" ContentType="image/png"/>
  <Override PartName="/word/media/rId41.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Darwin’s</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was primarily driven by two limitations; firstly, it is extremely challenging to actually record species interactions in the field</w:t>
      </w:r>
      <w:r>
        <w:t xml:space="preserve"> </w:t>
      </w:r>
      <w:r>
        <w:t xml:space="preserve">(Jordano 2016b, 2016a)</w:t>
      </w:r>
      <w:r>
        <w:t xml:space="preserve">, which has resulted in a limitation in the coverage of interaction data</w:t>
      </w:r>
      <w:r>
        <w:t xml:space="preserve"> </w:t>
      </w:r>
      <w:r>
        <w:t xml:space="preserve">(Poisot et al. 2021)</w:t>
      </w:r>
      <w:r>
        <w:t xml:space="preserve">, secondly has been the need to develop a set of tools and terminology to construct, conceptualise, and analyse these networks. Although measuring interactions in the field remains a challenge, the development of both practical tools (</w:t>
      </w:r>
      <w:r>
        <w:rPr>
          <w:i/>
          <w:iCs/>
        </w:rPr>
        <w:t xml:space="preserve">i.e.,</w:t>
      </w:r>
      <w:r>
        <w:t xml:space="preserve"> </w:t>
      </w:r>
      <w:r>
        <w:t xml:space="preserve">tools that help as record or measure interactions,</w:t>
      </w:r>
      <w:r>
        <w:t xml:space="preserve"> </w:t>
      </w:r>
      <w:r>
        <w:t xml:space="preserve">(e.g. ref maybe Pringle and Hutchinson 2020)</w:t>
      </w:r>
      <w:r>
        <w:t xml:space="preserve"> </w:t>
      </w:r>
      <w:r>
        <w:t xml:space="preserve">although there are many) as well as predictive tools</w:t>
      </w:r>
      <w:r>
        <w:t xml:space="preserve"> </w:t>
      </w:r>
      <w:r>
        <w:t xml:space="preserve">(Morales-Castilla et al. 2015; Strydom et al. 2021)</w:t>
      </w:r>
      <w:r>
        <w:t xml:space="preserve"> </w:t>
      </w:r>
      <w:r>
        <w:t xml:space="preserve">is allowing us to begin filling in these</w:t>
      </w:r>
      <w:r>
        <w:t xml:space="preserve"> </w:t>
      </w:r>
      <w:r>
        <w:t xml:space="preserve">‘</w:t>
      </w:r>
      <w:r>
        <w:t xml:space="preserve">global gaps</w:t>
      </w:r>
      <w:r>
        <w:t xml:space="preserve">’</w:t>
      </w:r>
      <w:r>
        <w:t xml:space="preserve">. Additionally, there has been extensive development of tools that focus on quantifying the structure [ref], analysis</w:t>
      </w:r>
      <w:r>
        <w:t xml:space="preserve"> </w:t>
      </w:r>
      <w:r>
        <w:t xml:space="preserve">(Dale and Fortin 2010)</w:t>
      </w:r>
      <w:r>
        <w:t xml:space="preserve">, properties</w:t>
      </w:r>
      <w:r>
        <w:t xml:space="preserve"> </w:t>
      </w:r>
      <w:r>
        <w:t xml:space="preserve">(Delmas et al. 2019)</w:t>
      </w:r>
      <w:r>
        <w:t xml:space="preserve"> </w:t>
      </w:r>
      <w:r>
        <w:t xml:space="preserve">of networks. All together these tools means that as a field network ecology can (and should) be integrated into ecology</w:t>
      </w:r>
      <w:r>
        <w:t xml:space="preserve"> </w:t>
      </w:r>
      <w:r>
        <w:t xml:space="preserve">(</w:t>
      </w:r>
      <w:r>
        <w:rPr>
          <w:i/>
          <w:iCs/>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provide a much more</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 representation of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the flow of energy</w:t>
      </w:r>
      <w:r>
        <w:t xml:space="preserve"> </w:t>
      </w:r>
      <w:r>
        <w:t xml:space="preserve">(sensu the ADBM Petchey et al. 2008 ??)</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although species</w:t>
      </w:r>
      <w:r>
        <w:t xml:space="preserve"> </w:t>
      </w:r>
      <w:r>
        <w:rPr>
          <w:i/>
          <w:iCs/>
        </w:rPr>
        <w:t xml:space="preserve">a</w:t>
      </w:r>
      <w:r>
        <w:t xml:space="preserve"> </w:t>
      </w:r>
      <w:r>
        <w:t xml:space="preserve">may have the ability to consume species</w:t>
      </w:r>
      <w:r>
        <w:t xml:space="preserve"> </w:t>
      </w:r>
      <w:r>
        <w:rPr>
          <w:i/>
          <w:iCs/>
        </w:rPr>
        <w:t xml:space="preserve">b</w:t>
      </w:r>
      <w:r>
        <w:t xml:space="preserve"> </w:t>
      </w:r>
      <w:r>
        <w:t xml:space="preserve">it does not mean that it will be realised</w:t>
      </w:r>
      <w:r>
        <w:t xml:space="preserve"> </w:t>
      </w:r>
      <w:r>
        <w:t xml:space="preserve">‘</w:t>
      </w:r>
      <w:r>
        <w:t xml:space="preserve">in the field</w:t>
      </w:r>
      <w:r>
        <w:t xml:space="preserve">’</w:t>
      </w:r>
      <w:r>
        <w:t xml:space="preserve">) will be meaningless if you are interested in understanding the flow of energy through the system as the links are overdistributed. In addition to the various ways of defining the links between species pairs there are also a myriad of ways in which the can be quantified. Links between species are often treated as being present or absent (</w:t>
      </w:r>
      <w:r>
        <w:rPr>
          <w:i/>
          <w:iCs/>
        </w:rPr>
        <w:t xml:space="preserve">i.e.,</w:t>
      </w:r>
      <w:r>
        <w:t xml:space="preserve"> </w:t>
      </w:r>
      <w:r>
        <w:t xml:space="preserve">binary) it is also possible to provide a more nuanced way to quantify them. Along with representing interactions as binary it is also possible to treat them as probabilistic [which quantifies how likely an interaction is to occur;</w:t>
      </w:r>
      <w:r>
        <w:t xml:space="preserve"> </w:t>
      </w:r>
      <w:r>
        <w:t xml:space="preserve">Poisot et al. (2016)</w:t>
      </w:r>
      <w:r>
        <w:t xml:space="preserve">] or as a continuous measurement [which quantifies the effect of one species on another;</w:t>
      </w:r>
      <w:r>
        <w:t xml:space="preserve"> </w:t>
      </w:r>
      <w:r>
        <w:t xml:space="preserve">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It is however clear that food webs defined in this manner fails to give any agency to the species in the community.</w:t>
      </w:r>
    </w:p>
    <w:p>
      <w:pPr>
        <w:pStyle w:val="BodyText"/>
      </w:pPr>
      <w:r>
        <w:t xml:space="preserve">Talking about delimiting, the idea of aggregating over time or aggregating over space…</w:t>
      </w:r>
    </w:p>
    <w:p>
      <w:pPr>
        <w:pStyle w:val="BodyText"/>
      </w:pPr>
      <w:r>
        <w:rPr>
          <w:i/>
          <w:iCs/>
        </w:rPr>
        <w:t xml:space="preserve">something, something, introducing that the same problem (different philosophies) is also a thing that you need to think about when generating networks.</w:t>
      </w:r>
    </w:p>
    <w:bookmarkEnd w:id="22"/>
    <w:bookmarkEnd w:id="23"/>
    <w:bookmarkStart w:id="63" w:name="how-do-we-construct-ecological-networks"/>
    <w:p>
      <w:pPr>
        <w:pStyle w:val="Heading2"/>
      </w:pPr>
      <w:r>
        <w:t xml:space="preserve">2 How do we construct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bookmarkStart w:id="24" w:name="predicting-structure-or-interactions"/>
    <w:p>
      <w:pPr>
        <w:pStyle w:val="Heading3"/>
      </w:pPr>
      <w:r>
        <w:t xml:space="preserve">2.1 Predicting structure or interactions?</w:t>
      </w:r>
    </w:p>
    <w:p>
      <w:pPr>
        <w:pStyle w:val="FirstParagraph"/>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pStyle w:val="Compact"/>
        <w:numPr>
          <w:ilvl w:val="0"/>
          <w:numId w:val="1001"/>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bookmarkEnd w:id="24"/>
    <w:bookmarkStart w:id="62" w:name="model-families"/>
    <w:p>
      <w:pPr>
        <w:pStyle w:val="Heading3"/>
      </w:pPr>
      <w:r>
        <w:t xml:space="preserve">2.2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network.</w:t>
      </w:r>
    </w:p>
    <w:tbl>
      <w:tblPr>
        <w:tblStyle w:val="Table"/>
        <w:tblW w:type="pct" w:w="5000"/>
        <w:tblLayout w:type="fixed"/>
        <w:tblLook w:firstRow="0" w:lastRow="0" w:firstColumn="0" w:lastColumn="0" w:noHBand="0" w:noVBand="0" w:val="0000"/>
      </w:tblPr>
      <w:tblGrid>
        <w:gridCol w:w="7920"/>
      </w:tblGrid>
      <w:tr>
        <w:tc>
          <w:tcPr/>
          <w:bookmarkStart w:id="28" w:name="fig-concept"/>
          <w:p>
            <w:pPr>
              <w:pStyle w:val="Compact"/>
              <w:jc w:val="center"/>
            </w:pPr>
            <w:r>
              <w:drawing>
                <wp:inline>
                  <wp:extent cx="5334000" cy="7636446"/>
                  <wp:effectExtent b="0" l="0" r="0" t="0"/>
                  <wp:docPr descr="" title="" id="26" name="Picture"/>
                  <a:graphic>
                    <a:graphicData uri="http://schemas.openxmlformats.org/drawingml/2006/picture">
                      <pic:pic>
                        <pic:nvPicPr>
                          <pic:cNvPr descr="images/concept.jpeg" id="27" name="Picture"/>
                          <pic:cNvPicPr>
                            <a:picLocks noChangeArrowheads="1" noChangeAspect="1"/>
                          </pic:cNvPicPr>
                        </pic:nvPicPr>
                        <pic:blipFill>
                          <a:blip r:embed="rId25"/>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8"/>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30" name="Picture"/>
            <a:graphic>
              <a:graphicData uri="http://schemas.openxmlformats.org/drawingml/2006/picture">
                <pic:pic>
                  <pic:nvPicPr>
                    <pic:cNvPr descr="images/thullier_2023_concept.jpeg" id="31" name="Picture"/>
                    <pic:cNvPicPr>
                      <a:picLocks noChangeArrowheads="1" noChangeAspect="1"/>
                    </pic:cNvPicPr>
                  </pic:nvPicPr>
                  <pic:blipFill>
                    <a:blip r:embed="rId29"/>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Start w:id="50" w:name="when-to-use-what"/>
    <w:p>
      <w:pPr>
        <w:pStyle w:val="Heading4"/>
      </w:pPr>
      <w:r>
        <w:t xml:space="preserve">2.2.1 When to use what?</w:t>
      </w:r>
    </w:p>
    <w:tbl>
      <w:tblPr>
        <w:tblStyle w:val="Table"/>
        <w:tblW w:type="pct" w:w="5000"/>
        <w:tblLayout w:type="fixed"/>
        <w:tblLook w:firstRow="0" w:lastRow="0" w:firstColumn="0" w:lastColumn="0" w:noHBand="0" w:noVBand="0" w:val="0000"/>
      </w:tblPr>
      <w:tblGrid>
        <w:gridCol w:w="7920"/>
      </w:tblGrid>
      <w:tr>
        <w:tc>
          <w:tcPr/>
          <w:bookmarkStart w:id="36" w:name="fig-venn"/>
          <w:p>
            <w:pPr>
              <w:pStyle w:val="Compact"/>
              <w:jc w:val="center"/>
            </w:pPr>
            <w:r>
              <w:drawing>
                <wp:inline>
                  <wp:extent cx="5334000" cy="3725758"/>
                  <wp:effectExtent b="0" l="0" r="0" t="0"/>
                  <wp:docPr descr="" title="" id="34" name="Picture"/>
                  <a:graphic>
                    <a:graphicData uri="http://schemas.openxmlformats.org/drawingml/2006/picture">
                      <pic:pic>
                        <pic:nvPicPr>
                          <pic:cNvPr descr="images/model_venn.png" id="35" name="Picture"/>
                          <pic:cNvPicPr>
                            <a:picLocks noChangeArrowheads="1" noChangeAspect="1"/>
                          </pic:cNvPicPr>
                        </pic:nvPicPr>
                        <pic:blipFill>
                          <a:blip r:embed="rId3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0" w:name="fig-outhwaite"/>
          <w:p>
            <w:pPr>
              <w:pStyle w:val="Compact"/>
              <w:jc w:val="center"/>
            </w:pPr>
            <w:r>
              <w:drawing>
                <wp:inline>
                  <wp:extent cx="5334000" cy="4000500"/>
                  <wp:effectExtent b="0" l="0" r="0" t="0"/>
                  <wp:docPr descr="" title="" id="38" name="Picture"/>
                  <a:graphic>
                    <a:graphicData uri="http://schemas.openxmlformats.org/drawingml/2006/picture">
                      <pic:pic>
                        <pic:nvPicPr>
                          <pic:cNvPr descr="images/outhwaite_schematic.jpeg" id="39"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40"/>
        </w:tc>
      </w:tr>
    </w:tbl>
    <w:tbl>
      <w:tblPr>
        <w:tblStyle w:val="Table"/>
        <w:tblW w:type="pct" w:w="5000"/>
        <w:tblLayout w:type="fixed"/>
        <w:tblLook w:firstRow="0" w:lastRow="0" w:firstColumn="0" w:lastColumn="0" w:noHBand="0" w:noVBand="0" w:val="0000"/>
      </w:tblPr>
      <w:tblGrid>
        <w:gridCol w:w="7920"/>
      </w:tblGrid>
      <w:tr>
        <w:tc>
          <w:tcPr/>
          <w:bookmarkStart w:id="44" w:name="fig-pca"/>
          <w:p>
            <w:pPr>
              <w:pStyle w:val="Compact"/>
              <w:jc w:val="center"/>
            </w:pPr>
            <w:r>
              <w:drawing>
                <wp:inline>
                  <wp:extent cx="5334000" cy="3810000"/>
                  <wp:effectExtent b="0" l="0" r="0" t="0"/>
                  <wp:docPr descr="" title="" id="42" name="Picture"/>
                  <a:graphic>
                    <a:graphicData uri="http://schemas.openxmlformats.org/drawingml/2006/picture">
                      <pic:pic>
                        <pic:nvPicPr>
                          <pic:cNvPr descr="index_files/figure-docx/notebooks-model_qualitative-fig-pca-output-2.png" id="43" name="Picture"/>
                          <pic:cNvPicPr>
                            <a:picLocks noChangeArrowheads="1" noChangeAspect="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4"/>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49" w:name="fig-dendo"/>
          <w:p>
            <w:pPr>
              <w:pStyle w:val="Compact"/>
              <w:jc w:val="center"/>
            </w:pPr>
            <w:r>
              <w:drawing>
                <wp:inline>
                  <wp:extent cx="5334000" cy="3810000"/>
                  <wp:effectExtent b="0" l="0" r="0" t="0"/>
                  <wp:docPr descr="" title="" id="47" name="Picture"/>
                  <a:graphic>
                    <a:graphicData uri="http://schemas.openxmlformats.org/drawingml/2006/picture">
                      <pic:pic>
                        <pic:nvPicPr>
                          <pic:cNvPr descr="index_files/figure-docx/notebooks-model_qualitative-fig-dendo-output-1.png" id="48" name="Picture"/>
                          <pic:cNvPicPr>
                            <a:picLocks noChangeArrowheads="1" noChangeAspect="1"/>
                          </pic:cNvPicPr>
                        </pic:nvPicPr>
                        <pic:blipFill>
                          <a:blip r:embed="rId46"/>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9"/>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End w:id="50"/>
    <w:bookmarkStart w:id="61" w:name="model-benchmarking"/>
    <w:p>
      <w:pPr>
        <w:pStyle w:val="Heading4"/>
      </w:pPr>
      <w:r>
        <w:t xml:space="preserve">2.2.2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1" w:name="benchmarking-network-models"/>
    <w:p>
      <w:pPr>
        <w:pStyle w:val="Heading5"/>
      </w:pPr>
      <w:r>
        <w:t xml:space="preserve">2.2.2.1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1"/>
    <w:bookmarkStart w:id="60" w:name="benchmarking-interaction-models"/>
    <w:p>
      <w:pPr>
        <w:pStyle w:val="Heading5"/>
      </w:pPr>
      <w:r>
        <w:t xml:space="preserve">2.2.2.2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59" w:name="fig-pichler"/>
          <w:p>
            <w:pPr>
              <w:pStyle w:val="Compact"/>
              <w:jc w:val="center"/>
            </w:pPr>
            <w:r>
              <w:drawing>
                <wp:inline>
                  <wp:extent cx="5334000" cy="3895724"/>
                  <wp:effectExtent b="0" l="0" r="0" t="0"/>
                  <wp:docPr descr="" title="" id="57" name="Picture"/>
                  <a:graphic>
                    <a:graphicData uri="http://schemas.openxmlformats.org/drawingml/2006/picture">
                      <pic:pic>
                        <pic:nvPicPr>
                          <pic:cNvPr descr="images/pichler_result.png" id="58" name="Picture"/>
                          <pic:cNvPicPr>
                            <a:picLocks noChangeArrowheads="1" noChangeAspect="1"/>
                          </pic:cNvPicPr>
                        </pic:nvPicPr>
                        <pic:blipFill>
                          <a:blip r:embed="rId56"/>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9"/>
        </w:tc>
      </w:tr>
    </w:tbl>
    <w:bookmarkEnd w:id="60"/>
    <w:bookmarkEnd w:id="61"/>
    <w:bookmarkEnd w:id="62"/>
    <w:bookmarkEnd w:id="63"/>
    <w:bookmarkStart w:id="64"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7"/>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4"/>
    <w:bookmarkStart w:id="65"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9"/>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0"/>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5"/>
    <w:bookmarkStart w:id="181"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Start w:id="180" w:name="refs"/>
    <w:bookmarkStart w:id="6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6">
        <w:r>
          <w:rPr>
            <w:rStyle w:val="Hyperlink"/>
          </w:rPr>
          <w:t xml:space="preserve">https://doi.org/10.1126/science.1156269</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8">
        <w:r>
          <w:rPr>
            <w:rStyle w:val="Hyperlink"/>
          </w:rPr>
          <w:t xml:space="preserve">https://doi.org/10.1111/j.0021-8790.2004.00833.x</w:t>
        </w:r>
      </w:hyperlink>
      <w:r>
        <w:t xml:space="preserve">.</w:t>
      </w:r>
    </w:p>
    <w:bookmarkEnd w:id="79"/>
    <w:bookmarkStart w:id="81"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80">
        <w:r>
          <w:rPr>
            <w:rStyle w:val="Hyperlink"/>
          </w:rPr>
          <w:t xml:space="preserve">https://doi.org/10.1111/ele.13525</w:t>
        </w:r>
      </w:hyperlink>
      <w:r>
        <w:t xml:space="preserve">.</w:t>
      </w:r>
    </w:p>
    <w:bookmarkEnd w:id="81"/>
    <w:bookmarkStart w:id="83"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2">
        <w:r>
          <w:rPr>
            <w:rStyle w:val="Hyperlink"/>
          </w:rPr>
          <w:t xml:space="preserve">https://doi.org/10.13140/RG.2.2.22076.65927</w:t>
        </w:r>
      </w:hyperlink>
      <w:r>
        <w:t xml:space="preserve">.</w:t>
      </w:r>
    </w:p>
    <w:bookmarkEnd w:id="83"/>
    <w:bookmarkStart w:id="85"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4">
        <w:r>
          <w:rPr>
            <w:rStyle w:val="Hyperlink"/>
          </w:rPr>
          <w:t xml:space="preserve">https://doi.org/10.1371/journal.pbio.3002068</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3"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92">
        <w:r>
          <w:rPr>
            <w:rStyle w:val="Hyperlink"/>
          </w:rPr>
          <w:t xml:space="preserve">https://doi.org/10.1073/pnas.74.10.4533</w:t>
        </w:r>
      </w:hyperlink>
      <w:r>
        <w:t xml:space="preserve">.</w:t>
      </w:r>
    </w:p>
    <w:bookmarkEnd w:id="93"/>
    <w:bookmarkStart w:id="94"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4"/>
    <w:bookmarkStart w:id="96"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5">
        <w:r>
          <w:rPr>
            <w:rStyle w:val="Hyperlink"/>
          </w:rPr>
          <w:t xml:space="preserve">https://doi.org/10.1098/rspb.1985.0042</w:t>
        </w:r>
      </w:hyperlink>
      <w:r>
        <w:t xml:space="preserve">.</w:t>
      </w:r>
    </w:p>
    <w:bookmarkEnd w:id="96"/>
    <w:bookmarkStart w:id="98"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7">
        <w:r>
          <w:rPr>
            <w:rStyle w:val="Hyperlink"/>
          </w:rPr>
          <w:t xml:space="preserve">https://www.jstor.org/stable/27896212</w:t>
        </w:r>
      </w:hyperlink>
      <w:r>
        <w:t xml:space="preserve">.</w:t>
      </w:r>
    </w:p>
    <w:bookmarkEnd w:id="98"/>
    <w:bookmarkStart w:id="99"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9"/>
    <w:bookmarkStart w:id="101"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100">
        <w:r>
          <w:rPr>
            <w:rStyle w:val="Hyperlink"/>
          </w:rPr>
          <w:t xml:space="preserve">https://doi.org/10.2307/1936298</w:t>
        </w:r>
      </w:hyperlink>
      <w:r>
        <w:t xml:space="preserve">.</w:t>
      </w:r>
    </w:p>
    <w:bookmarkEnd w:id="101"/>
    <w:bookmarkStart w:id="103"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102">
        <w:r>
          <w:rPr>
            <w:rStyle w:val="Hyperlink"/>
          </w:rPr>
          <w:t xml:space="preserve">https://doi.org/10.1111/brv.12433</w:t>
        </w:r>
      </w:hyperlink>
      <w:r>
        <w:t xml:space="preserve">.</w:t>
      </w:r>
    </w:p>
    <w:bookmarkEnd w:id="103"/>
    <w:bookmarkStart w:id="105"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4">
        <w:r>
          <w:rPr>
            <w:rStyle w:val="Hyperlink"/>
          </w:rPr>
          <w:t xml:space="preserve">https://doi.org/10.7717/peerj.3644</w:t>
        </w:r>
      </w:hyperlink>
      <w:r>
        <w:t xml:space="preserve">.</w:t>
      </w:r>
    </w:p>
    <w:bookmarkEnd w:id="105"/>
    <w:bookmarkStart w:id="106"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6"/>
    <w:bookmarkStart w:id="108"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7">
        <w:r>
          <w:rPr>
            <w:rStyle w:val="Hyperlink"/>
          </w:rPr>
          <w:t xml:space="preserve">https://doi.org/10.1371/journal.pbio.0060102</w:t>
        </w:r>
      </w:hyperlink>
      <w:r>
        <w:t xml:space="preserve">.</w:t>
      </w:r>
    </w:p>
    <w:bookmarkEnd w:id="108"/>
    <w:bookmarkStart w:id="110"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9">
        <w:r>
          <w:rPr>
            <w:rStyle w:val="Hyperlink"/>
          </w:rPr>
          <w:t xml:space="preserve">https://doi.org/10.1111/2041-210X.12062</w:t>
        </w:r>
      </w:hyperlink>
      <w:r>
        <w:t xml:space="preserve">.</w:t>
      </w:r>
    </w:p>
    <w:bookmarkEnd w:id="110"/>
    <w:bookmarkStart w:id="112"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1">
        <w:r>
          <w:rPr>
            <w:rStyle w:val="Hyperlink"/>
          </w:rPr>
          <w:t xml:space="preserve">https://doi.org/10.1111/j.1461-0248.2005.00868.x</w:t>
        </w:r>
      </w:hyperlink>
      <w:r>
        <w:t xml:space="preserve">.</w:t>
      </w:r>
    </w:p>
    <w:bookmarkEnd w:id="112"/>
    <w:bookmarkStart w:id="114"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3">
        <w:r>
          <w:rPr>
            <w:rStyle w:val="Hyperlink"/>
          </w:rPr>
          <w:t xml:space="preserve">https://doi.org/10.1111/2041-210X.12103</w:t>
        </w:r>
      </w:hyperlink>
      <w:r>
        <w:t xml:space="preserve">.</w:t>
      </w:r>
    </w:p>
    <w:bookmarkEnd w:id="114"/>
    <w:bookmarkStart w:id="116"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5">
        <w:r>
          <w:rPr>
            <w:rStyle w:val="Hyperlink"/>
          </w:rPr>
          <w:t xml:space="preserve">https://doi.org/10.1016/j.fooweb.2015.09.001</w:t>
        </w:r>
      </w:hyperlink>
      <w:r>
        <w:t xml:space="preserve">.</w:t>
      </w:r>
    </w:p>
    <w:bookmarkEnd w:id="116"/>
    <w:bookmarkStart w:id="118"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7">
        <w:r>
          <w:rPr>
            <w:rStyle w:val="Hyperlink"/>
          </w:rPr>
          <w:t xml:space="preserve">https://doi.org/10.1371/journal.pbio.1002559</w:t>
        </w:r>
      </w:hyperlink>
      <w:r>
        <w:t xml:space="preserve">.</w:t>
      </w:r>
    </w:p>
    <w:bookmarkEnd w:id="118"/>
    <w:bookmarkStart w:id="120"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9">
        <w:r>
          <w:rPr>
            <w:rStyle w:val="Hyperlink"/>
          </w:rPr>
          <w:t xml:space="preserve">https://doi.org/10.1111/1365-2435.12763</w:t>
        </w:r>
      </w:hyperlink>
      <w:r>
        <w:t xml:space="preserve">.</w:t>
      </w:r>
    </w:p>
    <w:bookmarkEnd w:id="120"/>
    <w:bookmarkStart w:id="12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1">
        <w:r>
          <w:rPr>
            <w:rStyle w:val="Hyperlink"/>
          </w:rPr>
          <w:t xml:space="preserve">https://doi.org/10.1111/ecog.06619</w:t>
        </w:r>
      </w:hyperlink>
      <w:r>
        <w:t xml:space="preserve">.</w:t>
      </w:r>
    </w:p>
    <w:bookmarkEnd w:id="122"/>
    <w:bookmarkStart w:id="12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3">
        <w:r>
          <w:rPr>
            <w:rStyle w:val="Hyperlink"/>
          </w:rPr>
          <w:t xml:space="preserve">https://doi.org/10.1111/geb.13138</w:t>
        </w:r>
      </w:hyperlink>
      <w:r>
        <w:t xml:space="preserve">.</w:t>
      </w:r>
    </w:p>
    <w:bookmarkEnd w:id="124"/>
    <w:bookmarkStart w:id="126"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5">
        <w:r>
          <w:rPr>
            <w:rStyle w:val="Hyperlink"/>
          </w:rPr>
          <w:t xml:space="preserve">https://doi.org/10.1016/j.tree.2015.03.014</w:t>
        </w:r>
      </w:hyperlink>
      <w:r>
        <w:t xml:space="preserve">.</w:t>
      </w:r>
    </w:p>
    <w:bookmarkEnd w:id="126"/>
    <w:bookmarkStart w:id="127"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7"/>
    <w:bookmarkStart w:id="12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8">
        <w:r>
          <w:rPr>
            <w:rStyle w:val="Hyperlink"/>
          </w:rPr>
          <w:t xml:space="preserve">https://doi.org/10.1111/ele.13143</w:t>
        </w:r>
      </w:hyperlink>
      <w:r>
        <w:t xml:space="preserve">.</w:t>
      </w:r>
    </w:p>
    <w:bookmarkEnd w:id="129"/>
    <w:bookmarkStart w:id="13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30">
        <w:r>
          <w:rPr>
            <w:rStyle w:val="Hyperlink"/>
          </w:rPr>
          <w:t xml:space="preserve">https://doi.org/10.1073/pnas.0710672105</w:t>
        </w:r>
      </w:hyperlink>
      <w:r>
        <w:t xml:space="preserve">.</w:t>
      </w:r>
    </w:p>
    <w:bookmarkEnd w:id="131"/>
    <w:bookmarkStart w:id="13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2">
        <w:r>
          <w:rPr>
            <w:rStyle w:val="Hyperlink"/>
          </w:rPr>
          <w:t xml:space="preserve">https://doi.org/10.1016/j.jtbi.2011.03.019</w:t>
        </w:r>
      </w:hyperlink>
      <w:r>
        <w:t xml:space="preserve">.</w:t>
      </w:r>
    </w:p>
    <w:bookmarkEnd w:id="133"/>
    <w:bookmarkStart w:id="13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4">
        <w:r>
          <w:rPr>
            <w:rStyle w:val="Hyperlink"/>
          </w:rPr>
          <w:t xml:space="preserve">https://doi.org/10.1111/2041-210X.13329</w:t>
        </w:r>
      </w:hyperlink>
      <w:r>
        <w:t xml:space="preserve">.</w:t>
      </w:r>
    </w:p>
    <w:bookmarkEnd w:id="135"/>
    <w:bookmarkStart w:id="13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6">
        <w:r>
          <w:rPr>
            <w:rStyle w:val="Hyperlink"/>
          </w:rPr>
          <w:t xml:space="preserve">https://doi.org/10.1016/j.ecoinf.2014.08.005</w:t>
        </w:r>
      </w:hyperlink>
      <w:r>
        <w:t xml:space="preserve">.</w:t>
      </w:r>
    </w:p>
    <w:bookmarkEnd w:id="137"/>
    <w:bookmarkStart w:id="13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8">
        <w:r>
          <w:rPr>
            <w:rStyle w:val="Hyperlink"/>
          </w:rPr>
          <w:t xml:space="preserve">https://doi.org/10.1111/2041-210X.14071</w:t>
        </w:r>
      </w:hyperlink>
      <w:r>
        <w:t xml:space="preserve">.</w:t>
      </w:r>
    </w:p>
    <w:bookmarkEnd w:id="139"/>
    <w:bookmarkStart w:id="14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40">
        <w:r>
          <w:rPr>
            <w:rStyle w:val="Hyperlink"/>
          </w:rPr>
          <w:t xml:space="preserve">https://doi.org/10.1111/jbi.14127</w:t>
        </w:r>
      </w:hyperlink>
      <w:r>
        <w:t xml:space="preserve">.</w:t>
      </w:r>
    </w:p>
    <w:bookmarkEnd w:id="141"/>
    <w:bookmarkStart w:id="143"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42">
        <w:r>
          <w:rPr>
            <w:rStyle w:val="Hyperlink"/>
          </w:rPr>
          <w:t xml:space="preserve">https://doi.org/10</w:t>
        </w:r>
      </w:hyperlink>
      <w:r>
        <w:t xml:space="preserve">.</w:t>
      </w:r>
    </w:p>
    <w:bookmarkEnd w:id="143"/>
    <w:bookmarkStart w:id="14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4">
        <w:r>
          <w:rPr>
            <w:rStyle w:val="Hyperlink"/>
          </w:rPr>
          <w:t xml:space="preserve">https://doi.org/10.1111/oik.01719</w:t>
        </w:r>
      </w:hyperlink>
      <w:r>
        <w:t xml:space="preserve">.</w:t>
      </w:r>
    </w:p>
    <w:bookmarkEnd w:id="145"/>
    <w:bookmarkStart w:id="14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6">
        <w:r>
          <w:rPr>
            <w:rStyle w:val="Hyperlink"/>
          </w:rPr>
          <w:t xml:space="preserve">https://www.jstor.org/stable/48582345</w:t>
        </w:r>
      </w:hyperlink>
      <w:r>
        <w:t xml:space="preserve">.</w:t>
      </w:r>
    </w:p>
    <w:bookmarkEnd w:id="147"/>
    <w:bookmarkStart w:id="14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8">
        <w:r>
          <w:rPr>
            <w:rStyle w:val="Hyperlink"/>
          </w:rPr>
          <w:t xml:space="preserve">https://doi.org/10.1111/2041-210X.13125</w:t>
        </w:r>
      </w:hyperlink>
      <w:r>
        <w:t xml:space="preserve">.</w:t>
      </w:r>
    </w:p>
    <w:bookmarkEnd w:id="149"/>
    <w:bookmarkStart w:id="15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0">
        <w:r>
          <w:rPr>
            <w:rStyle w:val="Hyperlink"/>
          </w:rPr>
          <w:t xml:space="preserve">https://doi.org/10.1515/9780691195322-020</w:t>
        </w:r>
      </w:hyperlink>
      <w:r>
        <w:t xml:space="preserve">.</w:t>
      </w:r>
    </w:p>
    <w:bookmarkEnd w:id="151"/>
    <w:bookmarkStart w:id="15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52">
        <w:r>
          <w:rPr>
            <w:rStyle w:val="Hyperlink"/>
          </w:rPr>
          <w:t xml:space="preserve">https://doi.org/10.1146/annurev-ecolsys-110218-024908</w:t>
        </w:r>
      </w:hyperlink>
      <w:r>
        <w:t xml:space="preserve">.</w:t>
      </w:r>
    </w:p>
    <w:bookmarkEnd w:id="153"/>
    <w:bookmarkStart w:id="15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4">
        <w:r>
          <w:rPr>
            <w:rStyle w:val="Hyperlink"/>
          </w:rPr>
          <w:t xml:space="preserve">https://doi.org/10.1016/j.tree.2005.04.004</w:t>
        </w:r>
      </w:hyperlink>
      <w:r>
        <w:t xml:space="preserve">.</w:t>
      </w:r>
    </w:p>
    <w:bookmarkEnd w:id="155"/>
    <w:bookmarkStart w:id="15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6">
        <w:r>
          <w:rPr>
            <w:rStyle w:val="Hyperlink"/>
          </w:rPr>
          <w:t xml:space="preserve">https://doi.org/10.1086/653667</w:t>
        </w:r>
      </w:hyperlink>
      <w:r>
        <w:t xml:space="preserve">.</w:t>
      </w:r>
    </w:p>
    <w:bookmarkEnd w:id="157"/>
    <w:bookmarkStart w:id="15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8">
        <w:r>
          <w:rPr>
            <w:rStyle w:val="Hyperlink"/>
          </w:rPr>
          <w:t xml:space="preserve">https://doi.org/10.1101/2024.01.30.578036</w:t>
        </w:r>
      </w:hyperlink>
      <w:r>
        <w:t xml:space="preserve">.</w:t>
      </w:r>
    </w:p>
    <w:bookmarkEnd w:id="159"/>
    <w:bookmarkStart w:id="16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60">
        <w:r>
          <w:rPr>
            <w:rStyle w:val="Hyperlink"/>
          </w:rPr>
          <w:t xml:space="preserve">https://doi.org/10.1098/rspb.2007.0571</w:t>
        </w:r>
      </w:hyperlink>
      <w:r>
        <w:t xml:space="preserve">.</w:t>
      </w:r>
    </w:p>
    <w:bookmarkEnd w:id="161"/>
    <w:bookmarkStart w:id="16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62">
        <w:r>
          <w:rPr>
            <w:rStyle w:val="Hyperlink"/>
          </w:rPr>
          <w:t xml:space="preserve">https://doi.org/10.1111/2041-210X.13835</w:t>
        </w:r>
      </w:hyperlink>
      <w:r>
        <w:t xml:space="preserve">.</w:t>
      </w:r>
    </w:p>
    <w:bookmarkEnd w:id="163"/>
    <w:bookmarkStart w:id="16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4">
        <w:r>
          <w:rPr>
            <w:rStyle w:val="Hyperlink"/>
          </w:rPr>
          <w:t xml:space="preserve">https://doi.org/10.1111/2041-210X.14228</w:t>
        </w:r>
      </w:hyperlink>
      <w:r>
        <w:t xml:space="preserve">.</w:t>
      </w:r>
    </w:p>
    <w:bookmarkEnd w:id="165"/>
    <w:bookmarkStart w:id="16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6">
        <w:r>
          <w:rPr>
            <w:rStyle w:val="Hyperlink"/>
          </w:rPr>
          <w:t xml:space="preserve">https://doi.org/10.1098/rstb.2021.0063</w:t>
        </w:r>
      </w:hyperlink>
      <w:r>
        <w:t xml:space="preserve">.</w:t>
      </w:r>
    </w:p>
    <w:bookmarkEnd w:id="167"/>
    <w:bookmarkStart w:id="169"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68">
        <w:r>
          <w:rPr>
            <w:rStyle w:val="Hyperlink"/>
          </w:rPr>
          <w:t xml:space="preserve">https://doi.org/10.1007/978-94-011-0908-6_1</w:t>
        </w:r>
      </w:hyperlink>
      <w:r>
        <w:t xml:space="preserve">.</w:t>
      </w:r>
    </w:p>
    <w:bookmarkEnd w:id="169"/>
    <w:bookmarkStart w:id="171"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70">
        <w:r>
          <w:rPr>
            <w:rStyle w:val="Hyperlink"/>
          </w:rPr>
          <w:t xml:space="preserve">https://doi.org/10.1111/jbi.14734</w:t>
        </w:r>
      </w:hyperlink>
      <w:r>
        <w:t xml:space="preserve">.</w:t>
      </w:r>
    </w:p>
    <w:bookmarkEnd w:id="171"/>
    <w:bookmarkStart w:id="17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2">
        <w:r>
          <w:rPr>
            <w:rStyle w:val="Hyperlink"/>
          </w:rPr>
          <w:t xml:space="preserve">https://www.ncbi.nlm.nih.gov/pubmed/19294932</w:t>
        </w:r>
      </w:hyperlink>
      <w:r>
        <w:t xml:space="preserve">.</w:t>
      </w:r>
    </w:p>
    <w:bookmarkEnd w:id="173"/>
    <w:bookmarkStart w:id="175"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4">
        <w:r>
          <w:rPr>
            <w:rStyle w:val="Hyperlink"/>
          </w:rPr>
          <w:t xml:space="preserve">https://doi.org/10.1038/35004572</w:t>
        </w:r>
      </w:hyperlink>
      <w:r>
        <w:t xml:space="preserve">.</w:t>
      </w:r>
    </w:p>
    <w:bookmarkEnd w:id="175"/>
    <w:bookmarkStart w:id="177"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6">
        <w:r>
          <w:rPr>
            <w:rStyle w:val="Hyperlink"/>
          </w:rPr>
          <w:t xml:space="preserve">https://doi.org/10.1111/j.1365-2656.2008.01362.x</w:t>
        </w:r>
      </w:hyperlink>
      <w:r>
        <w:t xml:space="preserve">.</w:t>
      </w:r>
    </w:p>
    <w:bookmarkEnd w:id="177"/>
    <w:bookmarkStart w:id="179"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8">
        <w:r>
          <w:rPr>
            <w:rStyle w:val="Hyperlink"/>
          </w:rPr>
          <w:t xml:space="preserve">https://doi.org/10.1038/s41598-017-05585-6</w:t>
        </w:r>
      </w:hyperlink>
      <w:r>
        <w:t xml:space="preserve">.</w:t>
      </w:r>
    </w:p>
    <w:bookmarkEnd w:id="179"/>
    <w:bookmarkEnd w:id="180"/>
    <w:bookmarkEnd w:id="1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33" Target="media/rId33.png" /><Relationship Type="http://schemas.openxmlformats.org/officeDocument/2006/relationships/image" Id="rId37" Target="media/rId37.jpg" /><Relationship Type="http://schemas.openxmlformats.org/officeDocument/2006/relationships/image" Id="rId56" Target="media/rId56.png" /><Relationship Type="http://schemas.openxmlformats.org/officeDocument/2006/relationships/image" Id="rId29" Target="media/rId29.jp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68"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4"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78"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0"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68"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4"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78"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0"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2024-04-26T13:41:26Z</dcterms:created>
  <dcterms:modified xsi:type="dcterms:W3CDTF">2024-04-26T13:41:26Z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