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2024-02-07</w:t>
      </w:r>
    </w:p>
    <w:p>
      <w:pPr>
        <w:pStyle w:val="AbstractTitle"/>
      </w:pPr>
      <w:r>
        <w:t xml:space="preserve">Abstract</w:t>
      </w:r>
    </w:p>
    <w:p>
      <w:pPr>
        <w:pStyle w:val="Abstract"/>
      </w:pPr>
      <w:r>
        <w:t xml:space="preserve">Pending…</w:t>
      </w:r>
    </w:p>
    <w:bookmarkStart w:id="20"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w:t>
      </w:r>
      <w:r>
        <w:t xml:space="preserve"> </w:t>
      </w:r>
      <w:r>
        <w:t xml:space="preserve">Strydom et al. (2021)</w:t>
      </w:r>
    </w:p>
    <w:p>
      <w:pPr>
        <w:pStyle w:val="BodyText"/>
      </w:pPr>
      <w:r>
        <w:t xml:space="preserve">Maybe a brief history of the development of predictive tools/topo generators? Sort of where the theory/body of work was based and how that has changed? IS there a difference between toppo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 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Start w:id="25" w:name="sec-data-methods"/>
    <w:p>
      <w:pPr>
        <w:pStyle w:val="Heading2"/>
      </w:pPr>
      <w:r>
        <w:t xml:space="preserve">2 Data &amp; Methods</w:t>
      </w:r>
    </w:p>
    <w:bookmarkStart w:id="22" w:name="overview-of-topology-generators"/>
    <w:p>
      <w:pPr>
        <w:pStyle w:val="Heading3"/>
      </w:pPr>
      <w:r>
        <w:t xml:space="preserve">2.1 Overview of topology generators</w:t>
      </w:r>
    </w:p>
    <w:p>
      <w:pPr>
        <w:pStyle w:val="FirstParagraph"/>
      </w:pPr>
      <w:r>
        <w:t xml:space="preserve">I know table are awful but in this case they may make more sense.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1"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433"/>
              <w:gridCol w:w="3469"/>
              <w:gridCol w:w="1508"/>
              <w:gridCol w:w="1508"/>
            </w:tblGrid>
            <w:tr>
              <w:trPr>
                <w:tblHeader w:val="true"/>
              </w:trPr>
              <w:tc>
                <w:tcPr/>
                <w:p>
                  <w:pPr>
                    <w:pStyle w:val="Compact"/>
                    <w:jc w:val="left"/>
                    <w:jc w:val="center"/>
                  </w:pPr>
                  <w:r>
                    <w:t xml:space="preserve">Approach</w:t>
                  </w:r>
                </w:p>
              </w:tc>
              <w:tc>
                <w:tcPr/>
                <w:p>
                  <w:pPr>
                    <w:pStyle w:val="Compact"/>
                    <w:jc w:val="left"/>
                    <w:jc w:val="center"/>
                  </w:pPr>
                  <w:r>
                    <w:t xml:space="preserve">Reference</w:t>
                  </w:r>
                </w:p>
              </w:tc>
              <w:tc>
                <w:tcPr/>
                <w:p>
                  <w:pPr>
                    <w:pStyle w:val="Compact"/>
                    <w:jc w:val="left"/>
                    <w:jc w:val="center"/>
                  </w:pPr>
                  <w:r>
                    <w:t xml:space="preserve">Core Mechanism</w:t>
                  </w:r>
                </w:p>
              </w:tc>
              <w:tc>
                <w:tcPr/>
                <w:p>
                  <w:pPr>
                    <w:pStyle w:val="Compact"/>
                    <w:jc w:val="left"/>
                    <w:jc w:val="center"/>
                  </w:pPr>
                  <w:r>
                    <w:rPr>
                      <w:iCs/>
                      <w:i/>
                    </w:rPr>
                    <w:t xml:space="preserve">e.g.,</w:t>
                  </w:r>
                  <w:r>
                    <w:t xml:space="preserve"> </w:t>
                  </w:r>
                  <w:r>
                    <w:t xml:space="preserve">uses</w:t>
                  </w:r>
                </w:p>
              </w:tc>
            </w:tr>
            <w:tr>
              <w:tc>
                <w:tcPr/>
                <w:p>
                  <w:pPr>
                    <w:pStyle w:val="Compact"/>
                    <w:jc w:val="left"/>
                    <w:jc w:val="center"/>
                  </w:pPr>
                  <w:r>
                    <w:t xml:space="preserve">Cascade model</w:t>
                  </w:r>
                </w:p>
              </w:tc>
              <w:tc>
                <w:tcPr/>
                <w:p>
                  <w:pPr>
                    <w:pStyle w:val="Compact"/>
                    <w:jc w:val="left"/>
                    <w:jc w:val="center"/>
                  </w:pPr>
                  <w:r>
                    <w:t xml:space="preserve">Joel E. Cohen, Briand, and Newman (1990)</w:t>
                  </w:r>
                  <w:r>
                    <w:t xml:space="preserve">;</w:t>
                  </w:r>
                  <w:r>
                    <w:t xml:space="preserve"> </w:t>
                  </w:r>
                  <w:r>
                    <w:t xml:space="preserve">Joel E. Cohen, Newman, and Steele (1997)</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Niche model</w:t>
                  </w:r>
                </w:p>
              </w:tc>
              <w:tc>
                <w:tcPr/>
                <w:p>
                  <w:pPr>
                    <w:pStyle w:val="Compact"/>
                    <w:jc w:val="left"/>
                    <w:jc w:val="center"/>
                  </w:pPr>
                  <w:r>
                    <w:t xml:space="preserve">Williams and Martinez (2000)</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PFIM</w:t>
                  </w:r>
                </w:p>
              </w:tc>
              <w:tc>
                <w:tcPr/>
                <w:p>
                  <w:pPr>
                    <w:pStyle w:val="Compact"/>
                    <w:jc w:val="left"/>
                    <w:jc w:val="center"/>
                  </w:pPr>
                  <w:r>
                    <w:t xml:space="preserve">Shaw et al. (2024)</w:t>
                  </w:r>
                </w:p>
              </w:tc>
              <w:tc>
                <w:tcPr/>
                <w:p>
                  <w:pPr>
                    <w:pStyle w:val="Compact"/>
                    <w:jc w:val="left"/>
                    <w:jc w:val="center"/>
                  </w:pPr>
                  <w:r>
                    <w:t xml:space="preserve">mechanistic</w:t>
                  </w:r>
                </w:p>
              </w:tc>
              <w:tc>
                <w:tcPr/>
                <w:p>
                  <w:pPr>
                    <w:pStyle w:val="Compact"/>
                    <w:jc w:val="left"/>
                    <w:jc w:val="center"/>
                  </w:pPr>
                  <w:r>
                    <w:t xml:space="preserve">Dunhill (in review)</w:t>
                  </w:r>
                </w:p>
              </w:tc>
            </w:tr>
            <w:tr>
              <w:tc>
                <w:tcPr/>
                <w:p>
                  <w:pPr>
                    <w:pStyle w:val="Compact"/>
                    <w:jc w:val="left"/>
                    <w:jc w:val="center"/>
                  </w:pPr>
                  <w:r>
                    <w:t xml:space="preserve">Log-ratio</w:t>
                  </w:r>
                </w:p>
              </w:tc>
              <w:tc>
                <w:tcPr/>
                <w:p>
                  <w:pPr>
                    <w:pStyle w:val="Compact"/>
                    <w:jc w:val="left"/>
                    <w:jc w:val="center"/>
                  </w:pPr>
                  <w:r>
                    <w:t xml:space="preserve">Rohr et al. (2010)</w:t>
                  </w:r>
                </w:p>
              </w:tc>
              <w:tc>
                <w:tcPr/>
                <w:p>
                  <w:pPr>
                    <w:pStyle w:val="Compact"/>
                    <w:jc w:val="left"/>
                    <w:jc w:val="center"/>
                  </w:pPr>
                  <w:r>
                    <w:t xml:space="preserve">latent trait space</w:t>
                  </w:r>
                </w:p>
              </w:tc>
              <w:tc>
                <w:tcPr/>
                <w:p>
                  <w:pPr>
                    <w:pStyle w:val="Compact"/>
                    <w:jc w:val="left"/>
                    <w:jc w:val="center"/>
                  </w:pPr>
                  <w:r>
                    <w:t xml:space="preserve">Yeakel et al. (2014)</w:t>
                  </w:r>
                  <w:r>
                    <w:t xml:space="preserve">,</w:t>
                  </w:r>
                  <w:r>
                    <w:t xml:space="preserve"> </w:t>
                  </w:r>
                  <w:r>
                    <w:t xml:space="preserve">Pires et al. (2020)</w:t>
                  </w:r>
                  <w:r>
                    <w:t xml:space="preserve"> </w:t>
                  </w:r>
                  <w:r>
                    <w:t xml:space="preserve">(?)</w:t>
                  </w:r>
                </w:p>
              </w:tc>
            </w:tr>
            <w:tr>
              <w:tc>
                <w:tcPr/>
                <w:p>
                  <w:pPr>
                    <w:pStyle w:val="Compact"/>
                    <w:jc w:val="left"/>
                    <w:jc w:val="center"/>
                  </w:pPr>
                  <w:r>
                    <w:t xml:space="preserve">Nested hierarchy</w:t>
                  </w:r>
                </w:p>
              </w:tc>
              <w:tc>
                <w:tcPr/>
                <w:p>
                  <w:pPr>
                    <w:pStyle w:val="Compact"/>
                    <w:jc w:val="left"/>
                    <w:jc w:val="center"/>
                  </w:pPr>
                  <w:r>
                    <w:t xml:space="preserve">Cattin et al. (2004)</w:t>
                  </w:r>
                </w:p>
              </w:tc>
              <w:tc>
                <w:tcPr/>
                <w:p>
                  <w:pPr>
                    <w:pStyle w:val="Compact"/>
                  </w:pPr>
                </w:p>
              </w:tc>
              <w:tc>
                <w:tcPr/>
                <w:p>
                  <w:pPr>
                    <w:pStyle w:val="Compact"/>
                  </w:pPr>
                </w:p>
              </w:tc>
            </w:tr>
            <w:tr>
              <w:tc>
                <w:tcPr/>
                <w:p>
                  <w:pPr>
                    <w:pStyle w:val="Compact"/>
                    <w:jc w:val="left"/>
                    <w:jc w:val="center"/>
                  </w:pPr>
                  <w:r>
                    <w:t xml:space="preserve">ADBM</w:t>
                  </w:r>
                </w:p>
              </w:tc>
              <w:tc>
                <w:tcPr/>
                <w:p>
                  <w:pPr>
                    <w:pStyle w:val="Compact"/>
                    <w:jc w:val="left"/>
                    <w:jc w:val="center"/>
                  </w:pPr>
                  <w:r>
                    <w:t xml:space="preserve">Petchey et al. (2008)</w:t>
                  </w:r>
                </w:p>
              </w:tc>
              <w:tc>
                <w:tcPr/>
                <w:p>
                  <w:pPr>
                    <w:pStyle w:val="Compact"/>
                    <w:jc w:val="left"/>
                    <w:jc w:val="center"/>
                  </w:pPr>
                  <w:r>
                    <w:t xml:space="preserve">mechanistic</w:t>
                  </w:r>
                </w:p>
              </w:tc>
              <w:tc>
                <w:tcPr/>
                <w:p>
                  <w:pPr>
                    <w:pStyle w:val="Compact"/>
                    <w:jc w:val="left"/>
                    <w:jc w:val="center"/>
                  </w:pPr>
                  <w:r>
                    <w:t xml:space="preserve">probably multiple</w:t>
                  </w:r>
                </w:p>
              </w:tc>
            </w:tr>
            <w:tr>
              <w:tc>
                <w:tcPr/>
                <w:p>
                  <w:pPr>
                    <w:pStyle w:val="Compact"/>
                    <w:jc w:val="left"/>
                    <w:jc w:val="center"/>
                  </w:pPr>
                  <w:r>
                    <w:t xml:space="preserve">Stochastic</w:t>
                  </w:r>
                </w:p>
              </w:tc>
              <w:tc>
                <w:tcPr/>
                <w:p>
                  <w:pPr>
                    <w:pStyle w:val="Compact"/>
                    <w:jc w:val="left"/>
                    <w:jc w:val="center"/>
                  </w:pPr>
                  <w:r>
                    <w:t xml:space="preserve">Rossberg et al. (2006)</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Strydom et al. (2023)</w:t>
                  </w:r>
                </w:p>
              </w:tc>
              <w:tc>
                <w:tcPr/>
                <w:p>
                  <w:pPr>
                    <w:pStyle w:val="Compact"/>
                    <w:jc w:val="left"/>
                    <w:jc w:val="center"/>
                  </w:pPr>
                  <w:r>
                    <w:t xml:space="preserve">latent trait space</w:t>
                  </w:r>
                </w:p>
              </w:tc>
              <w:tc>
                <w:tcPr/>
                <w:p>
                  <w:pPr>
                    <w:pStyle w:val="Compact"/>
                    <w:jc w:val="left"/>
                    <w:jc w:val="center"/>
                  </w:pPr>
                  <w:r>
                    <w:t xml:space="preserve">Strydom et al. (2022)</w:t>
                  </w:r>
                </w:p>
              </w:tc>
            </w:tr>
            <w:tr>
              <w:tc>
                <w:tcPr/>
                <w:p>
                  <w:pPr>
                    <w:pStyle w:val="Compact"/>
                    <w:jc w:val="left"/>
                    <w:jc w:val="center"/>
                  </w:pPr>
                  <w:r>
                    <w:t xml:space="preserve">Trait-based</w:t>
                  </w:r>
                </w:p>
              </w:tc>
              <w:tc>
                <w:tcPr/>
                <w:p>
                  <w:pPr>
                    <w:pStyle w:val="Compact"/>
                    <w:jc w:val="left"/>
                    <w:jc w:val="center"/>
                  </w:pPr>
                  <w:r>
                    <w:t xml:space="preserve">Caron et al. (2022)</w:t>
                  </w:r>
                </w:p>
              </w:tc>
              <w:tc>
                <w:tcPr/>
                <w:p>
                  <w:pPr>
                    <w:pStyle w:val="Compact"/>
                    <w:jc w:val="left"/>
                    <w:jc w:val="center"/>
                  </w:pPr>
                  <w:r>
                    <w:t xml:space="preserve">mechanistic</w:t>
                  </w:r>
                </w:p>
              </w:tc>
              <w:tc>
                <w:tcPr/>
                <w:p>
                  <w:pPr>
                    <w:pStyle w:val="Compact"/>
                    <w:jc w:val="left"/>
                    <w:jc w:val="center"/>
                  </w:pPr>
                  <w:r>
                    <w:t xml:space="preserve">Caron et al. (2023)</w:t>
                  </w:r>
                </w:p>
              </w:tc>
            </w:tr>
          </w:tbl>
          <w:bookmarkEnd w:id="21"/>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2"/>
    <w:bookmarkStart w:id="23"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bookmarkEnd w:id="23"/>
    <w:bookmarkStart w:id="24" w:name="comparing-different-models"/>
    <w:p>
      <w:pPr>
        <w:pStyle w:val="Heading3"/>
      </w:pPr>
      <w:r>
        <w:t xml:space="preserve">2.3 Comparing different models</w:t>
      </w:r>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ESpeciesInteractionNetworks.jl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Create networks for the different datasets/scenarios we select - I feel like there might be some scenarios that we can’t do all models for all datasets but maybe I’m being a pessimist.</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24"/>
    <w:bookmarkEnd w:id="25"/>
    <w:bookmarkStart w:id="26"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3"/>
        </w:numPr>
        <w:pStyle w:val="Compact"/>
      </w:pPr>
      <w:r>
        <w:t xml:space="preserve">Structural vs pairwise link predictions (graph vs node level)</w:t>
      </w:r>
    </w:p>
    <w:p>
      <w:pPr>
        <w:numPr>
          <w:ilvl w:val="1"/>
          <w:numId w:val="1004"/>
        </w:numPr>
        <w:pStyle w:val="Compact"/>
      </w:pPr>
      <w:r>
        <w:t xml:space="preserve">% of links correctly retrieved</w:t>
      </w:r>
    </w:p>
    <w:p>
      <w:pPr>
        <w:numPr>
          <w:ilvl w:val="1"/>
          <w:numId w:val="1004"/>
        </w:numPr>
        <w:pStyle w:val="Compact"/>
      </w:pPr>
      <w:r>
        <w:t xml:space="preserve">connectance</w:t>
      </w:r>
    </w:p>
    <w:p>
      <w:pPr>
        <w:numPr>
          <w:ilvl w:val="1"/>
          <w:numId w:val="1004"/>
        </w:numPr>
        <w:pStyle w:val="Compact"/>
      </w:pPr>
      <w:r>
        <w:t xml:space="preserve">trophic level</w:t>
      </w:r>
    </w:p>
    <w:p>
      <w:pPr>
        <w:numPr>
          <w:ilvl w:val="1"/>
          <w:numId w:val="1004"/>
        </w:numPr>
        <w:pStyle w:val="Compact"/>
      </w:pPr>
      <w:r>
        <w:t xml:space="preserve">generalism vs specialism</w:t>
      </w:r>
    </w:p>
    <w:p>
      <w:pPr>
        <w:numPr>
          <w:ilvl w:val="1"/>
          <w:numId w:val="1004"/>
        </w:numPr>
        <w:pStyle w:val="Compact"/>
      </w:pPr>
      <w:r>
        <w:t xml:space="preserve">something related to false positives/negatives</w:t>
      </w:r>
    </w:p>
    <w:p>
      <w:pPr>
        <w:numPr>
          <w:ilvl w:val="1"/>
          <w:numId w:val="1004"/>
        </w:numPr>
        <w:pStyle w:val="Compact"/>
      </w:pPr>
      <w:r>
        <w:t xml:space="preserve">intervality</w:t>
      </w:r>
    </w:p>
    <w:p>
      <w:pPr>
        <w:numPr>
          <w:ilvl w:val="0"/>
          <w:numId w:val="1003"/>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3"/>
        </w:numPr>
        <w:pStyle w:val="Compact"/>
      </w:pPr>
      <w:r>
        <w:t xml:space="preserve">I think it would be remiss to not also take into consideration computational cost</w:t>
      </w:r>
    </w:p>
    <w:p>
      <w:pPr>
        <w:numPr>
          <w:ilvl w:val="0"/>
          <w:numId w:val="1003"/>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End w:id="26"/>
    <w:bookmarkStart w:id="27"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w:t>
      </w:r>
    </w:p>
    <w:p>
      <w:pPr>
        <w:pStyle w:val="BodyText"/>
      </w:pPr>
      <w:r>
        <w:t xml:space="preserve">I probably think about this point too much but a point of discussion that I think will be interesting to bring up the idea that if a model is missing a specific pairwise link but doing well at the structural level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using one model to build an initial network but maybe a second one to constrain it a bit better. I blame this thought on the over-connected PFIM food webs…</w:t>
      </w:r>
    </w:p>
    <w:bookmarkEnd w:id="27"/>
    <w:bookmarkStart w:id="70"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69" w:name="refs"/>
    <w:bookmarkStart w:id="3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29">
        <w:r>
          <w:rPr>
            <w:rStyle w:val="Hyperlink"/>
          </w:rPr>
          <w:t xml:space="preserve">https://doi.org/10.32942/X29K55</w:t>
        </w:r>
      </w:hyperlink>
      <w:r>
        <w:t xml:space="preserve">.</w:t>
      </w:r>
    </w:p>
    <w:bookmarkEnd w:id="30"/>
    <w:bookmarkStart w:id="3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31">
        <w:r>
          <w:rPr>
            <w:rStyle w:val="Hyperlink"/>
          </w:rPr>
          <w:t xml:space="preserve">https://doi.org/10.1111/ele.13966</w:t>
        </w:r>
      </w:hyperlink>
      <w:r>
        <w:t xml:space="preserve">.</w:t>
      </w:r>
    </w:p>
    <w:bookmarkEnd w:id="32"/>
    <w:bookmarkStart w:id="3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33">
        <w:r>
          <w:rPr>
            <w:rStyle w:val="Hyperlink"/>
          </w:rPr>
          <w:t xml:space="preserve">https://doi.org/10.1038/nature02327</w:t>
        </w:r>
      </w:hyperlink>
      <w:r>
        <w:t xml:space="preserve">.</w:t>
      </w:r>
    </w:p>
    <w:bookmarkEnd w:id="34"/>
    <w:bookmarkStart w:id="3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35"/>
    <w:bookmarkStart w:id="37" w:name="ref-cohenStochasticTheoryCommunity1997"/>
    <w:p>
      <w:pPr>
        <w:pStyle w:val="Bibliography"/>
      </w:pPr>
      <w:r>
        <w:t xml:space="preserve">Cohen, Joel E., C. M. Newman, and John Hyslop Steele. 1997.</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36">
        <w:r>
          <w:rPr>
            <w:rStyle w:val="Hyperlink"/>
          </w:rPr>
          <w:t xml:space="preserve">https://doi.org/10.1098/rspb.1985.0042</w:t>
        </w:r>
      </w:hyperlink>
      <w:r>
        <w:t xml:space="preserve">.</w:t>
      </w:r>
    </w:p>
    <w:bookmarkEnd w:id="37"/>
    <w:bookmarkStart w:id="3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38"/>
    <w:bookmarkStart w:id="4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39">
        <w:r>
          <w:rPr>
            <w:rStyle w:val="Hyperlink"/>
          </w:rPr>
          <w:t xml:space="preserve">https://doi.org/10.1371/journal.pbio.0060102</w:t>
        </w:r>
      </w:hyperlink>
      <w:r>
        <w:t xml:space="preserve">.</w:t>
      </w:r>
    </w:p>
    <w:bookmarkEnd w:id="40"/>
    <w:bookmarkStart w:id="4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41">
        <w:r>
          <w:rPr>
            <w:rStyle w:val="Hyperlink"/>
          </w:rPr>
          <w:t xml:space="preserve">https://doi.org/10.1371/journal.pbio.1002559</w:t>
        </w:r>
      </w:hyperlink>
      <w:r>
        <w:t xml:space="preserve">.</w:t>
      </w:r>
    </w:p>
    <w:bookmarkEnd w:id="42"/>
    <w:bookmarkStart w:id="44"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43">
        <w:r>
          <w:rPr>
            <w:rStyle w:val="Hyperlink"/>
          </w:rPr>
          <w:t xml:space="preserve">https://doi.org/10.1111/1365-2435.12763</w:t>
        </w:r>
      </w:hyperlink>
      <w:r>
        <w:t xml:space="preserve">.</w:t>
      </w:r>
    </w:p>
    <w:bookmarkEnd w:id="44"/>
    <w:bookmarkStart w:id="46"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45">
        <w:r>
          <w:rPr>
            <w:rStyle w:val="Hyperlink"/>
          </w:rPr>
          <w:t xml:space="preserve">https://doi.org/10.1073/pnas.0710672105</w:t>
        </w:r>
      </w:hyperlink>
      <w:r>
        <w:t xml:space="preserve">.</w:t>
      </w:r>
    </w:p>
    <w:bookmarkEnd w:id="46"/>
    <w:bookmarkStart w:id="48"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47">
        <w:r>
          <w:rPr>
            <w:rStyle w:val="Hyperlink"/>
          </w:rPr>
          <w:t xml:space="preserve">https://doi.org/10.1016/j.quascirev.2020.106696</w:t>
        </w:r>
      </w:hyperlink>
      <w:r>
        <w:t xml:space="preserve">.</w:t>
      </w:r>
    </w:p>
    <w:bookmarkEnd w:id="48"/>
    <w:bookmarkStart w:id="50"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49">
        <w:r>
          <w:rPr>
            <w:rStyle w:val="Hyperlink"/>
          </w:rPr>
          <w:t xml:space="preserve">https://doi.org/10.1111/jbi.14127</w:t>
        </w:r>
      </w:hyperlink>
      <w:r>
        <w:t xml:space="preserve">.</w:t>
      </w:r>
    </w:p>
    <w:bookmarkEnd w:id="50"/>
    <w:bookmarkStart w:id="52"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51">
        <w:r>
          <w:rPr>
            <w:rStyle w:val="Hyperlink"/>
          </w:rPr>
          <w:t xml:space="preserve">https://doi.org/10.1111/oik.01719</w:t>
        </w:r>
      </w:hyperlink>
      <w:r>
        <w:t xml:space="preserve">.</w:t>
      </w:r>
    </w:p>
    <w:bookmarkEnd w:id="52"/>
    <w:bookmarkStart w:id="54"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53">
        <w:r>
          <w:rPr>
            <w:rStyle w:val="Hyperlink"/>
          </w:rPr>
          <w:t xml:space="preserve">https://doi.org/10.1086/653667</w:t>
        </w:r>
      </w:hyperlink>
      <w:r>
        <w:t xml:space="preserve">.</w:t>
      </w:r>
    </w:p>
    <w:bookmarkEnd w:id="54"/>
    <w:bookmarkStart w:id="56"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55">
        <w:r>
          <w:rPr>
            <w:rStyle w:val="Hyperlink"/>
          </w:rPr>
          <w:t xml:space="preserve">https://doi.org/10.1016/j.jtbi.2005.12.021</w:t>
        </w:r>
      </w:hyperlink>
      <w:r>
        <w:t xml:space="preserve">.</w:t>
      </w:r>
    </w:p>
    <w:bookmarkEnd w:id="56"/>
    <w:bookmarkStart w:id="58"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57">
        <w:r>
          <w:rPr>
            <w:rStyle w:val="Hyperlink"/>
          </w:rPr>
          <w:t xml:space="preserve">https://doi.org/10.1101/2024.01.30.578036</w:t>
        </w:r>
      </w:hyperlink>
      <w:r>
        <w:t xml:space="preserve">.</w:t>
      </w:r>
    </w:p>
    <w:bookmarkEnd w:id="58"/>
    <w:bookmarkStart w:id="6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59">
        <w:r>
          <w:rPr>
            <w:rStyle w:val="Hyperlink"/>
          </w:rPr>
          <w:t xml:space="preserve">https://doi.org/10.1111/2041-210X.13835</w:t>
        </w:r>
      </w:hyperlink>
      <w:r>
        <w:t xml:space="preserve">.</w:t>
      </w:r>
    </w:p>
    <w:bookmarkEnd w:id="60"/>
    <w:bookmarkStart w:id="62"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61">
        <w:r>
          <w:rPr>
            <w:rStyle w:val="Hyperlink"/>
          </w:rPr>
          <w:t xml:space="preserve">https://doi.org/10.1111/2041-210X.14228</w:t>
        </w:r>
      </w:hyperlink>
      <w:r>
        <w:t xml:space="preserve">.</w:t>
      </w:r>
    </w:p>
    <w:bookmarkEnd w:id="62"/>
    <w:bookmarkStart w:id="64"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63">
        <w:r>
          <w:rPr>
            <w:rStyle w:val="Hyperlink"/>
          </w:rPr>
          <w:t xml:space="preserve">https://doi.org/10.1098/rstb.2021.0063</w:t>
        </w:r>
      </w:hyperlink>
      <w:r>
        <w:t xml:space="preserve">.</w:t>
      </w:r>
    </w:p>
    <w:bookmarkEnd w:id="64"/>
    <w:bookmarkStart w:id="6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65">
        <w:r>
          <w:rPr>
            <w:rStyle w:val="Hyperlink"/>
          </w:rPr>
          <w:t xml:space="preserve">https://doi.org/10.1038/35004572</w:t>
        </w:r>
      </w:hyperlink>
      <w:r>
        <w:t xml:space="preserve">.</w:t>
      </w:r>
    </w:p>
    <w:bookmarkEnd w:id="66"/>
    <w:bookmarkStart w:id="68"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67">
        <w:r>
          <w:rPr>
            <w:rStyle w:val="Hyperlink"/>
          </w:rPr>
          <w:t xml:space="preserve">https://doi.org/10.1073/pnas.1408471111</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BecksLab.github.io/ms_t_is_for_topology/index.qmd.html" TargetMode="External" /><Relationship Type="http://schemas.openxmlformats.org/officeDocument/2006/relationships/hyperlink" Id="rId55" Target="https://doi.org/10.1016/j.jtbi.2005.12.021" TargetMode="External" /><Relationship Type="http://schemas.openxmlformats.org/officeDocument/2006/relationships/hyperlink" Id="rId47" Target="https://doi.org/10.1016/j.quascirev.2020.106696" TargetMode="External" /><Relationship Type="http://schemas.openxmlformats.org/officeDocument/2006/relationships/hyperlink" Id="rId65" Target="https://doi.org/10.1038/35004572" TargetMode="External" /><Relationship Type="http://schemas.openxmlformats.org/officeDocument/2006/relationships/hyperlink" Id="rId33" Target="https://doi.org/10.1038/nature02327" TargetMode="External" /><Relationship Type="http://schemas.openxmlformats.org/officeDocument/2006/relationships/hyperlink" Id="rId45" Target="https://doi.org/10.1073/pnas.0710672105" TargetMode="External" /><Relationship Type="http://schemas.openxmlformats.org/officeDocument/2006/relationships/hyperlink" Id="rId67" Target="https://doi.org/10.1073/pnas.1408471111" TargetMode="External" /><Relationship Type="http://schemas.openxmlformats.org/officeDocument/2006/relationships/hyperlink" Id="rId53" Target="https://doi.org/10.1086/653667" TargetMode="External" /><Relationship Type="http://schemas.openxmlformats.org/officeDocument/2006/relationships/hyperlink" Id="rId36" Target="https://doi.org/10.1098/rspb.1985.0042" TargetMode="External" /><Relationship Type="http://schemas.openxmlformats.org/officeDocument/2006/relationships/hyperlink" Id="rId63" Target="https://doi.org/10.1098/rstb.2021.0063" TargetMode="External" /><Relationship Type="http://schemas.openxmlformats.org/officeDocument/2006/relationships/hyperlink" Id="rId57" Target="https://doi.org/10.1101/2024.01.30.578036" TargetMode="External" /><Relationship Type="http://schemas.openxmlformats.org/officeDocument/2006/relationships/hyperlink" Id="rId43" Target="https://doi.org/10.1111/1365-2435.12763" TargetMode="External" /><Relationship Type="http://schemas.openxmlformats.org/officeDocument/2006/relationships/hyperlink" Id="rId59" Target="https://doi.org/10.1111/2041-210X.13835" TargetMode="External" /><Relationship Type="http://schemas.openxmlformats.org/officeDocument/2006/relationships/hyperlink" Id="rId61" Target="https://doi.org/10.1111/2041-210X.14228" TargetMode="External" /><Relationship Type="http://schemas.openxmlformats.org/officeDocument/2006/relationships/hyperlink" Id="rId31" Target="https://doi.org/10.1111/ele.13966" TargetMode="External" /><Relationship Type="http://schemas.openxmlformats.org/officeDocument/2006/relationships/hyperlink" Id="rId49" Target="https://doi.org/10.1111/jbi.14127" TargetMode="External" /><Relationship Type="http://schemas.openxmlformats.org/officeDocument/2006/relationships/hyperlink" Id="rId51" Target="https://doi.org/10.1111/oik.01719" TargetMode="External" /><Relationship Type="http://schemas.openxmlformats.org/officeDocument/2006/relationships/hyperlink" Id="rId39" Target="https://doi.org/10.1371/journal.pbio.0060102" TargetMode="External" /><Relationship Type="http://schemas.openxmlformats.org/officeDocument/2006/relationships/hyperlink" Id="rId41" Target="https://doi.org/10.1371/journal.pbio.1002559" TargetMode="External" /><Relationship Type="http://schemas.openxmlformats.org/officeDocument/2006/relationships/hyperlink" Id="rId29" Target="https://doi.org/10.32942/X29K55" TargetMode="External" /></Relationships>
</file>

<file path=word/_rels/footnotes.xml.rels><?xml version="1.0" encoding="UTF-8"?><Relationships xmlns="http://schemas.openxmlformats.org/package/2006/relationships"><Relationship Type="http://schemas.openxmlformats.org/officeDocument/2006/relationships/hyperlink" Id="rId28" Target="https://BecksLab.github.io/ms_t_is_for_topology/index.qmd.html" TargetMode="External" /><Relationship Type="http://schemas.openxmlformats.org/officeDocument/2006/relationships/hyperlink" Id="rId55" Target="https://doi.org/10.1016/j.jtbi.2005.12.021" TargetMode="External" /><Relationship Type="http://schemas.openxmlformats.org/officeDocument/2006/relationships/hyperlink" Id="rId47" Target="https://doi.org/10.1016/j.quascirev.2020.106696" TargetMode="External" /><Relationship Type="http://schemas.openxmlformats.org/officeDocument/2006/relationships/hyperlink" Id="rId65" Target="https://doi.org/10.1038/35004572" TargetMode="External" /><Relationship Type="http://schemas.openxmlformats.org/officeDocument/2006/relationships/hyperlink" Id="rId33" Target="https://doi.org/10.1038/nature02327" TargetMode="External" /><Relationship Type="http://schemas.openxmlformats.org/officeDocument/2006/relationships/hyperlink" Id="rId45" Target="https://doi.org/10.1073/pnas.0710672105" TargetMode="External" /><Relationship Type="http://schemas.openxmlformats.org/officeDocument/2006/relationships/hyperlink" Id="rId67" Target="https://doi.org/10.1073/pnas.1408471111" TargetMode="External" /><Relationship Type="http://schemas.openxmlformats.org/officeDocument/2006/relationships/hyperlink" Id="rId53" Target="https://doi.org/10.1086/653667" TargetMode="External" /><Relationship Type="http://schemas.openxmlformats.org/officeDocument/2006/relationships/hyperlink" Id="rId36" Target="https://doi.org/10.1098/rspb.1985.0042" TargetMode="External" /><Relationship Type="http://schemas.openxmlformats.org/officeDocument/2006/relationships/hyperlink" Id="rId63" Target="https://doi.org/10.1098/rstb.2021.0063" TargetMode="External" /><Relationship Type="http://schemas.openxmlformats.org/officeDocument/2006/relationships/hyperlink" Id="rId57" Target="https://doi.org/10.1101/2024.01.30.578036" TargetMode="External" /><Relationship Type="http://schemas.openxmlformats.org/officeDocument/2006/relationships/hyperlink" Id="rId43" Target="https://doi.org/10.1111/1365-2435.12763" TargetMode="External" /><Relationship Type="http://schemas.openxmlformats.org/officeDocument/2006/relationships/hyperlink" Id="rId59" Target="https://doi.org/10.1111/2041-210X.13835" TargetMode="External" /><Relationship Type="http://schemas.openxmlformats.org/officeDocument/2006/relationships/hyperlink" Id="rId61" Target="https://doi.org/10.1111/2041-210X.14228" TargetMode="External" /><Relationship Type="http://schemas.openxmlformats.org/officeDocument/2006/relationships/hyperlink" Id="rId31" Target="https://doi.org/10.1111/ele.13966" TargetMode="External" /><Relationship Type="http://schemas.openxmlformats.org/officeDocument/2006/relationships/hyperlink" Id="rId49" Target="https://doi.org/10.1111/jbi.14127" TargetMode="External" /><Relationship Type="http://schemas.openxmlformats.org/officeDocument/2006/relationships/hyperlink" Id="rId51" Target="https://doi.org/10.1111/oik.01719" TargetMode="External" /><Relationship Type="http://schemas.openxmlformats.org/officeDocument/2006/relationships/hyperlink" Id="rId39" Target="https://doi.org/10.1371/journal.pbio.0060102" TargetMode="External" /><Relationship Type="http://schemas.openxmlformats.org/officeDocument/2006/relationships/hyperlink" Id="rId41" Target="https://doi.org/10.1371/journal.pbio.1002559" TargetMode="External" /><Relationship Type="http://schemas.openxmlformats.org/officeDocument/2006/relationships/hyperlink" Id="rId29" Target="https://doi.org/10.32942/X29K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2024-02-07T16:27:02Z</dcterms:created>
  <dcterms:modified xsi:type="dcterms:W3CDTF">2024-02-07T16:27:02Z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