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5"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4"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Moving between the feasibility and reality of interactions</w:t>
            </w:r>
          </w:p>
        </w:tc>
      </w:tr>
      <w:tr>
        <w:trPr>
          <w:cantSplit/>
        </w:trPr>
        <w:tc>
          <w:tcPr>
            <w:tcMar>
              <w:top w:w="108" w:type="dxa"/>
              <w:bottom w:w="108" w:type="dxa"/>
            </w:tcMar>
          </w:tcPr>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tbl>
            <w:tblPr>
              <w:tblStyle w:val="Table"/>
              <w:tblW w:type="pct" w:w="5000"/>
              <w:tblLayout w:type="fixed"/>
              <w:tblLook w:firstRow="0" w:lastRow="0" w:firstColumn="0" w:lastColumn="0" w:noHBand="0" w:noVBand="0" w:val="0000"/>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
                      <w:iCs/>
                    </w:rPr>
                    <w:t xml:space="preserve">possibility</w:t>
                  </w:r>
                  <w:r>
                    <w:t xml:space="preserve"> </w:t>
                  </w:r>
                  <w:r>
                    <w:t xml:space="preserve">of an interaction occurring between two species to the quantification of</w:t>
                  </w:r>
                  <w:r>
                    <w:t xml:space="preserve"> </w:t>
                  </w:r>
                  <w:r>
                    <w:rPr>
                      <w:i/>
                      <w:iCs/>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(e.g. we species must co-occur, then they must meet, then we can determine if the interaction will happen) but it makes modelling sense? IDK… anyway we can shuffles things around</w:t>
            </w:r>
          </w:p>
          <w:bookmarkStart w:id="32" w:name="mechanisms"/>
          <w:p>
            <w:pPr>
              <w:pStyle w:val="Heading3"/>
            </w:pPr>
            <w:r>
              <w:t xml:space="preserve">1.4 Mechanisms</w:t>
            </w:r>
          </w:p>
          <w:p>
            <w:pPr>
              <w:pStyle w:val="FirstParagraph"/>
            </w:pPr>
            <w:r>
              <w:rPr>
                <w:b/>
                <w:bCs/>
              </w:rPr>
              <w:t xml:space="preserve">1. Co-occurrence</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 links) if they are not co-occurring We are co-occurring and so it represents the</w:t>
            </w:r>
            <w:r>
              <w:t xml:space="preserve"> </w:t>
            </w:r>
            <w:r>
              <w:rPr>
                <w:i/>
                <w:iCs/>
              </w:rPr>
              <w:t xml:space="preserve">basic</w:t>
            </w:r>
            <w:r>
              <w:t xml:space="preserve"> </w:t>
            </w:r>
            <w:r>
              <w:t xml:space="preserve">requirement for the interaction between a species pair</w:t>
            </w:r>
          </w:p>
          <w:p>
            <w:pPr>
              <w:pStyle w:val="BodyText"/>
            </w:pPr>
            <w:r>
              <w:rPr>
                <w:b/>
                <w:bCs/>
              </w:rPr>
              <w:t xml:space="preserve">2. Mechanistic feasibility</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
                <w:iCs/>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 It is probably worth having a brief interlude here to be really clear that just because an interaction is probabilistic it does not make it quantitative - it is still binary but at least we do have some way of saying how confident we are in the feasibility of an interaction - not how likely it is to occur - per se.</w:t>
            </w:r>
          </w:p>
          <w:p>
            <w:pPr>
              <w:pStyle w:val="BodyText"/>
            </w:pPr>
            <w:r>
              <w:rPr>
                <w:b/>
                <w:bCs/>
              </w:rPr>
              <w:t xml:space="preserve">3. Likelihood of meeting (there must be a better word)</w:t>
            </w:r>
          </w:p>
          <w:p>
            <w:pPr>
              <w:pStyle w:val="BodyText"/>
            </w:pPr>
            <w:r>
              <w:t xml:space="preserve">This is probably the point where we start to shift from a presence/absence way of defining interactions and start moving into the</w:t>
            </w:r>
            <w:r>
              <w:t xml:space="preserve"> </w:t>
            </w:r>
            <w:r>
              <w:t xml:space="preserve">‘</w:t>
            </w:r>
            <w:r>
              <w:t xml:space="preserve">qualitative</w:t>
            </w:r>
            <w:r>
              <w:t xml:space="preserve">’</w:t>
            </w:r>
            <w:r>
              <w:t xml:space="preserve">/weighted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species likelihood of</w:t>
            </w:r>
            <w:r>
              <w:t xml:space="preserve"> </w:t>
            </w:r>
            <w:r>
              <w:t xml:space="preserve">‘</w:t>
            </w:r>
            <w:r>
              <w:t xml:space="preserve">meeting</w:t>
            </w:r>
            <w:r>
              <w:t xml:space="preserve">’</w:t>
            </w:r>
            <w:r>
              <w:t xml:space="preserve">.</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but it is rather more of a building block in some of the models that are more relevant to the next steps.</w:t>
            </w:r>
          </w:p>
          <w:p>
            <w:pPr>
              <w:pStyle w:val="FirstParagraph"/>
            </w:pPr>
            <w:r>
              <w:rPr>
                <w:b/>
                <w:bCs/>
              </w:rPr>
              <w:t xml:space="preserve">4. Prey choice (energy cost-benefit)</w:t>
            </w:r>
          </w:p>
          <w:p>
            <w:pPr>
              <w:pStyle w:val="BodyText"/>
            </w:pPr>
            <w:r>
              <w:t xml:space="preserve">Now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[10,29]</w:t>
            </w:r>
          </w:p>
          <w:p>
            <w:pPr>
              <w:pStyle w:val="BodyText"/>
            </w:pPr>
            <w:r>
              <w:rPr>
                <w:b/>
                <w:bCs/>
              </w:rPr>
              <w:t xml:space="preserve">5. Environmental</w:t>
            </w:r>
            <w:r>
              <w:rPr>
                <w:b/>
                <w:bCs/>
              </w:rPr>
              <w:t xml:space="preserve"> </w:t>
            </w:r>
            <w:r>
              <w:rPr>
                <w:b/>
                <w:bCs/>
              </w:rPr>
              <w:t xml:space="preserve">‘</w:t>
            </w:r>
            <w:r>
              <w:rPr>
                <w:b/>
                <w:bCs/>
              </w:rPr>
              <w:t xml:space="preserve">energy budget</w:t>
            </w:r>
            <w:r>
              <w:rPr>
                <w:b/>
                <w:bCs/>
              </w:rPr>
              <w:t xml:space="preserve">’</w:t>
            </w:r>
          </w:p>
          <w:p>
            <w:pPr>
              <w:pStyle w:val="BodyText"/>
            </w:pPr>
            <w:r>
              <w:t xml:space="preserve">Builds primarily on the ideas presented in</w:t>
            </w:r>
            <w:r>
              <w:t xml:space="preserve"> </w:t>
            </w:r>
            <w:r>
              <w:t xml:space="preserve">[30]</w:t>
            </w:r>
            <w:r>
              <w:t xml:space="preserve">, which is essentially a take on movement ecology? What it boils down to is being able to quantify the cost of movement</w:t>
            </w:r>
            <w:r>
              <w:t xml:space="preserve"> </w:t>
            </w:r>
            <w:r>
              <w:rPr>
                <w:i/>
                <w:iCs/>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bookmarkEnd w:id="32"/>
          <w:bookmarkStart w:id="33" w:name="notes-on-the-ensemble-approach"/>
          <w:p>
            <w:pPr>
              <w:pStyle w:val="Heading3"/>
            </w:pPr>
            <w:r>
              <w:t xml:space="preserve">1.5 Notes on the</w:t>
            </w:r>
            <w:r>
              <w:t xml:space="preserve"> </w:t>
            </w:r>
            <w:r>
              <w:t xml:space="preserve">‘</w:t>
            </w:r>
            <w:r>
              <w:t xml:space="preserve">ensemble</w:t>
            </w:r>
            <w:r>
              <w:t xml:space="preserve">’</w:t>
            </w:r>
            <w:r>
              <w:t xml:space="preserve"> </w:t>
            </w:r>
            <w:r>
              <w:t xml:space="preserve">approach</w:t>
            </w:r>
          </w:p>
          <w:p>
            <w:pPr>
              <w:pStyle w:val="FirstParagraph"/>
            </w:pPr>
            <w:pPr>
              <w:spacing w:after="16"/>
            </w:pPr>
            <w:r>
              <w:t xml:space="preserve">IDK I just really want to articulate that we can’t feasibly be functioning at a</w:t>
            </w:r>
            <w:r>
              <w:t xml:space="preserve"> </w:t>
            </w:r>
            <w:r>
              <w:t xml:space="preserve">‘</w:t>
            </w:r>
            <w:r>
              <w:t xml:space="preserve">level 5</w:t>
            </w:r>
            <w:r>
              <w:t xml:space="preserve">’</w:t>
            </w:r>
            <w:r>
              <w:t xml:space="preserve"> </w:t>
            </w:r>
            <w:r>
              <w:t xml:space="preserve">at all times because of other real world constraints such as the fact that the amount of data one needs is simply not going to be feasible in most cases… Also that you (probably) need to go through the whole step-wise process because (at least for now) models at the</w:t>
            </w:r>
            <w:r>
              <w:t xml:space="preserve"> </w:t>
            </w:r>
            <w:r>
              <w:t xml:space="preserve">‘</w:t>
            </w:r>
            <w:r>
              <w:t xml:space="preserve">higher</w:t>
            </w:r>
            <w:r>
              <w:t xml:space="preserve">’</w:t>
            </w:r>
            <w:r>
              <w:t xml:space="preserve"> </w:t>
            </w:r>
            <w:r>
              <w:t xml:space="preserve">levels are overlooking some of the</w:t>
            </w:r>
            <w:r>
              <w:t xml:space="preserve"> </w:t>
            </w:r>
            <w:r>
              <w:t xml:space="preserve">‘</w:t>
            </w:r>
            <w:r>
              <w:t xml:space="preserve">lower</w:t>
            </w:r>
            <w:r>
              <w:t xml:space="preserve">’</w:t>
            </w:r>
            <w:r>
              <w:t xml:space="preserve"> </w:t>
            </w:r>
            <w:r>
              <w:t xml:space="preserve">levels</w:t>
            </w:r>
            <w:r>
              <w:t xml:space="preserve"> </w:t>
            </w:r>
            <w:r>
              <w:rPr>
                <w:i/>
                <w:iCs/>
              </w:rPr>
              <w:t xml:space="preserve">e.g.,</w:t>
            </w:r>
            <w:r>
              <w:t xml:space="preserve"> </w:t>
            </w:r>
            <w:r>
              <w:t xml:space="preserve">the the ADBM model (in its current form) has no way of accounting for forbidden links and so it is probably going to end up predicting some links that are strictly speaking</w:t>
            </w:r>
            <w:r>
              <w:t xml:space="preserve"> </w:t>
            </w:r>
            <w:r>
              <w:t xml:space="preserve">‘</w:t>
            </w:r>
            <w:r>
              <w:t xml:space="preserve">forbidden</w:t>
            </w:r>
            <w:r>
              <w:t xml:space="preserve">’</w:t>
            </w:r>
            <w:r>
              <w:t xml:space="preserve"> </w:t>
            </w:r>
            <w:r>
              <w:t xml:space="preserve">at the trait level (I guess this kind of thinking will probably open the door for talking about benchmarking should we still want to keep the model comparison angle).</w:t>
            </w:r>
          </w:p>
        </w:tc>
      </w:tr>
    </w:tbl>
    <w:bookmarkEnd w:id="33"/>
    <w:bookmarkEnd w:id="34"/>
    <w:bookmarkEnd w:id="35"/>
    <w:bookmarkStart w:id="36"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[31,32]</w:t>
      </w:r>
      <w:r>
        <w:t xml:space="preserve">, using pairwise interactions to understand species distributions</w:t>
      </w:r>
      <w:r>
        <w:t xml:space="preserve"> </w:t>
      </w:r>
      <w:r>
        <w:t xml:space="preserve">[33]</w:t>
      </w:r>
      <w:r>
        <w:t xml:space="preserve"> </w:t>
      </w:r>
      <w:r>
        <w:t xml:space="preserve">or even co-extinction risk</w:t>
      </w:r>
      <w:r>
        <w:t xml:space="preserve"> </w:t>
      </w:r>
      <w:r>
        <w:t xml:space="preserve">[34]</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6"/>
    <w:bookmarkStart w:id="52"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[35]</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[37]</w:t>
      </w:r>
      <w:r>
        <w:t xml:space="preserve"> </w:t>
      </w:r>
      <w:r>
        <w:t xml:space="preserve">or trait hierarchy</w:t>
      </w:r>
      <w:r>
        <w:t xml:space="preserve"> </w:t>
      </w:r>
      <w:r>
        <w:t xml:space="preserve">[38]</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39]</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1"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7">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8">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[40]</w:t>
                  </w:r>
                  <w:r>
                    <w:t xml:space="preserve"> </w:t>
                  </w:r>
                  <w:r>
                    <w:t xml:space="preserve">(although more plant-plant</w:t>
                  </w:r>
                  <w:r>
                    <w:t xml:space="preserve"> </w:t>
                  </w:r>
                  <w:r>
                    <w:rPr>
                      <w:i/>
                      <w:iCs/>
                    </w:rPr>
                    <w:t xml:space="preserve">i.e.</w:t>
                  </w:r>
                  <w:r>
                    <w:t xml:space="preserve"> </w:t>
                  </w:r>
                  <w:r>
                    <w:t xml:space="preserve">non-trophic…)</w:t>
                  </w:r>
                </w:p>
              </w:tc>
            </w:tr>
          </w:tbl>
          <w:bookmarkEnd w:id="3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fig-dendro"/>
          <w:p>
            <w:pPr>
              <w:pStyle w:val="Compact"/>
              <w:jc w:val="center"/>
            </w:pPr>
            <w:r>
              <w:drawing>
                <wp:inline>
                  <wp:extent cx="5334000" cy="3809273"/>
                  <wp:effectExtent b="0" l="0" r="0" t="0"/>
                  <wp:docPr descr="" title="" id="41" name="Picture"/>
                  <a:graphic>
                    <a:graphicData uri="http://schemas.openxmlformats.org/drawingml/2006/picture">
                      <pic:pic>
                        <pic:nvPicPr>
                          <pic:cNvPr descr="images/dendo.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note.png" id="4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[41]</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[42]</w:t>
            </w:r>
            <w:r>
              <w:t xml:space="preserve">. For more detailed methods as to how benchmarking was done refer to</w:t>
            </w:r>
            <w:r>
              <w:t xml:space="preserve"> </w:t>
            </w:r>
            <w:hyperlink r:id="rId46">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50" w:name="fig-topology"/>
                <w:p>
                  <w:pPr>
                    <w:pStyle w:val="Compact"/>
                    <w:jc w:val="center"/>
                  </w:pPr>
                  <w:r>
                    <w:drawing>
                      <wp:inline>
                        <wp:extent cx="5334000" cy="3809273"/>
                        <wp:effectExtent b="0" l="0" r="0" t="0"/>
                        <wp:docPr descr="" title="" id="48" name="Picture"/>
                        <a:graphic>
                          <a:graphicData uri="http://schemas.openxmlformats.org/drawingml/2006/picture">
                            <pic:pic>
                              <pic:nvPicPr>
                                <pic:cNvPr descr="images/topology.png" id="49" name="Picture"/>
                                <pic:cNvPicPr>
                                  <a:picLocks noChangeArrowheads="1" noChangeAspect="1"/>
                                </pic:cNvPicPr>
                              </pic:nvPicPr>
                              <pic:blipFill>
                                <a:blip r:embed="rId47"/>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[43]</w:t>
                  </w:r>
                  <w:r>
                    <w:t xml:space="preserve"> </w:t>
                  </w:r>
                  <w:r>
                    <w:t xml:space="preserve">which are S1: Number of linear chains, S2: Number of omnivory motifs, S4: Number of apparent competition motifs, and S5: Number of direct competition motifs</w:t>
                  </w:r>
                </w:p>
                <w:bookmarkEnd w:id="50"/>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[39]</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1"/>
    <w:bookmarkEnd w:id="52"/>
    <w:bookmarkStart w:id="55"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pStyle w:val="Compact"/>
        <w:numPr>
          <w:ilvl w:val="1"/>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3"/>
        </w:numPr>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[20,44]</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[45]</w:t>
      </w:r>
      <w:r>
        <w:t xml:space="preserve"> </w:t>
      </w:r>
      <w:r>
        <w:t xml:space="preserve">but maybe not exactly in this context but vaguely adjacent.</w:t>
      </w:r>
    </w:p>
    <w:p>
      <w:pPr>
        <w:pStyle w:val="Compact"/>
        <w:numPr>
          <w:ilvl w:val="1"/>
          <w:numId w:val="1006"/>
        </w:numPr>
      </w:pPr>
      <w:r>
        <w:t xml:space="preserve">I think this is sort of the crux of the argument presented in</w:t>
      </w:r>
      <w:r>
        <w:t xml:space="preserve"> </w:t>
      </w:r>
      <w:r>
        <w:t xml:space="preserve">[46]</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[42]</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[47]</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09"/>
        </w:numPr>
      </w:pPr>
      <w:r>
        <w:t xml:space="preserve">The</w:t>
      </w:r>
      <w:r>
        <w:t xml:space="preserve"> </w:t>
      </w:r>
      <w:r>
        <w:t xml:space="preserve">[48]</w:t>
      </w:r>
      <w:r>
        <w:t xml:space="preserve"> </w:t>
      </w:r>
      <w:r>
        <w:t xml:space="preserve">paper looks at some methods but is specifically looking at a bipartite world…</w:t>
      </w:r>
    </w:p>
    <w:bookmarkStart w:id="53"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[49]</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[50]</w:t>
      </w:r>
      <w:r>
        <w:t xml:space="preserve"> </w:t>
      </w:r>
      <w:r>
        <w:t xml:space="preserve">and that we should also start thinking about the interplay of time and space</w:t>
      </w:r>
      <w:r>
        <w:t xml:space="preserve"> </w:t>
      </w:r>
      <w:r>
        <w:t xml:space="preserve">[51]</w:t>
      </w:r>
      <w:r>
        <w:t xml:space="preserve">. Although deciding exactly what measure might actually be driving differences between local networks and the regional metaweb might not be that simple</w:t>
      </w:r>
      <w:r>
        <w:t xml:space="preserve"> </w:t>
      </w:r>
      <w:r>
        <w:t xml:space="preserve">[52]</w:t>
      </w:r>
      <w:r>
        <w:t xml:space="preserve">.</w:t>
      </w:r>
      <w:r>
        <w:t xml:space="preserve">”</w:t>
      </w:r>
    </w:p>
    <w:bookmarkEnd w:id="53"/>
    <w:bookmarkStart w:id="54"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4"/>
    <w:bookmarkEnd w:id="55"/>
    <w:bookmarkStart w:id="56"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6"/>
    <w:bookmarkStart w:id="57"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7"/>
    <w:bookmarkStart w:id="158" w:name="references"/>
    <w:p>
      <w:pPr>
        <w:pStyle w:val="Heading2"/>
      </w:pPr>
      <w:r>
        <w:t xml:space="preserve">References</w:t>
      </w:r>
    </w:p>
    <w:bookmarkStart w:id="157" w:name="refs"/>
    <w:bookmarkStart w:id="58"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8"/>
    <w:bookmarkStart w:id="60"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9">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60"/>
    <w:bookmarkStart w:id="62"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62"/>
    <w:bookmarkStart w:id="64" w:name="Xf53c03f1c3fea4e4289657cbb0682f5f23e8b1d"/>
    <w:p>
      <w:pPr>
        <w:pStyle w:val="Bibliography"/>
      </w:pPr>
      <w:r>
        <w:t xml:space="preserve">4.</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4"/>
    <w:bookmarkStart w:id="66"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7">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8"/>
    <w:bookmarkStart w:id="70"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9">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70"/>
    <w:bookmarkStart w:id="72"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1">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2"/>
    <w:bookmarkStart w:id="74"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7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74"/>
    <w:bookmarkStart w:id="76"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7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6"/>
    <w:bookmarkStart w:id="78" w:name="ref-williamsSuccessItsLimits2008"/>
    <w:p>
      <w:pPr>
        <w:pStyle w:val="Bibliography"/>
      </w:pPr>
      <w:r>
        <w:t xml:space="preserve">11.</w:t>
      </w:r>
      <w:r>
        <w:t xml:space="preserve"> </w:t>
      </w:r>
      <w:r>
        <w:t xml:space="preserve">	</w:t>
      </w:r>
      <w:r>
        <w:t xml:space="preserve">Williams, R.J. and Martinez, N.D. (2008)</w:t>
      </w:r>
      <w:r>
        <w:t xml:space="preserve"> </w:t>
      </w:r>
      <w:hyperlink r:id="rId7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8"/>
    <w:bookmarkStart w:id="80"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80"/>
    <w:bookmarkStart w:id="82"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2"/>
    <w:bookmarkStart w:id="84"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4"/>
    <w:bookmarkStart w:id="86"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8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6"/>
    <w:bookmarkStart w:id="88"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7">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8"/>
    <w:bookmarkStart w:id="90"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9">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90"/>
    <w:bookmarkStart w:id="92" w:name="ref-williamsSimpleRulesYield2000"/>
    <w:p>
      <w:pPr>
        <w:pStyle w:val="Bibliography"/>
      </w:pPr>
      <w:r>
        <w:t xml:space="preserve">18.</w:t>
      </w:r>
      <w:r>
        <w:t xml:space="preserve"> </w:t>
      </w:r>
      <w:r>
        <w:t xml:space="preserve">	</w:t>
      </w:r>
      <w:r>
        <w:t xml:space="preserve">Williams, R.J. and Martinez, N.D. (2000)</w:t>
      </w:r>
      <w:r>
        <w:t xml:space="preserve"> </w:t>
      </w:r>
      <w:hyperlink r:id="rId91">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2"/>
    <w:bookmarkStart w:id="94"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93">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94"/>
    <w:bookmarkStart w:id="96" w:name="ref-pringleUntanglingFoodWebs2020"/>
    <w:p>
      <w:pPr>
        <w:pStyle w:val="Bibliography"/>
      </w:pPr>
      <w:r>
        <w:t xml:space="preserve">20.</w:t>
      </w:r>
      <w:r>
        <w:t xml:space="preserve"> </w:t>
      </w:r>
      <w:r>
        <w:t xml:space="preserve">	</w:t>
      </w:r>
      <w:r>
        <w:t xml:space="preserve">Pringle, R.M. (2020)</w:t>
      </w:r>
      <w:r>
        <w:t xml:space="preserve"> </w:t>
      </w:r>
      <w:hyperlink r:id="rId9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6"/>
    <w:bookmarkStart w:id="97"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7"/>
    <w:bookmarkStart w:id="99" w:name="Xe227781537312aad81566d289906b7942bbcf13"/>
    <w:p>
      <w:pPr>
        <w:pStyle w:val="Bibliography"/>
      </w:pPr>
      <w:r>
        <w:t xml:space="preserve">22.</w:t>
      </w:r>
      <w:r>
        <w:t xml:space="preserve"> </w:t>
      </w:r>
      <w:r>
        <w:t xml:space="preserve">	</w:t>
      </w:r>
      <w:r>
        <w:t xml:space="preserve">Lindeman, R.L. (1942)</w:t>
      </w:r>
      <w:r>
        <w:t xml:space="preserve"> </w:t>
      </w:r>
      <w:hyperlink r:id="rId9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9"/>
    <w:bookmarkStart w:id="101"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10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101"/>
    <w:bookmarkStart w:id="103"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10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3"/>
    <w:bookmarkStart w:id="105"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104">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105"/>
    <w:bookmarkStart w:id="107"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6">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7"/>
    <w:bookmarkStart w:id="109" w:name="ref-blanchetCooccurrenceNotEvidence2020"/>
    <w:p>
      <w:pPr>
        <w:pStyle w:val="Bibliography"/>
      </w:pPr>
      <w:r>
        <w:t xml:space="preserve">27.</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08">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09"/>
    <w:bookmarkStart w:id="111"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1"/>
    <w:bookmarkStart w:id="113" w:name="ref-beckermanForagingBiologyPredicts2006"/>
    <w:p>
      <w:pPr>
        <w:pStyle w:val="Bibliography"/>
      </w:pPr>
      <w:r>
        <w:t xml:space="preserve">29.</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112">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113"/>
    <w:bookmarkStart w:id="115" w:name="ref-cherifEnvironmentRescueCan"/>
    <w:p>
      <w:pPr>
        <w:pStyle w:val="Bibliography"/>
      </w:pPr>
      <w:r>
        <w:t xml:space="preserve">30.</w:t>
      </w:r>
      <w:r>
        <w:t xml:space="preserve"> </w:t>
      </w:r>
      <w:r>
        <w:t xml:space="preserve">	</w:t>
      </w:r>
      <w:r>
        <w:t xml:space="preserve">Cherif, M.</w:t>
      </w:r>
      <w:r>
        <w:t xml:space="preserve"> </w:t>
      </w:r>
      <w:r>
        <w:rPr>
          <w:i/>
          <w:iCs/>
        </w:rPr>
        <w:t xml:space="preserve">et al.</w:t>
      </w:r>
      <w:r>
        <w:t xml:space="preserve"> </w:t>
      </w:r>
      <w:hyperlink r:id="rId114">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n/a</w:t>
      </w:r>
    </w:p>
    <w:bookmarkEnd w:id="115"/>
    <w:bookmarkStart w:id="117" w:name="ref-dunneCompilationNetworkAnalyses2008"/>
    <w:p>
      <w:pPr>
        <w:pStyle w:val="Bibliography"/>
      </w:pPr>
      <w:r>
        <w:t xml:space="preserve">31.</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1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17"/>
    <w:bookmarkStart w:id="119" w:name="ref-yeakelCollapseEcologicalNetwork2014"/>
    <w:p>
      <w:pPr>
        <w:pStyle w:val="Bibliography"/>
      </w:pPr>
      <w:r>
        <w:t xml:space="preserve">32.</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1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19"/>
    <w:bookmarkStart w:id="121" w:name="X8f3d1de04516835fd1376e2647a281b763af4fc"/>
    <w:p>
      <w:pPr>
        <w:pStyle w:val="Bibliography"/>
      </w:pPr>
      <w:r>
        <w:t xml:space="preserve">33.</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2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21"/>
    <w:bookmarkStart w:id="123" w:name="ref-dunnSixthMassCoextinction2009"/>
    <w:p>
      <w:pPr>
        <w:pStyle w:val="Bibliography"/>
      </w:pPr>
      <w:r>
        <w:t xml:space="preserve">34.</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2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23"/>
    <w:bookmarkStart w:id="125" w:name="ref-caronTraitmatchingModelsPredict2024"/>
    <w:p>
      <w:pPr>
        <w:pStyle w:val="Bibliography"/>
      </w:pPr>
      <w:r>
        <w:t xml:space="preserve">35.</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2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25"/>
    <w:bookmarkStart w:id="126" w:name="ref-cohenCommunityFoodWebs1990"/>
    <w:p>
      <w:pPr>
        <w:pStyle w:val="Bibliography"/>
      </w:pPr>
      <w:r>
        <w:t xml:space="preserve">36.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26"/>
    <w:bookmarkStart w:id="128" w:name="Xb1d8b6b275822be1886d160023287af73cce966"/>
    <w:p>
      <w:pPr>
        <w:pStyle w:val="Bibliography"/>
      </w:pPr>
      <w:r>
        <w:t xml:space="preserve">37.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2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28"/>
    <w:bookmarkStart w:id="130" w:name="X0fb50f1746fa9d2b24f89ed5bfe6ae1a2f58cc2"/>
    <w:p>
      <w:pPr>
        <w:pStyle w:val="Bibliography"/>
      </w:pPr>
      <w:r>
        <w:t xml:space="preserve">38.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29">
        <w:r>
          <w:rPr>
            <w:rStyle w:val="Hyperlink"/>
          </w:rPr>
          <w:t xml:space="preserve">A framework for reconstructing ancient food webs using functional trait data</w:t>
        </w:r>
      </w:hyperlink>
      <w:r>
        <w:t xml:space="preserve">bioRxiv, 2024.01.30.578036</w:t>
      </w:r>
    </w:p>
    <w:bookmarkEnd w:id="130"/>
    <w:bookmarkStart w:id="132" w:name="ref-poisotSpeciesWhyEcological2015"/>
    <w:p>
      <w:pPr>
        <w:pStyle w:val="Bibliography"/>
      </w:pPr>
      <w:r>
        <w:t xml:space="preserve">39.</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3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32"/>
    <w:bookmarkStart w:id="134" w:name="ref-kuschEcologicalNetworkInference2023"/>
    <w:p>
      <w:pPr>
        <w:pStyle w:val="Bibliography"/>
      </w:pPr>
      <w:r>
        <w:t xml:space="preserve">40.</w:t>
      </w:r>
      <w:r>
        <w:t xml:space="preserve"> </w:t>
      </w:r>
      <w:r>
        <w:t xml:space="preserve">	</w:t>
      </w:r>
      <w:r>
        <w:t xml:space="preserve">Kusch, E.</w:t>
      </w:r>
      <w:r>
        <w:t xml:space="preserve"> </w:t>
      </w:r>
      <w:r>
        <w:rPr>
          <w:i/>
          <w:iCs/>
        </w:rPr>
        <w:t xml:space="preserve">et al.</w:t>
      </w:r>
      <w:r>
        <w:t xml:space="preserve"> </w:t>
      </w:r>
      <w:r>
        <w:t xml:space="preserve">(2023)</w:t>
      </w:r>
      <w:r>
        <w:t xml:space="preserve"> </w:t>
      </w:r>
      <w:hyperlink r:id="rId133">
        <w:r>
          <w:rPr>
            <w:rStyle w:val="Hyperlink"/>
          </w:rPr>
          <w:t xml:space="preserve">Ecological network inference is not consistent across scales or approaches</w:t>
        </w:r>
      </w:hyperlink>
      <w:r>
        <w:t xml:space="preserve">bioRxiv, 2023.07.13.548816</w:t>
      </w:r>
    </w:p>
    <w:bookmarkEnd w:id="134"/>
    <w:bookmarkStart w:id="136" w:name="ref-allesinaGeneralModelFood2008"/>
    <w:p>
      <w:pPr>
        <w:pStyle w:val="Bibliography"/>
      </w:pPr>
      <w:r>
        <w:t xml:space="preserve">41.</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3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36"/>
    <w:bookmarkStart w:id="138" w:name="X023758d2a089016cd8f0c9d2421079cf7d062ff"/>
    <w:p>
      <w:pPr>
        <w:pStyle w:val="Bibliography"/>
      </w:pPr>
      <w:r>
        <w:t xml:space="preserve">42.</w:t>
      </w:r>
      <w:r>
        <w:t xml:space="preserve"> </w:t>
      </w:r>
      <w:r>
        <w:t xml:space="preserve">	</w:t>
      </w:r>
      <w:r>
        <w:t xml:space="preserve">Poisot, T. (2023)</w:t>
      </w:r>
      <w:r>
        <w:t xml:space="preserve"> </w:t>
      </w:r>
      <w:hyperlink r:id="rId13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38"/>
    <w:bookmarkStart w:id="140" w:name="ref-stoufferEvidenceExistenceRobust2007"/>
    <w:p>
      <w:pPr>
        <w:pStyle w:val="Bibliography"/>
      </w:pPr>
      <w:r>
        <w:t xml:space="preserve">43.</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3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40"/>
    <w:bookmarkStart w:id="142" w:name="ref-pringleResolvingFoodWebStructure2020"/>
    <w:p>
      <w:pPr>
        <w:pStyle w:val="Bibliography"/>
      </w:pPr>
      <w:r>
        <w:t xml:space="preserve">44.</w:t>
      </w:r>
      <w:r>
        <w:t xml:space="preserve"> </w:t>
      </w:r>
      <w:r>
        <w:t xml:space="preserve">	</w:t>
      </w:r>
      <w:r>
        <w:t xml:space="preserve">Pringle, R.M. and Hutchinson, M.C. (2020)</w:t>
      </w:r>
      <w:r>
        <w:t xml:space="preserve"> </w:t>
      </w:r>
      <w:hyperlink r:id="rId14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42"/>
    <w:bookmarkStart w:id="144" w:name="ref-berlowGoldilocksFactorFood2008"/>
    <w:p>
      <w:pPr>
        <w:pStyle w:val="Bibliography"/>
      </w:pPr>
      <w:r>
        <w:t xml:space="preserve">45.</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4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44"/>
    <w:bookmarkStart w:id="146" w:name="ref-brimacombeApplyingMethodIts2024"/>
    <w:p>
      <w:pPr>
        <w:pStyle w:val="Bibliography"/>
      </w:pPr>
      <w:r>
        <w:t xml:space="preserve">46.</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4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46"/>
    <w:bookmarkStart w:id="148" w:name="ref-beckerOptimisingPredictiveModels2022"/>
    <w:p>
      <w:pPr>
        <w:pStyle w:val="Bibliography"/>
      </w:pPr>
      <w:r>
        <w:t xml:space="preserve">47.</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4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48"/>
    <w:bookmarkStart w:id="150" w:name="ref-terryFindingMissingLinks2020"/>
    <w:p>
      <w:pPr>
        <w:pStyle w:val="Bibliography"/>
      </w:pPr>
      <w:r>
        <w:t xml:space="preserve">48.</w:t>
      </w:r>
      <w:r>
        <w:t xml:space="preserve"> </w:t>
      </w:r>
      <w:r>
        <w:t xml:space="preserve">	</w:t>
      </w:r>
      <w:r>
        <w:t xml:space="preserve">Terry, J.C.D. and Lewis, O.T. (2020)</w:t>
      </w:r>
      <w:r>
        <w:t xml:space="preserve"> </w:t>
      </w:r>
      <w:hyperlink r:id="rId149">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50"/>
    <w:bookmarkStart w:id="151" w:name="X1edd2253d2e7e8e6db9e7574240f432ddda2ce1"/>
    <w:p>
      <w:pPr>
        <w:pStyle w:val="Bibliography"/>
      </w:pPr>
      <w:r>
        <w:t xml:space="preserve">49.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51"/>
    <w:bookmarkStart w:id="153" w:name="ref-fortinNetworkEcologyDynamic2021"/>
    <w:p>
      <w:pPr>
        <w:pStyle w:val="Bibliography"/>
      </w:pPr>
      <w:r>
        <w:t xml:space="preserve">50.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5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53"/>
    <w:bookmarkStart w:id="154" w:name="ref-estayEditorialPatternsProcesses2023"/>
    <w:p>
      <w:pPr>
        <w:pStyle w:val="Bibliography"/>
      </w:pPr>
      <w:r>
        <w:t xml:space="preserve">51.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54"/>
    <w:bookmarkStart w:id="156" w:name="ref-saraviaEcologicalNetworkAssembly2022"/>
    <w:p>
      <w:pPr>
        <w:pStyle w:val="Bibliography"/>
      </w:pPr>
      <w:r>
        <w:t xml:space="preserve">52.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5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56"/>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49" Target="https://doi.org/10.1002/ecy.3047" TargetMode="External" /><Relationship Type="http://schemas.openxmlformats.org/officeDocument/2006/relationships/hyperlink" Id="rId147"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81" Target="https://doi.org/10.1038/s42003-023-05622-3" TargetMode="External" /><Relationship Type="http://schemas.openxmlformats.org/officeDocument/2006/relationships/hyperlink" Id="rId112"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3" Target="https://doi.org/10.1073/pnas.0800967105" TargetMode="External" /><Relationship Type="http://schemas.openxmlformats.org/officeDocument/2006/relationships/hyperlink" Id="rId118" Target="https://doi.org/10.1073/pnas.1408471111" TargetMode="External" /><Relationship Type="http://schemas.openxmlformats.org/officeDocument/2006/relationships/hyperlink" Id="rId139" Target="https://doi.org/10.1098/rspb.2007.0571" TargetMode="External" /><Relationship Type="http://schemas.openxmlformats.org/officeDocument/2006/relationships/hyperlink" Id="rId122" Target="https://doi.org/10.1098/rspb.2009.0413" TargetMode="External" /><Relationship Type="http://schemas.openxmlformats.org/officeDocument/2006/relationships/hyperlink" Id="rId152"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3" Target="https://doi.org/10.1101/2023.07.13.548816" TargetMode="External" /><Relationship Type="http://schemas.openxmlformats.org/officeDocument/2006/relationships/hyperlink" Id="rId129"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5" Target="https://doi.org/10.1111/1365-2656.13652" TargetMode="External" /><Relationship Type="http://schemas.openxmlformats.org/officeDocument/2006/relationships/hyperlink" Id="rId120" Target="https://doi.org/10.1111/2041-210X.12180" TargetMode="External" /><Relationship Type="http://schemas.openxmlformats.org/officeDocument/2006/relationships/hyperlink" Id="rId127"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37"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4"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4"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1" Target="https://doi.org/10.1111/oik.01719" TargetMode="External" /><Relationship Type="http://schemas.openxmlformats.org/officeDocument/2006/relationships/hyperlink" Id="rId135" Target="https://doi.org/10.1126/science.1156269" TargetMode="External" /><Relationship Type="http://schemas.openxmlformats.org/officeDocument/2006/relationships/hyperlink" Id="rId141"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45" Target="https://doi.org/10.13140/RG.2.2.22076.65927" TargetMode="External" /><Relationship Type="http://schemas.openxmlformats.org/officeDocument/2006/relationships/hyperlink" Id="rId116"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49" Target="https://doi.org/10.1002/ecy.3047" TargetMode="External" /><Relationship Type="http://schemas.openxmlformats.org/officeDocument/2006/relationships/hyperlink" Id="rId147"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81" Target="https://doi.org/10.1038/s42003-023-05622-3" TargetMode="External" /><Relationship Type="http://schemas.openxmlformats.org/officeDocument/2006/relationships/hyperlink" Id="rId112"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3" Target="https://doi.org/10.1073/pnas.0800967105" TargetMode="External" /><Relationship Type="http://schemas.openxmlformats.org/officeDocument/2006/relationships/hyperlink" Id="rId118" Target="https://doi.org/10.1073/pnas.1408471111" TargetMode="External" /><Relationship Type="http://schemas.openxmlformats.org/officeDocument/2006/relationships/hyperlink" Id="rId139" Target="https://doi.org/10.1098/rspb.2007.0571" TargetMode="External" /><Relationship Type="http://schemas.openxmlformats.org/officeDocument/2006/relationships/hyperlink" Id="rId122" Target="https://doi.org/10.1098/rspb.2009.0413" TargetMode="External" /><Relationship Type="http://schemas.openxmlformats.org/officeDocument/2006/relationships/hyperlink" Id="rId152"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3" Target="https://doi.org/10.1101/2023.07.13.548816" TargetMode="External" /><Relationship Type="http://schemas.openxmlformats.org/officeDocument/2006/relationships/hyperlink" Id="rId129"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5" Target="https://doi.org/10.1111/1365-2656.13652" TargetMode="External" /><Relationship Type="http://schemas.openxmlformats.org/officeDocument/2006/relationships/hyperlink" Id="rId120" Target="https://doi.org/10.1111/2041-210X.12180" TargetMode="External" /><Relationship Type="http://schemas.openxmlformats.org/officeDocument/2006/relationships/hyperlink" Id="rId127"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37"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4"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4"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1" Target="https://doi.org/10.1111/oik.01719" TargetMode="External" /><Relationship Type="http://schemas.openxmlformats.org/officeDocument/2006/relationships/hyperlink" Id="rId135" Target="https://doi.org/10.1126/science.1156269" TargetMode="External" /><Relationship Type="http://schemas.openxmlformats.org/officeDocument/2006/relationships/hyperlink" Id="rId141"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45" Target="https://doi.org/10.13140/RG.2.2.22076.65927" TargetMode="External" /><Relationship Type="http://schemas.openxmlformats.org/officeDocument/2006/relationships/hyperlink" Id="rId116"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2024-06-17T16:20:50Z</dcterms:created>
  <dcterms:modified xsi:type="dcterms:W3CDTF">2024-06-17T16:20:50Z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