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jpg" ContentType="image/jpeg"/>
  <Override PartName="/word/media/rId33.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2024-05-09</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At the heart of modern biodiversity science are a set of concepts about how biodiversity, community structure, productivity and asynchrony define the stability, resilience and dynamics of complex communities. Humanity relies on these complex communities for numerous functions and services and they are under multiple, simultaneous threats. With such formalisation, it is possible to model the relationships among biodiversity, community structure, productivity and asynchrony and how they define the stability, resilience and dynamics of complex communities.</w:t>
      </w:r>
    </w:p>
    <w:p>
      <w:pPr>
        <w:pStyle w:val="BodyText"/>
      </w:pPr>
      <w:r>
        <w:t xml:space="preserve">One of the fundamental challenges that we are faced with in using and studying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[1,2]</w:t>
      </w:r>
      <w:r>
        <w:t xml:space="preserve">. The difficulty of recording interactions in the field</w:t>
      </w:r>
      <w:r>
        <w:t xml:space="preserve"> </w:t>
      </w:r>
      <w:r>
        <w:t xml:space="preserve">[3,4]</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[5,6]</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Although the development of these different models have carved out the path for constructing either synthetic, ecologically plausible networks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[7]</w:t>
      </w:r>
      <w:r>
        <w:t xml:space="preserve"> </w:t>
      </w:r>
      <w:r>
        <w:t xml:space="preserve">we are lacking in discussions that are explicitly comparing and contrasting how the way one chooses to approach the task of constructing a food web is introducing (and ultimately embedding) specific assumptions and hypotheses</w:t>
      </w:r>
      <w:r>
        <w:t xml:space="preserve"> </w:t>
      </w:r>
      <w:r>
        <w:t xml:space="preserve">[8]</w:t>
      </w:r>
      <w:r>
        <w:t xml:space="preserve">. Most attempts that focus on comparing and contrasting models are focused on the same group of</w:t>
      </w:r>
      <w:r>
        <w:t xml:space="preserve"> </w:t>
      </w:r>
      <w:r>
        <w:rPr>
          <w:b/>
          <w:bCs/>
        </w:rPr>
        <w:t xml:space="preserve">model families</w:t>
      </w:r>
      <w:r>
        <w:t xml:space="preserve"> </w:t>
      </w:r>
      <w:r>
        <w:t xml:space="preserve">[9,10]</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[11,12]</w:t>
      </w:r>
      <w:r>
        <w:t xml:space="preserve"> </w:t>
      </w:r>
      <w:r>
        <w:t xml:space="preserve">it is critical that we highlight and review these different model families as a whole (and not in isolation), and move away from simply benchmarking the performance of these different model families but also highlight the inherent constraints that these models impose upon themselves and how these will delimit and dictate the potential questions one will be able to ask</w:t>
      </w:r>
      <w:r>
        <w:t xml:space="preserve"> </w:t>
      </w:r>
      <w:r>
        <w:t xml:space="preserve">[13]</w:t>
      </w:r>
      <w:r>
        <w:t xml:space="preserve">. This will allow us to ensure the right models are being used to answer the right questions, particularly within the context of trying to accelerate cross-cutting research in the face of global change.</w:t>
      </w:r>
    </w:p>
    <w:p>
      <w:pPr>
        <w:pStyle w:val="BodyText"/>
      </w:pPr>
      <w:r>
        <w:t xml:space="preserve">In this (item) we will…</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24" w:name="sec-network-why"/>
    <w:p>
      <w:pPr>
        <w:pStyle w:val="Heading2"/>
      </w:pPr>
      <w:r>
        <w:t xml:space="preserve">1 Why do we want to predict food webs?</w:t>
      </w:r>
    </w:p>
    <w:p>
      <w:pPr>
        <w:pStyle w:val="FirstParagraph"/>
      </w:pPr>
      <w:r>
        <w:t xml:space="preserve">Arguably the need for methods and tools that can be used to construct synthetic food webs arises from two different (but still aligned) places of interest within the field of network ecology. On the one side sits the researcher who is interested in generating a set of ecologically plausible networks for the purpose of understanding some higher-level process/concept (</w:t>
      </w:r>
      <w:r>
        <w:rPr>
          <w:i/>
          <w:iCs/>
        </w:rPr>
        <w:t xml:space="preserve">e.g.,</w:t>
      </w:r>
      <w:r>
        <w:t xml:space="preserve"> </w:t>
      </w:r>
      <w:r>
        <w:t xml:space="preserve">understanding energy flows) in a more synthetic setting, whereby these networks do not require any level of species specificity</w:t>
      </w:r>
      <w:r>
        <w:t xml:space="preserve"> </w:t>
      </w:r>
      <w:r>
        <w:rPr>
          <w:i/>
          <w:iCs/>
        </w:rPr>
        <w:t xml:space="preserve">per se</w:t>
      </w:r>
      <w:r>
        <w:t xml:space="preserve"> </w:t>
      </w:r>
      <w:r>
        <w:t xml:space="preserve">and it is more the arrangement of the nodes and links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interactions in the field</w:t>
      </w:r>
      <w:r>
        <w:t xml:space="preserve"> </w:t>
      </w:r>
      <w:r>
        <w:t xml:space="preserve">[5,6]</w:t>
      </w:r>
      <w:r>
        <w:t xml:space="preserve">.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p>
      <w:pPr>
        <w:pStyle w:val="BlockText"/>
      </w:pPr>
      <w:r>
        <w:t xml:space="preserve">Crucially most network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14]</w:t>
      </w:r>
      <w:r>
        <w:t xml:space="preserve">.</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A of 1</w:t>
        </w:r>
      </w:hyperlink>
      <w:r>
        <w:t xml:space="preserve">.</w:t>
      </w:r>
    </w:p>
    <w:p>
      <w:pPr>
        <w:pStyle w:val="FirstParagraph"/>
      </w:pPr>
      <w:r>
        <w:t xml:space="preserve">Because measuring in the field is hard and sometimes we need model systems so we don’t have real data. The bigger reason is that we</w:t>
      </w:r>
      <w:r>
        <w:t xml:space="preserve"> </w:t>
      </w:r>
      <w:r>
        <w:rPr>
          <w:i/>
          <w:iCs/>
        </w:rPr>
        <w:t xml:space="preserve">think</w:t>
      </w:r>
      <w:r>
        <w:t xml:space="preserve"> </w:t>
      </w:r>
      <w:r>
        <w:t xml:space="preserve">that using a network-based approach is really the answer to helping us address some of the more bending issues we toil and think about in the world. Predicting because we want to get an approximation of the real world but also predicting because we want a model of the real world system</w:t>
      </w:r>
    </w:p>
    <w:bookmarkEnd w:id="24"/>
    <w:bookmarkStart w:id="31" w:name="sec-network-anatomy"/>
    <w:p>
      <w:pPr>
        <w:pStyle w:val="Heading2"/>
      </w:pPr>
      <w:r>
        <w:t xml:space="preserve">2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[15]</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t xml:space="preserve">potential or realised feeding links), the magnitude of the edges (</w:t>
      </w:r>
      <w:r>
        <w:rPr>
          <w:i/>
          <w:iCs/>
        </w:rPr>
        <w:t xml:space="preserve">e.g.,</w:t>
      </w:r>
      <w:r>
        <w:t xml:space="preserve"> </w:t>
      </w:r>
      <w:r>
        <w:t xml:space="preserve">binary vs probabilistic), and even how the network itself is delimited (does it represent an aggregation of interactions over time?). It is thus clear that the way that a network is coded (constructed) can influence the resulting observations and conclusions that are made</w:t>
      </w:r>
      <w:r>
        <w:t xml:space="preserve"> </w:t>
      </w:r>
      <w:r>
        <w:t xml:space="preserve">[16,17]</w:t>
      </w:r>
      <w:r>
        <w:t xml:space="preserve">, and it is important to have a strong grasp of what information a network is attempting to convey.</w:t>
      </w:r>
    </w:p>
    <w:bookmarkStart w:id="25" w:name="how-do-we-define-a-node"/>
    <w:p>
      <w:pPr>
        <w:pStyle w:val="Heading3"/>
      </w:pPr>
      <w:r>
        <w:t xml:space="preserve">2.1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w:t>
      </w:r>
      <w:r>
        <w:rPr>
          <w:i/>
          <w:iCs/>
        </w:rPr>
        <w:t xml:space="preserve">e.g.,</w:t>
      </w:r>
      <w:r>
        <w:t xml:space="preserve"> </w:t>
      </w:r>
      <w:r>
        <w:t xml:space="preserve">there are many that do the basal</w:t>
      </w:r>
      <w:r>
        <w:t xml:space="preserve"> </w:t>
      </w:r>
      <w:r>
        <w:t xml:space="preserve">‘</w:t>
      </w:r>
      <w:r>
        <w:t xml:space="preserve">plant/phytoplankton</w:t>
      </w:r>
      <w:r>
        <w:t xml:space="preserve">’</w:t>
      </w:r>
      <w:r>
        <w:t xml:space="preserve"> </w:t>
      </w:r>
      <w:r>
        <w:t xml:space="preserve">node but include at least one REF).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5"/>
    <w:bookmarkStart w:id="26" w:name="what-is-meant-by-an-edge"/>
    <w:p>
      <w:pPr>
        <w:pStyle w:val="Heading3"/>
      </w:pPr>
      <w:r>
        <w:t xml:space="preserve">2.2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[18]</w:t>
      </w:r>
      <w:r>
        <w:t xml:space="preserve"> </w:t>
      </w:r>
      <w:r>
        <w:t xml:space="preserve">or potential</w:t>
      </w:r>
      <w:r>
        <w:t xml:space="preserve"> </w:t>
      </w:r>
      <w:r>
        <w:t xml:space="preserve">[19]</w:t>
      </w:r>
      <w:r>
        <w:t xml:space="preserve"> </w:t>
      </w:r>
      <w:r>
        <w:t xml:space="preserve">feeding links, or energy transfer and material flow</w:t>
      </w:r>
      <w:r>
        <w:t xml:space="preserve"> </w:t>
      </w:r>
      <w:r>
        <w:t xml:space="preserve">[20]</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21]</w:t>
      </w:r>
      <w:r>
        <w:t xml:space="preserve"> </w:t>
      </w:r>
      <w:r>
        <w:t xml:space="preserve">or continuous measurements</w:t>
      </w:r>
      <w:r>
        <w:t xml:space="preserve"> </w:t>
      </w:r>
      <w:r>
        <w:t xml:space="preserve">[which quantifies the effect of one species on another, 22]</w:t>
      </w:r>
      <w:r>
        <w:t xml:space="preserve">. Although there is a clear argument for moving away from a purely binary way of representing interactions [probabilities preprint] this of course also means that there is an additional layer to the interpretation these links.</w:t>
      </w:r>
    </w:p>
    <w:p>
      <w:pPr>
        <w:pStyle w:val="BlockText"/>
      </w:pPr>
      <w:r>
        <w:t xml:space="preserve">[23]</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bookmarkEnd w:id="26"/>
    <w:bookmarkStart w:id="30" w:name="Xd2b304d41a6d0e9195260e2c4114d0b234683e7"/>
    <w:p>
      <w:pPr>
        <w:pStyle w:val="Heading3"/>
      </w:pPr>
      <w:r>
        <w:t xml:space="preserve">2.3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
          <w:iCs/>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[24]</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25]</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
          <w:iCs/>
        </w:rPr>
        <w:t xml:space="preserve">a</w:t>
      </w:r>
      <w:r>
        <w:t xml:space="preserve"> </w:t>
      </w:r>
      <w:r>
        <w:t xml:space="preserve">predate species</w:t>
      </w:r>
      <w:r>
        <w:t xml:space="preserve"> </w:t>
      </w:r>
      <w:r>
        <w:rPr>
          <w:i/>
          <w:iCs/>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[4]</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rPr>
                <w:b/>
                <w:bCs/>
              </w:rPr>
              <w:t xml:space="preserve">Proximity</w:t>
            </w:r>
          </w:p>
          <w:p>
            <w:pPr>
              <w:pStyle w:val="BodyText"/>
            </w:pPr>
            <w:r>
              <w:t xml:space="preserve">We are co-occurring in space and in time and thus we can interact</w:t>
            </w:r>
          </w:p>
          <w:p>
            <w:pPr>
              <w:pStyle w:val="BodyText"/>
            </w:pPr>
            <w:r>
              <w:rPr>
                <w:b/>
                <w:bCs/>
              </w:rPr>
              <w:t xml:space="preserve">Mass-effect</w:t>
            </w:r>
          </w:p>
          <w:p>
            <w:pPr>
              <w:pStyle w:val="BodyText"/>
            </w:pPr>
            <w:r>
              <w:t xml:space="preserve">Our (respective and instantaneous) abundance in that time and space is going to influence how we interact</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4]</w:t>
            </w:r>
          </w:p>
        </w:tc>
      </w:tr>
    </w:tbl>
    <w:bookmarkEnd w:id="30"/>
    <w:bookmarkEnd w:id="31"/>
    <w:bookmarkStart w:id="46"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am I interested in predicting, and what data is available. As shown in panel A of</w:t>
      </w:r>
      <w:r>
        <w:t xml:space="preserve"> </w:t>
      </w:r>
      <w:hyperlink w:anchor="fig-concept">
        <w:r>
          <w:rPr>
            <w:rStyle w:val="Hyperlink"/>
          </w:rPr>
          <w:t xml:space="preserve">Figure 1</w:t>
        </w:r>
      </w:hyperlink>
      <w:r>
        <w:t xml:space="preserve"> </w:t>
      </w:r>
      <w:r>
        <w:t xml:space="preserve">the models that are used to predict a food web tend to focus on only predicting the structure of a network (topology generator) or the interactions for a given species pool (interaction predictor). These models themselves are a reflection of the different goals and intentions of the research program from which they are developed. Models such as the niche</w:t>
      </w:r>
      <w:r>
        <w:t xml:space="preserve"> </w:t>
      </w:r>
      <w:r>
        <w:t xml:space="preserve">[26]</w:t>
      </w:r>
      <w:r>
        <w:t xml:space="preserve"> </w:t>
      </w:r>
      <w:r>
        <w:t xml:space="preserve">or cascade</w:t>
      </w:r>
      <w:r>
        <w:t xml:space="preserve"> </w:t>
      </w:r>
      <w:r>
        <w:t xml:space="preserve">[27]</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[28]</w:t>
      </w:r>
      <w:r>
        <w:t xml:space="preserve">, trait hierarchy</w:t>
      </w:r>
      <w:r>
        <w:t xml:space="preserve"> </w:t>
      </w:r>
      <w:r>
        <w:t xml:space="preserve">[29]</w:t>
      </w:r>
      <w:r>
        <w:t xml:space="preserve">, and the log-ratio</w:t>
      </w:r>
      <w:r>
        <w:t xml:space="preserve"> </w:t>
      </w:r>
      <w:r>
        <w:t xml:space="preserve">[30]</w:t>
      </w:r>
      <w:r>
        <w:t xml:space="preserve"> </w:t>
      </w:r>
      <w:r>
        <w:t xml:space="preserve">models have been developed so as to be used as a tool to determine if species are able to interact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w:t>
      </w:r>
    </w:p>
    <w:bookmarkStart w:id="45"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Models within model families</w:t>
      </w:r>
    </w:p>
    <w:tbl>
      <w:tblPr>
        <w:tblStyle w:val="Table"/>
        <w:tblW w:type="pct" w:w="5000"/>
        <w:tblLayout w:type="fixed"/>
        <w:tblLook w:firstRow="0" w:lastRow="0" w:firstColumn="0" w:lastColumn="0" w:noHBand="0" w:noVBand="0" w:val="0000"/>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[9]</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[31]</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[10]</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ayout w:type="fixed"/>
        <w:tblLook w:firstRow="0" w:lastRow="0" w:firstColumn="0" w:lastColumn="0" w:noHBand="0" w:noVBand="0" w:val="0000"/>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note.png" id="3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1</w:t>
              </w:r>
            </w:hyperlink>
            <w:r>
              <w:t xml:space="preserve">) and linking this back to what aspects of the network (</w:t>
            </w:r>
            <w:hyperlink w:anchor="sec-network-anatomy">
              <w:r>
                <w:rPr>
                  <w:rStyle w:val="Hyperlink"/>
                </w:rPr>
                <w:t xml:space="preserve">Section 2</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[25]</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[32]</w:t>
            </w:r>
            <w:r>
              <w:t xml:space="preserve">.</w:t>
            </w:r>
          </w:p>
          <w:tbl>
            <w:tblPr>
              <w:tblStyle w:val="Table"/>
              <w:tblW w:type="pct" w:w="5000"/>
              <w:tblLayout w:type="fixed"/>
              <w:tblLook w:firstRow="0" w:lastRow="0" w:firstColumn="0" w:lastColumn="0" w:noHBand="0" w:noVBand="0" w:val="0000"/>
            </w:tblPr>
            <w:tblGrid>
              <w:gridCol w:w="7920"/>
            </w:tblGrid>
            <w:tr>
              <w:tc>
                <w:tcPr/>
                <w:bookmarkStart w:id="43" w:name="fig-topology"/>
                <w:p>
                  <w:pPr>
                    <w:pStyle w:val="Compact"/>
                    <w:jc w:val="center"/>
                  </w:pPr>
                  <w:r>
                    <w:drawing>
                      <wp:inline>
                        <wp:extent cx="5334000" cy="3810000"/>
                        <wp:effectExtent b="0" l="0" r="0" t="0"/>
                        <wp:docPr descr="" title="" id="41" name="Picture"/>
                        <a:graphic>
                          <a:graphicData uri="http://schemas.openxmlformats.org/drawingml/2006/picture">
                            <pic:pic>
                              <pic:nvPicPr>
                                <pic:cNvPr descr="index_files/figure-docx/notebooks-model_quantitative-fig-topology-output-2.png" id="42"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[33]</w:t>
                  </w:r>
                  <w:r>
                    <w:t xml:space="preserve">.</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Quantitative approach to topology generators</w:t>
              </w:r>
            </w:hyperlink>
          </w:p>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
                <w:iCs/>
              </w:rPr>
              <w:t xml:space="preserve">sensu</w:t>
            </w:r>
            <w:r>
              <w:t xml:space="preserve"> </w:t>
            </w:r>
            <w:r>
              <w:t xml:space="preserve">[19]</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[14]</w:t>
            </w:r>
            <w:r>
              <w:t xml:space="preserve"> </w:t>
            </w:r>
            <w:r>
              <w:t xml:space="preserve">that discuss how the local factors are going to play a role.</w:t>
            </w:r>
          </w:p>
          <w:p>
            <w:pPr>
              <w:pStyle w:val="BodyText"/>
            </w:pPr>
            <w:pPr>
              <w:spacing w:after="16"/>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[13]</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tc>
      </w:tr>
    </w:tbl>
    <w:bookmarkEnd w:id="45"/>
    <w:bookmarkEnd w:id="46"/>
    <w:bookmarkStart w:id="48" w:name="concluding-remarks"/>
    <w:p>
      <w:pPr>
        <w:pStyle w:val="Heading2"/>
      </w:pPr>
      <w:r>
        <w:t xml:space="preserve">4 Concluding remarks</w:t>
      </w:r>
    </w:p>
    <w:p>
      <w:pPr>
        <w:numPr>
          <w:ilvl w:val="0"/>
          <w:numId w:val="1002"/>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2"/>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[18,34]</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3"/>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numPr>
          <w:ilvl w:val="0"/>
          <w:numId w:val="1002"/>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[9]</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[34]</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4"/>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[13]</w:t>
      </w:r>
      <w:r>
        <w:t xml:space="preserve"> </w:t>
      </w:r>
      <w:r>
        <w:t xml:space="preserve">might have (and share) some thoughts on this (thanks Andrew). I feel like I need to look at</w:t>
      </w:r>
      <w:r>
        <w:t xml:space="preserve"> </w:t>
      </w:r>
      <w:r>
        <w:t xml:space="preserve">[35]</w:t>
      </w:r>
      <w:r>
        <w:t xml:space="preserve"> </w:t>
      </w:r>
      <w:r>
        <w:t xml:space="preserve">but maybe not exactly in this context but vaguely adjacent.</w:t>
      </w:r>
    </w:p>
    <w:p>
      <w:pPr>
        <w:numPr>
          <w:ilvl w:val="0"/>
          <w:numId w:val="1004"/>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4"/>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5"/>
        </w:numPr>
      </w:pPr>
      <w:r>
        <w:t xml:space="preserve">I think this is sort of the crux of the argument presented in</w:t>
      </w:r>
      <w:r>
        <w:t xml:space="preserve"> </w:t>
      </w:r>
      <w:r>
        <w:t xml:space="preserve">[36]</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[32]</w:t>
      </w:r>
    </w:p>
    <w:p>
      <w:pPr>
        <w:numPr>
          <w:ilvl w:val="0"/>
          <w:numId w:val="1006"/>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7"/>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[6]</w:t>
      </w:r>
    </w:p>
    <w:p>
      <w:pPr>
        <w:numPr>
          <w:ilvl w:val="1"/>
          <w:numId w:val="1007"/>
        </w:numPr>
      </w:pPr>
      <w:r>
        <w:t xml:space="preserve">Aligning (dove-tailing) with this the idea of ensemble modelling as presented by</w:t>
      </w:r>
      <w:r>
        <w:t xml:space="preserve"> </w:t>
      </w:r>
      <w:r>
        <w:t xml:space="preserve">[37]</w:t>
      </w:r>
    </w:p>
    <w:p>
      <w:pPr>
        <w:numPr>
          <w:ilvl w:val="0"/>
          <w:numId w:val="1006"/>
        </w:numPr>
      </w:pPr>
      <w:r>
        <w:t xml:space="preserve">It will be interesting to bring up the idea that if a model is missing a specific pairwise link but doing well at the structural level then when does it matter?</w:t>
      </w:r>
    </w:p>
    <w:p>
      <w:pPr>
        <w:numPr>
          <w:ilvl w:val="0"/>
          <w:numId w:val="1006"/>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47" w:name="downsampling"/>
    <w:p>
      <w:pPr>
        <w:pStyle w:val="Heading3"/>
      </w:pPr>
      <w:r>
        <w:t xml:space="preserve">4.1 Downsampling</w:t>
      </w:r>
    </w:p>
    <w:p>
      <w:pPr>
        <w:numPr>
          <w:ilvl w:val="0"/>
          <w:numId w:val="1008"/>
        </w:numPr>
      </w:pPr>
      <w:r>
        <w:t xml:space="preserve">[38]</w:t>
      </w:r>
    </w:p>
    <w:p>
      <w:pPr>
        <w:numPr>
          <w:ilvl w:val="0"/>
          <w:numId w:val="1008"/>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[39]</w:t>
      </w:r>
      <w:r>
        <w:t xml:space="preserve"> </w:t>
      </w:r>
      <w:r>
        <w:t xml:space="preserve">and that we should also start thinking about the interplay of time and space</w:t>
      </w:r>
      <w:r>
        <w:t xml:space="preserve"> </w:t>
      </w:r>
      <w:r>
        <w:t xml:space="preserve">[40]</w:t>
      </w:r>
      <w:r>
        <w:t xml:space="preserve">. Although deciding exactly what measure might actually be driving differences between local networks and the regional metaweb might not be that simple</w:t>
      </w:r>
      <w:r>
        <w:t xml:space="preserve"> </w:t>
      </w:r>
      <w:r>
        <w:t xml:space="preserve">[41]</w:t>
      </w:r>
      <w:r>
        <w:t xml:space="preserve">.</w:t>
      </w:r>
      <w:r>
        <w:t xml:space="preserve">”</w:t>
      </w:r>
    </w:p>
    <w:bookmarkEnd w:id="47"/>
    <w:bookmarkEnd w:id="48"/>
    <w:bookmarkStart w:id="49"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network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49"/>
    <w:bookmarkStart w:id="50" w:name="outstanding-questions"/>
    <w:p>
      <w:pPr>
        <w:pStyle w:val="Heading2"/>
      </w:pPr>
      <w:r>
        <w:t xml:space="preserve">Outstanding questions</w:t>
      </w:r>
    </w:p>
    <w:p>
      <w:pPr>
        <w:numPr>
          <w:ilvl w:val="0"/>
          <w:numId w:val="1009"/>
        </w:numPr>
      </w:pPr>
      <w:r>
        <w:t xml:space="preserve">non-consumptive effects</w:t>
      </w:r>
    </w:p>
    <w:p>
      <w:pPr>
        <w:numPr>
          <w:ilvl w:val="0"/>
          <w:numId w:val="1009"/>
        </w:numPr>
      </w:pPr>
      <w:r>
        <w:t xml:space="preserve">can we develop a model that is both an topology generator as well as an interaction predictor?</w:t>
      </w:r>
    </w:p>
    <w:bookmarkEnd w:id="50"/>
    <w:bookmarkStart w:id="130" w:name="references"/>
    <w:p>
      <w:pPr>
        <w:pStyle w:val="Heading2"/>
      </w:pPr>
      <w:r>
        <w:t xml:space="preserve">References</w:t>
      </w:r>
    </w:p>
    <w:bookmarkStart w:id="129" w:name="refs"/>
    <w:bookmarkStart w:id="52" w:name="ref-hortalSevenShortfallsThat2015"/>
    <w:p>
      <w:pPr>
        <w:pStyle w:val="Bibliography"/>
      </w:pPr>
      <w:r>
        <w:t xml:space="preserve">1.</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1">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2"/>
    <w:bookmarkStart w:id="54" w:name="ref-poisotGlobalKnowledgeGaps2021"/>
    <w:p>
      <w:pPr>
        <w:pStyle w:val="Bibliography"/>
      </w:pPr>
      <w:r>
        <w:t xml:space="preserve">2.</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3">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54"/>
    <w:bookmarkStart w:id="56" w:name="Xf53c03f1c3fea4e4289657cbb0682f5f23e8b1d"/>
    <w:p>
      <w:pPr>
        <w:pStyle w:val="Bibliography"/>
      </w:pPr>
      <w:r>
        <w:t xml:space="preserve">3.</w:t>
      </w:r>
      <w:r>
        <w:t xml:space="preserve"> </w:t>
      </w:r>
      <w:r>
        <w:t xml:space="preserve">	</w:t>
      </w:r>
      <w:r>
        <w:t xml:space="preserve">Jordano, P. (2016)</w:t>
      </w:r>
      <w:r>
        <w:t xml:space="preserve"> </w:t>
      </w:r>
      <w:hyperlink r:id="rId55">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6"/>
    <w:bookmarkStart w:id="58" w:name="X2d6834cb08966b7d5da0c61c80079bb46b07a34"/>
    <w:p>
      <w:pPr>
        <w:pStyle w:val="Bibliography"/>
      </w:pPr>
      <w:r>
        <w:t xml:space="preserve">4.</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7">
        <w:r>
          <w:rPr>
            <w:rStyle w:val="Hyperlink"/>
          </w:rPr>
          <w:t xml:space="preserve">10.1111/1365-2435.12763</w:t>
        </w:r>
      </w:hyperlink>
    </w:p>
    <w:bookmarkEnd w:id="58"/>
    <w:bookmarkStart w:id="60" w:name="X9a5602d39772ae027b885bf5c9cb3d36ba71c0c"/>
    <w:p>
      <w:pPr>
        <w:pStyle w:val="Bibliography"/>
      </w:pPr>
      <w:r>
        <w:t xml:space="preserve">5.</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59">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0"/>
    <w:bookmarkStart w:id="62" w:name="ref-strydomRoadmapPredictingSpecies2021"/>
    <w:p>
      <w:pPr>
        <w:pStyle w:val="Bibliography"/>
      </w:pPr>
      <w:r>
        <w:t xml:space="preserve">6.</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1">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2"/>
    <w:bookmarkStart w:id="64" w:name="ref-strydomFoodWebReconstruction2022"/>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3">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4"/>
    <w:bookmarkStart w:id="66" w:name="ref-petcheySizeForagingFood2008"/>
    <w:p>
      <w:pPr>
        <w:pStyle w:val="Bibliography"/>
      </w:pPr>
      <w:r>
        <w:t xml:space="preserve">8.</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5">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66"/>
    <w:bookmarkStart w:id="68" w:name="ref-williamsSuccessItsLimits2008"/>
    <w:p>
      <w:pPr>
        <w:pStyle w:val="Bibliography"/>
      </w:pPr>
      <w:r>
        <w:t xml:space="preserve">9.</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68"/>
    <w:bookmarkStart w:id="70" w:name="ref-pichlerMachineLearningAlgorithms2020"/>
    <w:p>
      <w:pPr>
        <w:pStyle w:val="Bibliography"/>
      </w:pPr>
      <w:r>
        <w:t xml:space="preserve">10.</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0"/>
    <w:bookmarkStart w:id="72" w:name="X17a301eebb3c5bc57992fd8c229d26f33144785"/>
    <w:p>
      <w:pPr>
        <w:pStyle w:val="Bibliography"/>
      </w:pPr>
      <w:r>
        <w:t xml:space="preserve">11.</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1">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2"/>
    <w:bookmarkStart w:id="74" w:name="X31a4fa003bce600ed04df56db844e85b8f7350e"/>
    <w:p>
      <w:pPr>
        <w:pStyle w:val="Bibliography"/>
      </w:pPr>
      <w:r>
        <w:t xml:space="preserve">12.</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3">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4"/>
    <w:bookmarkStart w:id="76" w:name="ref-petcheyFitEfficiencyBiology2011"/>
    <w:p>
      <w:pPr>
        <w:pStyle w:val="Bibliography"/>
      </w:pPr>
      <w:r>
        <w:t xml:space="preserve">13.</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5">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76"/>
    <w:bookmarkStart w:id="78" w:name="ref-poisotSpeciesWhyEcological2015"/>
    <w:p>
      <w:pPr>
        <w:pStyle w:val="Bibliography"/>
      </w:pPr>
      <w:r>
        <w:t xml:space="preserve">14.</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77">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78"/>
    <w:bookmarkStart w:id="80" w:name="ref-poisotDescribeUnderstandPredict2016"/>
    <w:p>
      <w:pPr>
        <w:pStyle w:val="Bibliography"/>
      </w:pPr>
      <w:r>
        <w:t xml:space="preserve">15.</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9">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0"/>
    <w:bookmarkStart w:id="82" w:name="ref-proulxNetworkThinkingEcology2005"/>
    <w:p>
      <w:pPr>
        <w:pStyle w:val="Bibliography"/>
      </w:pPr>
      <w:r>
        <w:t xml:space="preserve">16.</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81">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82"/>
    <w:bookmarkStart w:id="84" w:name="X539896ce86e228708f5963ceeaf0e82711f0c07"/>
    <w:p>
      <w:pPr>
        <w:pStyle w:val="Bibliography"/>
      </w:pPr>
      <w:r>
        <w:t xml:space="preserve">17.</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83">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84"/>
    <w:bookmarkStart w:id="86" w:name="ref-pringleUntanglingFoodWebs2020"/>
    <w:p>
      <w:pPr>
        <w:pStyle w:val="Bibliography"/>
      </w:pPr>
      <w:r>
        <w:t xml:space="preserve">18.</w:t>
      </w:r>
      <w:r>
        <w:t xml:space="preserve"> </w:t>
      </w:r>
      <w:r>
        <w:t xml:space="preserve">	</w:t>
      </w:r>
      <w:r>
        <w:t xml:space="preserve">Pringle, R.M. (2020)</w:t>
      </w:r>
      <w:r>
        <w:t xml:space="preserve"> </w:t>
      </w:r>
      <w:hyperlink r:id="rId85">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86"/>
    <w:bookmarkStart w:id="87" w:name="ref-dunneNetworkStructureFood2006"/>
    <w:p>
      <w:pPr>
        <w:pStyle w:val="Bibliography"/>
      </w:pPr>
      <w:r>
        <w:t xml:space="preserve">19.</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87"/>
    <w:bookmarkStart w:id="89" w:name="Xe227781537312aad81566d289906b7942bbcf13"/>
    <w:p>
      <w:pPr>
        <w:pStyle w:val="Bibliography"/>
      </w:pPr>
      <w:r>
        <w:t xml:space="preserve">20.</w:t>
      </w:r>
      <w:r>
        <w:t xml:space="preserve"> </w:t>
      </w:r>
      <w:r>
        <w:t xml:space="preserve">	</w:t>
      </w:r>
      <w:r>
        <w:t xml:space="preserve">Lindeman, R.L. (1942)</w:t>
      </w:r>
      <w:r>
        <w:t xml:space="preserve"> </w:t>
      </w:r>
      <w:hyperlink r:id="rId88">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89"/>
    <w:bookmarkStart w:id="91" w:name="Xaad5d089781464e09d30bec824bd68c468804d7"/>
    <w:p>
      <w:pPr>
        <w:pStyle w:val="Bibliography"/>
      </w:pPr>
      <w:r>
        <w:t xml:space="preserve">21.</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0">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1"/>
    <w:bookmarkStart w:id="93" w:name="ref-berlowInteractionStrengthsFood2004"/>
    <w:p>
      <w:pPr>
        <w:pStyle w:val="Bibliography"/>
      </w:pPr>
      <w:r>
        <w:t xml:space="preserve">22.</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2">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3"/>
    <w:bookmarkStart w:id="95" w:name="ref-cohenStochasticTheoryCommunity1985"/>
    <w:p>
      <w:pPr>
        <w:pStyle w:val="Bibliography"/>
      </w:pPr>
      <w:r>
        <w:t xml:space="preserve">23.</w:t>
      </w:r>
      <w:r>
        <w:t xml:space="preserve"> </w:t>
      </w:r>
      <w:r>
        <w:t xml:space="preserve">	</w:t>
      </w:r>
      <w:r>
        <w:t xml:space="preserve">Cohen, J.E.</w:t>
      </w:r>
      <w:r>
        <w:t xml:space="preserve"> </w:t>
      </w:r>
      <w:r>
        <w:rPr>
          <w:i/>
          <w:iCs/>
        </w:rPr>
        <w:t xml:space="preserve">et al.</w:t>
      </w:r>
      <w:r>
        <w:t xml:space="preserve"> </w:t>
      </w:r>
      <w:r>
        <w:t xml:space="preserve">(1985)</w:t>
      </w:r>
      <w:r>
        <w:t xml:space="preserve"> </w:t>
      </w:r>
      <w:hyperlink r:id="rId94">
        <w:r>
          <w:rPr>
            <w:rStyle w:val="Hyperlink"/>
          </w:rPr>
          <w:t xml:space="preserve">A stochastic theory of community food webs</w:t>
        </w:r>
        <w:r>
          <w:rPr>
            <w:rStyle w:val="Hyperlink"/>
          </w:rPr>
          <w:t xml:space="preserve"> </w:t>
        </w:r>
        <w:r>
          <w:rPr>
            <w:rStyle w:val="Hyperlink"/>
          </w:rPr>
          <w:t xml:space="preserve">I</w:t>
        </w:r>
        <w:r>
          <w:rPr>
            <w:rStyle w:val="Hyperlink"/>
          </w:rPr>
          <w:t xml:space="preserve">.</w:t>
        </w:r>
        <w:r>
          <w:rPr>
            <w:rStyle w:val="Hyperlink"/>
          </w:rPr>
          <w:t xml:space="preserve"> </w:t>
        </w:r>
        <w:r>
          <w:rPr>
            <w:rStyle w:val="Hyperlink"/>
          </w:rPr>
          <w:t xml:space="preserve">Models</w:t>
        </w:r>
        <w:r>
          <w:rPr>
            <w:rStyle w:val="Hyperlink"/>
          </w:rPr>
          <w:t xml:space="preserve"> </w:t>
        </w:r>
        <w:r>
          <w:rPr>
            <w:rStyle w:val="Hyperlink"/>
          </w:rPr>
          <w:t xml:space="preserve">and aggregated data</w:t>
        </w:r>
      </w:hyperlink>
      <w:r>
        <w:t xml:space="preserve">.</w:t>
      </w:r>
      <w:r>
        <w:t xml:space="preserve"> </w:t>
      </w:r>
      <w:r>
        <w:rPr>
          <w:i/>
          <w:iCs/>
        </w:rPr>
        <w:t xml:space="preserve">Proceedings of the Royal Society of London. Series B. Biological Sciences</w:t>
      </w:r>
      <w:r>
        <w:t xml:space="preserve"> </w:t>
      </w:r>
      <w:r>
        <w:t xml:space="preserve">224, 421–448</w:t>
      </w:r>
    </w:p>
    <w:bookmarkEnd w:id="95"/>
    <w:bookmarkStart w:id="97" w:name="ref-cohenFoodWebsDimensionality1977"/>
    <w:p>
      <w:pPr>
        <w:pStyle w:val="Bibliography"/>
      </w:pPr>
      <w:r>
        <w:t xml:space="preserve">24.</w:t>
      </w:r>
      <w:r>
        <w:t xml:space="preserve"> </w:t>
      </w:r>
      <w:r>
        <w:t xml:space="preserve">	</w:t>
      </w:r>
      <w:r>
        <w:t xml:space="preserve">Cohen, J.E. (1977)</w:t>
      </w:r>
      <w:r>
        <w:t xml:space="preserve"> </w:t>
      </w:r>
      <w:hyperlink r:id="rId96">
        <w:r>
          <w:rPr>
            <w:rStyle w:val="Hyperlink"/>
          </w:rPr>
          <w:t xml:space="preserve">Food webs and the dimensionality of trophic niche space</w:t>
        </w:r>
      </w:hyperlink>
      <w:r>
        <w:t xml:space="preserve">.</w:t>
      </w:r>
      <w:r>
        <w:t xml:space="preserve"> </w:t>
      </w:r>
      <w:r>
        <w:rPr>
          <w:i/>
          <w:iCs/>
        </w:rPr>
        <w:t xml:space="preserve">Proceedings of the National Academy of Sciences</w:t>
      </w:r>
      <w:r>
        <w:t xml:space="preserve"> </w:t>
      </w:r>
      <w:r>
        <w:t xml:space="preserve">74, 4533–4536</w:t>
      </w:r>
    </w:p>
    <w:bookmarkEnd w:id="97"/>
    <w:bookmarkStart w:id="99" w:name="ref-allesinaGeneralModelFood2008"/>
    <w:p>
      <w:pPr>
        <w:pStyle w:val="Bibliography"/>
      </w:pPr>
      <w:r>
        <w:t xml:space="preserve">25.</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98">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99"/>
    <w:bookmarkStart w:id="101" w:name="ref-williamsSimpleRulesYield2000"/>
    <w:p>
      <w:pPr>
        <w:pStyle w:val="Bibliography"/>
      </w:pPr>
      <w:r>
        <w:t xml:space="preserve">26.</w:t>
      </w:r>
      <w:r>
        <w:t xml:space="preserve"> </w:t>
      </w:r>
      <w:r>
        <w:t xml:space="preserve">	</w:t>
      </w:r>
      <w:r>
        <w:t xml:space="preserve">Williams, R.J. and Martinez, N.D. (2000)</w:t>
      </w:r>
      <w:r>
        <w:t xml:space="preserve"> </w:t>
      </w:r>
      <w:hyperlink r:id="rId100">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101"/>
    <w:bookmarkStart w:id="102" w:name="ref-cohenCommunityFoodWebs1990"/>
    <w:p>
      <w:pPr>
        <w:pStyle w:val="Bibliography"/>
      </w:pPr>
      <w:r>
        <w:t xml:space="preserve">27.</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02"/>
    <w:bookmarkStart w:id="104" w:name="Xb1d8b6b275822be1886d160023287af73cce966"/>
    <w:p>
      <w:pPr>
        <w:pStyle w:val="Bibliography"/>
      </w:pPr>
      <w:r>
        <w:t xml:space="preserve">28.</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03">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0</w:t>
      </w:r>
    </w:p>
    <w:bookmarkEnd w:id="104"/>
    <w:bookmarkStart w:id="106" w:name="X0fb50f1746fa9d2b24f89ed5bfe6ae1a2f58cc2"/>
    <w:p>
      <w:pPr>
        <w:pStyle w:val="Bibliography"/>
      </w:pPr>
      <w:r>
        <w:t xml:space="preserve">29.</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05">
        <w:r>
          <w:rPr>
            <w:rStyle w:val="Hyperlink"/>
          </w:rPr>
          <w:t xml:space="preserve">A framework for reconstructing ancient food webs using functional trait data</w:t>
        </w:r>
      </w:hyperlink>
      <w:r>
        <w:t xml:space="preserve">bioRxiv, 2024.01.30.578036</w:t>
      </w:r>
    </w:p>
    <w:bookmarkEnd w:id="106"/>
    <w:bookmarkStart w:id="108" w:name="ref-rohrModelingFoodWebs2010"/>
    <w:p>
      <w:pPr>
        <w:pStyle w:val="Bibliography"/>
      </w:pPr>
      <w:r>
        <w:t xml:space="preserve">30.</w:t>
      </w:r>
      <w:r>
        <w:t xml:space="preserve"> </w:t>
      </w:r>
      <w:r>
        <w:t xml:space="preserve">	</w:t>
      </w:r>
      <w:r>
        <w:t xml:space="preserve">Rohr, R.P.</w:t>
      </w:r>
      <w:r>
        <w:t xml:space="preserve"> </w:t>
      </w:r>
      <w:r>
        <w:rPr>
          <w:i/>
          <w:iCs/>
        </w:rPr>
        <w:t xml:space="preserve">et al.</w:t>
      </w:r>
      <w:r>
        <w:t xml:space="preserve"> </w:t>
      </w:r>
      <w:r>
        <w:t xml:space="preserve">(2010)</w:t>
      </w:r>
      <w:r>
        <w:t xml:space="preserve"> </w:t>
      </w:r>
      <w:hyperlink r:id="rId107">
        <w:r>
          <w:rPr>
            <w:rStyle w:val="Hyperlink"/>
          </w:rPr>
          <w:t xml:space="preserve">Modeling</w:t>
        </w:r>
        <w:r>
          <w:rPr>
            <w:rStyle w:val="Hyperlink"/>
          </w:rPr>
          <w:t xml:space="preserve"> </w:t>
        </w:r>
        <w:r>
          <w:rPr>
            <w:rStyle w:val="Hyperlink"/>
          </w:rPr>
          <w:t xml:space="preserve">Food Webs</w:t>
        </w:r>
        <w:r>
          <w:rPr>
            <w:rStyle w:val="Hyperlink"/>
          </w:rPr>
          <w:t xml:space="preserve">:</w:t>
        </w:r>
        <w:r>
          <w:rPr>
            <w:rStyle w:val="Hyperlink"/>
          </w:rPr>
          <w:t xml:space="preserve"> </w:t>
        </w:r>
        <w:r>
          <w:rPr>
            <w:rStyle w:val="Hyperlink"/>
          </w:rPr>
          <w:t xml:space="preserve">Exploring Unexplained Structure Using Latent Traits</w:t>
        </w:r>
        <w:r>
          <w:rPr>
            <w:rStyle w:val="Hyperlink"/>
          </w:rPr>
          <w:t xml:space="preserve">.</w:t>
        </w:r>
      </w:hyperlink>
      <w:r>
        <w:t xml:space="preserve"> </w:t>
      </w:r>
      <w:r>
        <w:rPr>
          <w:i/>
          <w:iCs/>
        </w:rPr>
        <w:t xml:space="preserve">The American Naturalist</w:t>
      </w:r>
      <w:r>
        <w:t xml:space="preserve"> </w:t>
      </w:r>
      <w:r>
        <w:t xml:space="preserve">176, 170–177</w:t>
      </w:r>
    </w:p>
    <w:bookmarkEnd w:id="108"/>
    <w:bookmarkStart w:id="110" w:name="ref-strydomGraphEmbeddingTransfer2023"/>
    <w:p>
      <w:pPr>
        <w:pStyle w:val="Bibliography"/>
      </w:pPr>
      <w:r>
        <w:t xml:space="preserve">31.</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09">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0"/>
    <w:bookmarkStart w:id="112" w:name="X023758d2a089016cd8f0c9d2421079cf7d062ff"/>
    <w:p>
      <w:pPr>
        <w:pStyle w:val="Bibliography"/>
      </w:pPr>
      <w:r>
        <w:t xml:space="preserve">32.</w:t>
      </w:r>
      <w:r>
        <w:t xml:space="preserve"> </w:t>
      </w:r>
      <w:r>
        <w:t xml:space="preserve">	</w:t>
      </w:r>
      <w:r>
        <w:t xml:space="preserve">Poisot, T. (2023)</w:t>
      </w:r>
      <w:r>
        <w:t xml:space="preserve"> </w:t>
      </w:r>
      <w:hyperlink r:id="rId111">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2"/>
    <w:bookmarkStart w:id="114" w:name="ref-stoufferEvidenceExistenceRobust2007"/>
    <w:p>
      <w:pPr>
        <w:pStyle w:val="Bibliography"/>
      </w:pPr>
      <w:r>
        <w:t xml:space="preserve">33.</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3">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14"/>
    <w:bookmarkStart w:id="116" w:name="ref-pringleResolvingFoodWebStructure2020"/>
    <w:p>
      <w:pPr>
        <w:pStyle w:val="Bibliography"/>
      </w:pPr>
      <w:r>
        <w:t xml:space="preserve">34.</w:t>
      </w:r>
      <w:r>
        <w:t xml:space="preserve"> </w:t>
      </w:r>
      <w:r>
        <w:t xml:space="preserve">	</w:t>
      </w:r>
      <w:r>
        <w:t xml:space="preserve">Pringle, R.M. and Hutchinson, M.C. (2020)</w:t>
      </w:r>
      <w:r>
        <w:t xml:space="preserve"> </w:t>
      </w:r>
      <w:hyperlink r:id="rId115">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16"/>
    <w:bookmarkStart w:id="118" w:name="ref-berlowGoldilocksFactorFood2008"/>
    <w:p>
      <w:pPr>
        <w:pStyle w:val="Bibliography"/>
      </w:pPr>
      <w:r>
        <w:t xml:space="preserve">35.</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17">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18"/>
    <w:bookmarkStart w:id="120" w:name="ref-brimacombeApplyingMethodIts2024"/>
    <w:p>
      <w:pPr>
        <w:pStyle w:val="Bibliography"/>
      </w:pPr>
      <w:r>
        <w:t xml:space="preserve">36.</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19">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20"/>
    <w:bookmarkStart w:id="122" w:name="ref-beckerOptimisingPredictiveModels2022"/>
    <w:p>
      <w:pPr>
        <w:pStyle w:val="Bibliography"/>
      </w:pPr>
      <w:r>
        <w:t xml:space="preserve">37.</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21">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22"/>
    <w:bookmarkStart w:id="123" w:name="X1edd2253d2e7e8e6db9e7574240f432ddda2ce1"/>
    <w:p>
      <w:pPr>
        <w:pStyle w:val="Bibliography"/>
      </w:pPr>
      <w:r>
        <w:t xml:space="preserve">38.</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23"/>
    <w:bookmarkStart w:id="125" w:name="ref-fortinNetworkEcologyDynamic2021"/>
    <w:p>
      <w:pPr>
        <w:pStyle w:val="Bibliography"/>
      </w:pPr>
      <w:r>
        <w:t xml:space="preserve">39.</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24">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25"/>
    <w:bookmarkStart w:id="126" w:name="ref-estayEditorialPatternsProcesses2023"/>
    <w:p>
      <w:pPr>
        <w:pStyle w:val="Bibliography"/>
      </w:pPr>
      <w:r>
        <w:t xml:space="preserve">40.</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26"/>
    <w:bookmarkStart w:id="128" w:name="ref-saraviaEcologicalNetworkAssembly2022"/>
    <w:p>
      <w:pPr>
        <w:pStyle w:val="Bibliography"/>
      </w:pPr>
      <w:r>
        <w:t xml:space="preserve">41.</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27">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28"/>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90" Target="https://doi.org/10" TargetMode="External" /><Relationship Type="http://schemas.openxmlformats.org/officeDocument/2006/relationships/hyperlink" Id="rId121"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1"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100"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7" Target="https://doi.org/10.1073/pnas.0800967105" TargetMode="External" /><Relationship Type="http://schemas.openxmlformats.org/officeDocument/2006/relationships/hyperlink" Id="rId96" Target="https://doi.org/10.1073/pnas.74.10.4533" TargetMode="External" /><Relationship Type="http://schemas.openxmlformats.org/officeDocument/2006/relationships/hyperlink" Id="rId107" Target="https://doi.org/10.1086/653667" TargetMode="External" /><Relationship Type="http://schemas.openxmlformats.org/officeDocument/2006/relationships/hyperlink" Id="rId94" Target="https://doi.org/10.1098/rspb.1985.0042" TargetMode="External" /><Relationship Type="http://schemas.openxmlformats.org/officeDocument/2006/relationships/hyperlink" Id="rId113" Target="https://doi.org/10.1098/rspb.2007.0571" TargetMode="External" /><Relationship Type="http://schemas.openxmlformats.org/officeDocument/2006/relationships/hyperlink" Id="rId124"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5"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7" Target="https://doi.org/10.1111/1365-2656.13652" TargetMode="External" /><Relationship Type="http://schemas.openxmlformats.org/officeDocument/2006/relationships/hyperlink" Id="rId103"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1"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2"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77" Target="https://doi.org/10.1111/oik.01719" TargetMode="External" /><Relationship Type="http://schemas.openxmlformats.org/officeDocument/2006/relationships/hyperlink" Id="rId98" Target="https://doi.org/10.1126/science.1156269" TargetMode="External" /><Relationship Type="http://schemas.openxmlformats.org/officeDocument/2006/relationships/hyperlink" Id="rId115"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19" Target="https://doi.org/10.13140/RG.2.2.22076.65927" TargetMode="External" /><Relationship Type="http://schemas.openxmlformats.org/officeDocument/2006/relationships/hyperlink" Id="rId55" Target="https://doi.org/10.1371/journal.pbio.1002559" TargetMode="External" /><Relationship Type="http://schemas.openxmlformats.org/officeDocument/2006/relationships/hyperlink" Id="rId83"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79" Target="https://www.jstor.org/stable/48582345"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4" Target="https://BecksLab.github.io/ms_t_is_for_topology/notebooks/model_quantitative-preview.html#cell-fig-topology" TargetMode="External" /><Relationship Type="http://schemas.openxmlformats.org/officeDocument/2006/relationships/hyperlink" Id="rId90" Target="https://doi.org/10" TargetMode="External" /><Relationship Type="http://schemas.openxmlformats.org/officeDocument/2006/relationships/hyperlink" Id="rId121" Target="https://doi.org/10.1016/S2666-5247(21)00245-7" TargetMode="External" /><Relationship Type="http://schemas.openxmlformats.org/officeDocument/2006/relationships/hyperlink" Id="rId75" Target="https://doi.org/10.1016/j.jtbi.2011.03.019" TargetMode="External" /><Relationship Type="http://schemas.openxmlformats.org/officeDocument/2006/relationships/hyperlink" Id="rId81" Target="https://doi.org/10.1016/j.tree.2005.04.004" TargetMode="External" /><Relationship Type="http://schemas.openxmlformats.org/officeDocument/2006/relationships/hyperlink" Id="rId59" Target="https://doi.org/10.1016/j.tree.2015.03.014" TargetMode="External" /><Relationship Type="http://schemas.openxmlformats.org/officeDocument/2006/relationships/hyperlink" Id="rId100" Target="https://doi.org/10.1038/35004572" TargetMode="External" /><Relationship Type="http://schemas.openxmlformats.org/officeDocument/2006/relationships/hyperlink" Id="rId71" Target="https://doi.org/10.1038/s42003-023-05622-3" TargetMode="External" /><Relationship Type="http://schemas.openxmlformats.org/officeDocument/2006/relationships/hyperlink" Id="rId65" Target="https://doi.org/10.1073/pnas.0710672105" TargetMode="External" /><Relationship Type="http://schemas.openxmlformats.org/officeDocument/2006/relationships/hyperlink" Id="rId117" Target="https://doi.org/10.1073/pnas.0800967105" TargetMode="External" /><Relationship Type="http://schemas.openxmlformats.org/officeDocument/2006/relationships/hyperlink" Id="rId96" Target="https://doi.org/10.1073/pnas.74.10.4533" TargetMode="External" /><Relationship Type="http://schemas.openxmlformats.org/officeDocument/2006/relationships/hyperlink" Id="rId107" Target="https://doi.org/10.1086/653667" TargetMode="External" /><Relationship Type="http://schemas.openxmlformats.org/officeDocument/2006/relationships/hyperlink" Id="rId94" Target="https://doi.org/10.1098/rspb.1985.0042" TargetMode="External" /><Relationship Type="http://schemas.openxmlformats.org/officeDocument/2006/relationships/hyperlink" Id="rId113" Target="https://doi.org/10.1098/rspb.2007.0571" TargetMode="External" /><Relationship Type="http://schemas.openxmlformats.org/officeDocument/2006/relationships/hyperlink" Id="rId124" Target="https://doi.org/10.1098/rspb.2020.1889" TargetMode="External" /><Relationship Type="http://schemas.openxmlformats.org/officeDocument/2006/relationships/hyperlink" Id="rId61" Target="https://doi.org/10.1098/rstb.2021.0063" TargetMode="External" /><Relationship Type="http://schemas.openxmlformats.org/officeDocument/2006/relationships/hyperlink" Id="rId105" Target="https://doi.org/10.1101/2024.01.30.578036" TargetMode="External" /><Relationship Type="http://schemas.openxmlformats.org/officeDocument/2006/relationships/hyperlink" Id="rId57" Target="https://doi.org/10.1111/1365-2435.12763" TargetMode="External" /><Relationship Type="http://schemas.openxmlformats.org/officeDocument/2006/relationships/hyperlink" Id="rId127" Target="https://doi.org/10.1111/1365-2656.13652" TargetMode="External" /><Relationship Type="http://schemas.openxmlformats.org/officeDocument/2006/relationships/hyperlink" Id="rId103" Target="https://doi.org/10.1111/2041-210X.13180" TargetMode="External" /><Relationship Type="http://schemas.openxmlformats.org/officeDocument/2006/relationships/hyperlink" Id="rId69" Target="https://doi.org/10.1111/2041-210X.13329" TargetMode="External" /><Relationship Type="http://schemas.openxmlformats.org/officeDocument/2006/relationships/hyperlink" Id="rId63" Target="https://doi.org/10.1111/2041-210X.13835" TargetMode="External" /><Relationship Type="http://schemas.openxmlformats.org/officeDocument/2006/relationships/hyperlink" Id="rId111" Target="https://doi.org/10.1111/2041-210X.14071" TargetMode="External" /><Relationship Type="http://schemas.openxmlformats.org/officeDocument/2006/relationships/hyperlink" Id="rId109" Target="https://doi.org/10.1111/2041-210X.14228" TargetMode="External" /><Relationship Type="http://schemas.openxmlformats.org/officeDocument/2006/relationships/hyperlink" Id="rId92"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53" Target="https://doi.org/10.1111/jbi.14127" TargetMode="External" /><Relationship Type="http://schemas.openxmlformats.org/officeDocument/2006/relationships/hyperlink" Id="rId73" Target="https://doi.org/10.1111/jbi.14734" TargetMode="External" /><Relationship Type="http://schemas.openxmlformats.org/officeDocument/2006/relationships/hyperlink" Id="rId77" Target="https://doi.org/10.1111/oik.01719" TargetMode="External" /><Relationship Type="http://schemas.openxmlformats.org/officeDocument/2006/relationships/hyperlink" Id="rId98" Target="https://doi.org/10.1126/science.1156269" TargetMode="External" /><Relationship Type="http://schemas.openxmlformats.org/officeDocument/2006/relationships/hyperlink" Id="rId115" Target="https://doi.org/10.1146/annurev-ecolsys-110218-024908" TargetMode="External" /><Relationship Type="http://schemas.openxmlformats.org/officeDocument/2006/relationships/hyperlink" Id="rId51" Target="https://doi.org/10.1146/annurev-ecolsys-112414-054400" TargetMode="External" /><Relationship Type="http://schemas.openxmlformats.org/officeDocument/2006/relationships/hyperlink" Id="rId119" Target="https://doi.org/10.13140/RG.2.2.22076.65927" TargetMode="External" /><Relationship Type="http://schemas.openxmlformats.org/officeDocument/2006/relationships/hyperlink" Id="rId55" Target="https://doi.org/10.1371/journal.pbio.1002559" TargetMode="External" /><Relationship Type="http://schemas.openxmlformats.org/officeDocument/2006/relationships/hyperlink" Id="rId83" Target="https://doi.org/10.1371/journal.pbio.3002068" TargetMode="External" /><Relationship Type="http://schemas.openxmlformats.org/officeDocument/2006/relationships/hyperlink" Id="rId85" Target="https://doi.org/10.1515/9780691195322-020" TargetMode="External" /><Relationship Type="http://schemas.openxmlformats.org/officeDocument/2006/relationships/hyperlink" Id="rId88" Target="https://doi.org/10.2307/1930126" TargetMode="External" /><Relationship Type="http://schemas.openxmlformats.org/officeDocument/2006/relationships/hyperlink" Id="rId79" Target="https://www.jstor.org/stable/485823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2024-05-09T14:42:36Z</dcterms:created>
  <dcterms:modified xsi:type="dcterms:W3CDTF">2024-05-09T14:42:36Z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2024-05-09</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