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34.png" ContentType="image/png"/>
  <Override PartName="/word/media/rId38.jpg" ContentType="image/jpeg"/>
  <Override PartName="/word/media/rId57.png" ContentType="image/png"/>
  <Override PartName="/word/media/rId30.jpg" ContentType="image/jpeg"/>
  <Override PartName="/word/media/rId47.png" ContentType="image/png"/>
  <Override PartName="/word/media/rId42.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Darwin’s</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secondly has been the need to develop a set of tools and terminology to construct, conceptualise, and analyse these networks. Although measuring interactions in the field remains a challenge the development of both practical tools (</w:t>
      </w:r>
      <w:r>
        <w:rPr>
          <w:i/>
          <w:iCs/>
        </w:rPr>
        <w:t xml:space="preserve">i.e.,</w:t>
      </w:r>
      <w:r>
        <w:t xml:space="preserve"> </w:t>
      </w:r>
      <w:r>
        <w:t xml:space="preserve">tools that help as record predictions,</w:t>
      </w:r>
      <w:r>
        <w:t xml:space="preserve"> </w:t>
      </w:r>
      <w:r>
        <w:t xml:space="preserve">(e.g. ref maybe Pringle and Hutchinson 2020)</w:t>
      </w:r>
      <w:r>
        <w:t xml:space="preserve">)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w:t>
      </w:r>
      <w:r>
        <w:t xml:space="preserve"> </w:t>
      </w:r>
      <w:r>
        <w:t xml:space="preserve">(Dale and Fortin 2010)</w:t>
      </w:r>
      <w:r>
        <w:t xml:space="preserve">, properties</w:t>
      </w:r>
      <w:r>
        <w:t xml:space="preserve"> </w:t>
      </w:r>
      <w:r>
        <w:t xml:space="preserve">(Delmas et al. 2019)</w:t>
      </w:r>
      <w:r>
        <w:t xml:space="preserve"> </w:t>
      </w:r>
      <w:r>
        <w:t xml:space="preserve">of networks. All together these tools means that as a field network ecology can (and should) be integrated into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4"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plant/plant ally</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w:t>
      </w:r>
      <w:r>
        <w:t xml:space="preserve"> </w:t>
      </w:r>
      <w:r>
        <w:t xml:space="preserve">‘</w:t>
      </w:r>
      <w:r>
        <w:t xml:space="preserve">low-resolution</w:t>
      </w:r>
      <w:r>
        <w:t xml:space="preserve">’</w:t>
      </w:r>
      <w:r>
        <w:t xml:space="preserve"> </w:t>
      </w:r>
      <w:r>
        <w:t xml:space="preserve">nodes because it pains a more generalist picture??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and Hutchinson 2020)</w:t>
      </w:r>
      <w:r>
        <w:t xml:space="preserve"> </w:t>
      </w:r>
      <w:r>
        <w:t xml:space="preserve">or potential</w:t>
      </w:r>
      <w:r>
        <w:t xml:space="preserve"> </w:t>
      </w:r>
      <w:r>
        <w:t xml:space="preserve">(Jennifer A. Dunne 2006)</w:t>
      </w:r>
      <w:r>
        <w:t xml:space="preserve"> </w:t>
      </w:r>
      <w:r>
        <w:t xml:space="preserve">feeding links, or the flow of energy</w:t>
      </w:r>
      <w:r>
        <w:t xml:space="preserve"> </w:t>
      </w:r>
      <w:r>
        <w:t xml:space="preserve">(sensu the ADBM Petchey et al. 2008 ??)</w:t>
      </w:r>
      <w:r>
        <w:t xml:space="preserve">. How we quantify links will influence how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species</w:t>
      </w:r>
      <w:r>
        <w:t xml:space="preserve"> </w:t>
      </w:r>
      <w:r>
        <w:rPr>
          <w:i/>
          <w:iCs/>
        </w:rPr>
        <w:t xml:space="preserve">a</w:t>
      </w:r>
      <w:r>
        <w:t xml:space="preserve"> </w:t>
      </w:r>
      <w:r>
        <w:t xml:space="preserve">may have the ability to consume species</w:t>
      </w:r>
      <w:r>
        <w:t xml:space="preserve"> </w:t>
      </w:r>
      <w:r>
        <w:rPr>
          <w:i/>
          <w:iCs/>
        </w:rPr>
        <w:t xml:space="preserve">b</w:t>
      </w:r>
      <w:r>
        <w:t xml:space="preserve"> </w:t>
      </w:r>
      <w:r>
        <w:t xml:space="preserve">it does not mean that it will be realised</w:t>
      </w:r>
      <w:r>
        <w:t xml:space="preserve"> </w:t>
      </w:r>
      <w:r>
        <w:t xml:space="preserve">‘</w:t>
      </w:r>
      <w:r>
        <w:t xml:space="preserve">in the field</w:t>
      </w:r>
      <w:r>
        <w:t xml:space="preserve">’</w:t>
      </w:r>
      <w:r>
        <w:t xml:space="preserve">) will be meaningless if you are interested in understanding feeding preferences within/between communities as the links are</w:t>
      </w:r>
      <w:r>
        <w:t xml:space="preserve"> </w:t>
      </w:r>
      <w:r>
        <w:t xml:space="preserve">‘</w:t>
      </w:r>
      <w:r>
        <w:t xml:space="preserve">over distributed</w:t>
      </w:r>
      <w:r>
        <w:t xml:space="preserve">’</w:t>
      </w:r>
      <w:r>
        <w:t xml:space="preserve">.</w:t>
      </w:r>
    </w:p>
    <w:p>
      <w:pPr>
        <w:pStyle w:val="BodyText"/>
      </w:pPr>
      <w:r>
        <w:t xml:space="preserve">In order to understand why the links in a food web can be coded to represent different things it is perhaps meaningful to understand the theory behind how the links between nodes are thought to arise. Here I think we can think about the theory of intervality and structural constraints, trait matching, and foraging theory</w:t>
      </w:r>
    </w:p>
    <w:bookmarkEnd w:id="21"/>
    <w:bookmarkStart w:id="22" w:name="Xdd3a10feca637eff5600fa9b9b45eb175624579"/>
    <w:p>
      <w:pPr>
        <w:pStyle w:val="Heading3"/>
      </w:pPr>
      <w:r>
        <w:t xml:space="preserve">1.3 How do we quantify the links between nodes?</w:t>
      </w:r>
    </w:p>
    <w:p>
      <w:pPr>
        <w:pStyle w:val="FirstParagraph"/>
      </w:pPr>
      <w:r>
        <w:t xml:space="preserve">Key THMs here is that not only what the link represent but how it is quantified can differ. Big there is binary, probabilistic (</w:t>
      </w:r>
      <w:r>
        <w:t xml:space="preserve">‘</w:t>
      </w:r>
      <w:r>
        <w:t xml:space="preserve">continuous</w:t>
      </w:r>
      <w:r>
        <w:t xml:space="preserve">’</w:t>
      </w:r>
      <w:r>
        <w:t xml:space="preserve"> </w:t>
      </w:r>
      <w:r>
        <w:t xml:space="preserve">distribution between 0 and 1) and weighted (continuous but not bound by 0, 1). I think the (when it finally goes to preprint) probabilities manuscript will come in here…</w:t>
      </w:r>
    </w:p>
    <w:bookmarkEnd w:id="22"/>
    <w:bookmarkStart w:id="23" w:name="Xbea617148b4b95ef4c4c6f6948cd60290633374"/>
    <w:p>
      <w:pPr>
        <w:pStyle w:val="Heading3"/>
      </w:pPr>
      <w:r>
        <w:t xml:space="preserve">1.4 How do we interpret the resulting network????</w:t>
      </w:r>
    </w:p>
    <w:p>
      <w:pPr>
        <w:pStyle w:val="FirstParagraph"/>
      </w:pPr>
      <w:r>
        <w:t xml:space="preserve">Talking about delimiting, the idea of aggregating over time or aggregating over space…</w:t>
      </w:r>
    </w:p>
    <w:p>
      <w:pPr>
        <w:pStyle w:val="BodyText"/>
      </w:pPr>
      <w:r>
        <w:rPr>
          <w:i/>
          <w:iCs/>
        </w:rPr>
        <w:t xml:space="preserve">something, something, introducing that the same problem (different philosophies) is also a thing that you need to think about when generating networks.</w:t>
      </w:r>
    </w:p>
    <w:bookmarkEnd w:id="23"/>
    <w:bookmarkEnd w:id="24"/>
    <w:bookmarkStart w:id="64"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bookmarkStart w:id="25"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pStyle w:val="Compact"/>
        <w:numPr>
          <w:ilvl w:val="0"/>
          <w:numId w:val="1001"/>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bookmarkEnd w:id="25"/>
    <w:bookmarkStart w:id="63" w:name="model-families"/>
    <w:p>
      <w:pPr>
        <w:pStyle w:val="Heading3"/>
      </w:pPr>
      <w:r>
        <w:t xml:space="preserve">2.2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ayout w:type="fixed"/>
        <w:tblLook w:firstRow="0" w:lastRow="0" w:firstColumn="0" w:lastColumn="0" w:noHBand="0" w:noVBand="0" w:val="0000"/>
      </w:tblPr>
      <w:tblGrid>
        <w:gridCol w:w="7920"/>
      </w:tblGrid>
      <w:tr>
        <w:tc>
          <w:tcPr/>
          <w:bookmarkStart w:id="29" w:name="fig-concept"/>
          <w:p>
            <w:pPr>
              <w:pStyle w:val="Compact"/>
              <w:jc w:val="center"/>
            </w:pPr>
            <w:r>
              <w:drawing>
                <wp:inline>
                  <wp:extent cx="5334000" cy="7636446"/>
                  <wp:effectExtent b="0" l="0" r="0" t="0"/>
                  <wp:docPr descr="" title="" id="27" name="Picture"/>
                  <a:graphic>
                    <a:graphicData uri="http://schemas.openxmlformats.org/drawingml/2006/picture">
                      <pic:pic>
                        <pic:nvPicPr>
                          <pic:cNvPr descr="images/concept.jpeg" id="28" name="Picture"/>
                          <pic:cNvPicPr>
                            <a:picLocks noChangeArrowheads="1" noChangeAspect="1"/>
                          </pic:cNvPicPr>
                        </pic:nvPicPr>
                        <pic:blipFill>
                          <a:blip r:embed="rId26"/>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9"/>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1" name="Picture"/>
            <a:graphic>
              <a:graphicData uri="http://schemas.openxmlformats.org/drawingml/2006/picture">
                <pic:pic>
                  <pic:nvPicPr>
                    <pic:cNvPr descr="images/thullier_2023_concept.jpeg" id="32" name="Picture"/>
                    <pic:cNvPicPr>
                      <a:picLocks noChangeArrowheads="1" noChangeAspect="1"/>
                    </pic:cNvPicPr>
                  </pic:nvPicPr>
                  <pic:blipFill>
                    <a:blip r:embed="rId30"/>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3"/>
          <w:p/>
        </w:tc>
      </w:tr>
    </w:tbl>
    <w:bookmarkStart w:id="51" w:name="when-to-use-what"/>
    <w:p>
      <w:pPr>
        <w:pStyle w:val="Heading4"/>
      </w:pPr>
      <w:r>
        <w:t xml:space="preserve">2.2.1 When to use what?</w:t>
      </w:r>
    </w:p>
    <w:tbl>
      <w:tblPr>
        <w:tblStyle w:val="Table"/>
        <w:tblW w:type="pct" w:w="5000"/>
        <w:tblLayout w:type="fixed"/>
        <w:tblLook w:firstRow="0" w:lastRow="0" w:firstColumn="0" w:lastColumn="0" w:noHBand="0" w:noVBand="0" w:val="0000"/>
      </w:tblPr>
      <w:tblGrid>
        <w:gridCol w:w="7920"/>
      </w:tblGrid>
      <w:tr>
        <w:tc>
          <w:tcPr/>
          <w:bookmarkStart w:id="37" w:name="fig-venn"/>
          <w:p>
            <w:pPr>
              <w:pStyle w:val="Compact"/>
              <w:jc w:val="center"/>
            </w:pPr>
            <w:r>
              <w:drawing>
                <wp:inline>
                  <wp:extent cx="5334000" cy="3725758"/>
                  <wp:effectExtent b="0" l="0" r="0" t="0"/>
                  <wp:docPr descr="" title="" id="35" name="Picture"/>
                  <a:graphic>
                    <a:graphicData uri="http://schemas.openxmlformats.org/drawingml/2006/picture">
                      <pic:pic>
                        <pic:nvPicPr>
                          <pic:cNvPr descr="images/model_venn.png" id="36" name="Picture"/>
                          <pic:cNvPicPr>
                            <a:picLocks noChangeArrowheads="1" noChangeAspect="1"/>
                          </pic:cNvPicPr>
                        </pic:nvPicPr>
                        <pic:blipFill>
                          <a:blip r:embed="rId34"/>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outhwaite"/>
          <w:p>
            <w:pPr>
              <w:pStyle w:val="Compact"/>
              <w:jc w:val="center"/>
            </w:pPr>
            <w:r>
              <w:drawing>
                <wp:inline>
                  <wp:extent cx="5334000" cy="4000500"/>
                  <wp:effectExtent b="0" l="0" r="0" t="0"/>
                  <wp:docPr descr="" title="" id="39" name="Picture"/>
                  <a:graphic>
                    <a:graphicData uri="http://schemas.openxmlformats.org/drawingml/2006/picture">
                      <pic:pic>
                        <pic:nvPicPr>
                          <pic:cNvPr descr="images/outhwaite_schematic.jpeg" id="4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1"/>
        </w:tc>
      </w:tr>
    </w:tbl>
    <w:tbl>
      <w:tblPr>
        <w:tblStyle w:val="Table"/>
        <w:tblW w:type="pct" w:w="5000"/>
        <w:tblLayout w:type="fixed"/>
        <w:tblLook w:firstRow="0" w:lastRow="0" w:firstColumn="0" w:lastColumn="0" w:noHBand="0" w:noVBand="0" w:val="0000"/>
      </w:tblPr>
      <w:tblGrid>
        <w:gridCol w:w="7920"/>
      </w:tblGrid>
      <w:tr>
        <w:tc>
          <w:tcPr/>
          <w:bookmarkStart w:id="45" w:name="fig-pca"/>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litative-fig-pca-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0" w:name="fig-dendo"/>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litative-fig-dendo-output-1.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50"/>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End w:id="51"/>
    <w:bookmarkStart w:id="62"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2"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2"/>
    <w:bookmarkStart w:id="61"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6" w:name="fig-topology"/>
          <w:p>
            <w:pPr>
              <w:pStyle w:val="Compact"/>
              <w:jc w:val="center"/>
            </w:pPr>
            <w:r>
              <w:drawing>
                <wp:inline>
                  <wp:extent cx="5334000" cy="3810000"/>
                  <wp:effectExtent b="0" l="0" r="0" t="0"/>
                  <wp:docPr descr="" title="" id="54" name="Picture"/>
                  <a:graphic>
                    <a:graphicData uri="http://schemas.openxmlformats.org/drawingml/2006/picture">
                      <pic:pic>
                        <pic:nvPicPr>
                          <pic:cNvPr descr="index_files/figure-docx/notebooks-model_quantitative-fig-topology-output-2.png" id="55" name="Picture"/>
                          <pic:cNvPicPr>
                            <a:picLocks noChangeArrowheads="1" noChangeAspect="1"/>
                          </pic:cNvPicPr>
                        </pic:nvPicPr>
                        <pic:blipFill>
                          <a:blip r:embed="rId53"/>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6"/>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60"/>
        </w:tc>
      </w:tr>
    </w:tbl>
    <w:bookmarkEnd w:id="61"/>
    <w:bookmarkEnd w:id="62"/>
    <w:bookmarkEnd w:id="63"/>
    <w:bookmarkEnd w:id="64"/>
    <w:bookmarkStart w:id="65"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7"/>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5"/>
    <w:bookmarkStart w:id="66"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9"/>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6"/>
    <w:bookmarkStart w:id="17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75" w:name="refs"/>
    <w:bookmarkStart w:id="6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7">
        <w:r>
          <w:rPr>
            <w:rStyle w:val="Hyperlink"/>
          </w:rPr>
          <w:t xml:space="preserve">https://doi.org/10.1126/science.1156269</w:t>
        </w:r>
      </w:hyperlink>
      <w:r>
        <w:t xml:space="preserve">.</w:t>
      </w:r>
    </w:p>
    <w:bookmarkEnd w:id="68"/>
    <w:bookmarkStart w:id="7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9">
        <w:r>
          <w:rPr>
            <w:rStyle w:val="Hyperlink"/>
          </w:rPr>
          <w:t xml:space="preserve">https://doi.org/10.1371/journal.pcbi.1011458</w:t>
        </w:r>
      </w:hyperlink>
      <w:r>
        <w:t xml:space="preserve">.</w:t>
      </w:r>
    </w:p>
    <w:bookmarkEnd w:id="70"/>
    <w:bookmarkStart w:id="7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1">
        <w:r>
          <w:rPr>
            <w:rStyle w:val="Hyperlink"/>
          </w:rPr>
          <w:t xml:space="preserve">https://doi.org/10.1073/pnas.1633576100</w:t>
        </w:r>
      </w:hyperlink>
      <w:r>
        <w:t xml:space="preserve">.</w:t>
      </w:r>
    </w:p>
    <w:bookmarkEnd w:id="72"/>
    <w:bookmarkStart w:id="7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3">
        <w:r>
          <w:rPr>
            <w:rStyle w:val="Hyperlink"/>
          </w:rPr>
          <w:t xml:space="preserve">https://doi.org/10.1016/S2666-5247(21)00245-7</w:t>
        </w:r>
      </w:hyperlink>
      <w:r>
        <w:t xml:space="preserve">.</w:t>
      </w:r>
    </w:p>
    <w:bookmarkEnd w:id="74"/>
    <w:bookmarkStart w:id="7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5">
        <w:r>
          <w:rPr>
            <w:rStyle w:val="Hyperlink"/>
          </w:rPr>
          <w:t xml:space="preserve">https://doi.org/10.1073/pnas.0603039103</w:t>
        </w:r>
      </w:hyperlink>
      <w:r>
        <w:t xml:space="preserve">.</w:t>
      </w:r>
    </w:p>
    <w:bookmarkEnd w:id="76"/>
    <w:bookmarkStart w:id="7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7">
        <w:r>
          <w:rPr>
            <w:rStyle w:val="Hyperlink"/>
          </w:rPr>
          <w:t xml:space="preserve">https://doi.org/10.1073/pnas.0800967105</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6"/>
    <w:bookmarkStart w:id="98"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7">
        <w:r>
          <w:rPr>
            <w:rStyle w:val="Hyperlink"/>
          </w:rPr>
          <w:t xml:space="preserve">https://doi.org/10.2307/1936298</w:t>
        </w:r>
      </w:hyperlink>
      <w:r>
        <w:t xml:space="preserve">.</w:t>
      </w:r>
    </w:p>
    <w:bookmarkEnd w:id="98"/>
    <w:bookmarkStart w:id="100"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99">
        <w:r>
          <w:rPr>
            <w:rStyle w:val="Hyperlink"/>
          </w:rPr>
          <w:t xml:space="preserve">https://doi.org/10.1111/brv.12433</w:t>
        </w:r>
      </w:hyperlink>
      <w:r>
        <w:t xml:space="preserve">.</w:t>
      </w:r>
    </w:p>
    <w:bookmarkEnd w:id="100"/>
    <w:bookmarkStart w:id="10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1">
        <w:r>
          <w:rPr>
            <w:rStyle w:val="Hyperlink"/>
          </w:rPr>
          <w:t xml:space="preserve">https://doi.org/10.7717/peerj.3644</w:t>
        </w:r>
      </w:hyperlink>
      <w:r>
        <w:t xml:space="preserve">.</w:t>
      </w:r>
    </w:p>
    <w:bookmarkEnd w:id="102"/>
    <w:bookmarkStart w:id="10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3"/>
    <w:bookmarkStart w:id="10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4">
        <w:r>
          <w:rPr>
            <w:rStyle w:val="Hyperlink"/>
          </w:rPr>
          <w:t xml:space="preserve">https://doi.org/10.1371/journal.pbio.0060102</w:t>
        </w:r>
      </w:hyperlink>
      <w:r>
        <w:t xml:space="preserve">.</w:t>
      </w:r>
    </w:p>
    <w:bookmarkEnd w:id="105"/>
    <w:bookmarkStart w:id="10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6">
        <w:r>
          <w:rPr>
            <w:rStyle w:val="Hyperlink"/>
          </w:rPr>
          <w:t xml:space="preserve">https://doi.org/10.1111/2041-210X.12062</w:t>
        </w:r>
      </w:hyperlink>
      <w:r>
        <w:t xml:space="preserve">.</w:t>
      </w:r>
    </w:p>
    <w:bookmarkEnd w:id="107"/>
    <w:bookmarkStart w:id="109"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8">
        <w:r>
          <w:rPr>
            <w:rStyle w:val="Hyperlink"/>
          </w:rPr>
          <w:t xml:space="preserve">https://doi.org/10.1111/j.1461-0248.2005.00868.x</w:t>
        </w:r>
      </w:hyperlink>
      <w:r>
        <w:t xml:space="preserve">.</w:t>
      </w:r>
    </w:p>
    <w:bookmarkEnd w:id="109"/>
    <w:bookmarkStart w:id="111"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0">
        <w:r>
          <w:rPr>
            <w:rStyle w:val="Hyperlink"/>
          </w:rPr>
          <w:t xml:space="preserve">https://doi.org/10.1111/2041-210X.12103</w:t>
        </w:r>
      </w:hyperlink>
      <w:r>
        <w:t xml:space="preserve">.</w:t>
      </w:r>
    </w:p>
    <w:bookmarkEnd w:id="111"/>
    <w:bookmarkStart w:id="113"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2">
        <w:r>
          <w:rPr>
            <w:rStyle w:val="Hyperlink"/>
          </w:rPr>
          <w:t xml:space="preserve">https://doi.org/10.1016/j.fooweb.2015.09.001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7">
        <w:r>
          <w:rPr>
            <w:rStyle w:val="Hyperlink"/>
          </w:rPr>
          <w:t xml:space="preserve">https://doi.org/10.1111/jbi.14127</w:t>
        </w:r>
      </w:hyperlink>
      <w:r>
        <w:t xml:space="preserve">.</w:t>
      </w:r>
    </w:p>
    <w:bookmarkEnd w:id="138"/>
    <w:bookmarkStart w:id="14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39">
        <w:r>
          <w:rPr>
            <w:rStyle w:val="Hyperlink"/>
          </w:rPr>
          <w:t xml:space="preserve">https://doi.org/10.1111/oik.01719</w:t>
        </w:r>
      </w:hyperlink>
      <w:r>
        <w:t xml:space="preserve">.</w:t>
      </w:r>
    </w:p>
    <w:bookmarkEnd w:id="140"/>
    <w:bookmarkStart w:id="14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1">
        <w:r>
          <w:rPr>
            <w:rStyle w:val="Hyperlink"/>
          </w:rPr>
          <w:t xml:space="preserve">https://www.jstor.org/stable/48582345</w:t>
        </w:r>
      </w:hyperlink>
      <w:r>
        <w:t xml:space="preserve">.</w:t>
      </w:r>
    </w:p>
    <w:bookmarkEnd w:id="142"/>
    <w:bookmarkStart w:id="14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3">
        <w:r>
          <w:rPr>
            <w:rStyle w:val="Hyperlink"/>
          </w:rPr>
          <w:t xml:space="preserve">https://doi.org/10.1111/2041-210X.13125</w:t>
        </w:r>
      </w:hyperlink>
      <w:r>
        <w:t xml:space="preserve">.</w:t>
      </w:r>
    </w:p>
    <w:bookmarkEnd w:id="144"/>
    <w:bookmarkStart w:id="14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45">
        <w:r>
          <w:rPr>
            <w:rStyle w:val="Hyperlink"/>
          </w:rPr>
          <w:t xml:space="preserve">https://doi.org/10.1515/9780691195322-020</w:t>
        </w:r>
      </w:hyperlink>
      <w:r>
        <w:t xml:space="preserve">.</w:t>
      </w:r>
    </w:p>
    <w:bookmarkEnd w:id="146"/>
    <w:bookmarkStart w:id="14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47">
        <w:r>
          <w:rPr>
            <w:rStyle w:val="Hyperlink"/>
          </w:rPr>
          <w:t xml:space="preserve">https://doi.org/10.1146/annurev-ecolsys-110218-024908</w:t>
        </w:r>
      </w:hyperlink>
      <w:r>
        <w:t xml:space="preserve">.</w:t>
      </w:r>
    </w:p>
    <w:bookmarkEnd w:id="148"/>
    <w:bookmarkStart w:id="150"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49">
        <w:r>
          <w:rPr>
            <w:rStyle w:val="Hyperlink"/>
          </w:rPr>
          <w:t xml:space="preserve">https://doi.org/10.1016/j.tree.2005.04.004</w:t>
        </w:r>
      </w:hyperlink>
      <w:r>
        <w:t xml:space="preserve">.</w:t>
      </w:r>
    </w:p>
    <w:bookmarkEnd w:id="150"/>
    <w:bookmarkStart w:id="15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1">
        <w:r>
          <w:rPr>
            <w:rStyle w:val="Hyperlink"/>
          </w:rPr>
          <w:t xml:space="preserve">https://doi.org/10.1086/653667</w:t>
        </w:r>
      </w:hyperlink>
      <w:r>
        <w:t xml:space="preserve">.</w:t>
      </w:r>
    </w:p>
    <w:bookmarkEnd w:id="152"/>
    <w:bookmarkStart w:id="154"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3">
        <w:r>
          <w:rPr>
            <w:rStyle w:val="Hyperlink"/>
          </w:rPr>
          <w:t xml:space="preserve">https://doi.org/10.1101/2024.01.30.578036</w:t>
        </w:r>
      </w:hyperlink>
      <w:r>
        <w:t xml:space="preserve">.</w:t>
      </w:r>
    </w:p>
    <w:bookmarkEnd w:id="154"/>
    <w:bookmarkStart w:id="15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55">
        <w:r>
          <w:rPr>
            <w:rStyle w:val="Hyperlink"/>
          </w:rPr>
          <w:t xml:space="preserve">https://doi.org/10.1098/rspb.2007.0571</w:t>
        </w:r>
      </w:hyperlink>
      <w:r>
        <w:t xml:space="preserve">.</w:t>
      </w:r>
    </w:p>
    <w:bookmarkEnd w:id="156"/>
    <w:bookmarkStart w:id="15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57">
        <w:r>
          <w:rPr>
            <w:rStyle w:val="Hyperlink"/>
          </w:rPr>
          <w:t xml:space="preserve">https://doi.org/10.1111/2041-210X.13835</w:t>
        </w:r>
      </w:hyperlink>
      <w:r>
        <w:t xml:space="preserve">.</w:t>
      </w:r>
    </w:p>
    <w:bookmarkEnd w:id="158"/>
    <w:bookmarkStart w:id="16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59">
        <w:r>
          <w:rPr>
            <w:rStyle w:val="Hyperlink"/>
          </w:rPr>
          <w:t xml:space="preserve">https://doi.org/10.1111/2041-210X.14228</w:t>
        </w:r>
      </w:hyperlink>
      <w:r>
        <w:t xml:space="preserve">.</w:t>
      </w:r>
    </w:p>
    <w:bookmarkEnd w:id="160"/>
    <w:bookmarkStart w:id="16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1">
        <w:r>
          <w:rPr>
            <w:rStyle w:val="Hyperlink"/>
          </w:rPr>
          <w:t xml:space="preserve">https://doi.org/10.1098/rstb.2021.0063</w:t>
        </w:r>
      </w:hyperlink>
      <w:r>
        <w:t xml:space="preserve">.</w:t>
      </w:r>
    </w:p>
    <w:bookmarkEnd w:id="162"/>
    <w:bookmarkStart w:id="164"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63">
        <w:r>
          <w:rPr>
            <w:rStyle w:val="Hyperlink"/>
          </w:rPr>
          <w:t xml:space="preserve">https://doi.org/10.1007/978-94-011-0908-6_1</w:t>
        </w:r>
      </w:hyperlink>
      <w:r>
        <w:t xml:space="preserve">.</w:t>
      </w:r>
    </w:p>
    <w:bookmarkEnd w:id="164"/>
    <w:bookmarkStart w:id="166"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65">
        <w:r>
          <w:rPr>
            <w:rStyle w:val="Hyperlink"/>
          </w:rPr>
          <w:t xml:space="preserve">https://doi.org/10.1111/jbi.14734</w:t>
        </w:r>
      </w:hyperlink>
      <w:r>
        <w:t xml:space="preserve">.</w:t>
      </w:r>
    </w:p>
    <w:bookmarkEnd w:id="166"/>
    <w:bookmarkStart w:id="168"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67">
        <w:r>
          <w:rPr>
            <w:rStyle w:val="Hyperlink"/>
          </w:rPr>
          <w:t xml:space="preserve">https://www.ncbi.nlm.nih.gov/pubmed/19294932</w:t>
        </w:r>
      </w:hyperlink>
      <w:r>
        <w:t xml:space="preserve">.</w:t>
      </w:r>
    </w:p>
    <w:bookmarkEnd w:id="168"/>
    <w:bookmarkStart w:id="170"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69">
        <w:r>
          <w:rPr>
            <w:rStyle w:val="Hyperlink"/>
          </w:rPr>
          <w:t xml:space="preserve">https://doi.org/10.1038/35004572</w:t>
        </w:r>
      </w:hyperlink>
      <w:r>
        <w:t xml:space="preserve">.</w:t>
      </w:r>
    </w:p>
    <w:bookmarkEnd w:id="170"/>
    <w:bookmarkStart w:id="172"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1">
        <w:r>
          <w:rPr>
            <w:rStyle w:val="Hyperlink"/>
          </w:rPr>
          <w:t xml:space="preserve">https://doi.org/10.1111/j.1365-2656.2008.01362.x</w:t>
        </w:r>
      </w:hyperlink>
      <w:r>
        <w:t xml:space="preserve">.</w:t>
      </w:r>
    </w:p>
    <w:bookmarkEnd w:id="172"/>
    <w:bookmarkStart w:id="17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3">
        <w:r>
          <w:rPr>
            <w:rStyle w:val="Hyperlink"/>
          </w:rPr>
          <w:t xml:space="preserve">https://doi.org/10.1038/s41598-017-05585-6</w:t>
        </w:r>
      </w:hyperlink>
      <w:r>
        <w:t xml:space="preserve">.</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34" Target="media/rId34.png" /><Relationship Type="http://schemas.openxmlformats.org/officeDocument/2006/relationships/image" Id="rId38" Target="media/rId38.jpg" /><Relationship Type="http://schemas.openxmlformats.org/officeDocument/2006/relationships/image" Id="rId57" Target="media/rId57.png" /><Relationship Type="http://schemas.openxmlformats.org/officeDocument/2006/relationships/image" Id="rId30" Target="media/rId30.jp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hyperlink" Id="rId46" Target="https://BecksLab.github.io/ms_t_is_for_topology/index.qmd.html" TargetMode="External" /><Relationship Type="http://schemas.openxmlformats.org/officeDocument/2006/relationships/hyperlink" Id="rId163" Target="https://doi.org/10.1007/978-94-011-0908-6_1" TargetMode="External" /><Relationship Type="http://schemas.openxmlformats.org/officeDocument/2006/relationships/hyperlink" Id="rId73"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12"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49"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69"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3" Target="https://doi.org/10.1038/s41598-017-05585-6" TargetMode="External" /><Relationship Type="http://schemas.openxmlformats.org/officeDocument/2006/relationships/hyperlink" Id="rId75"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7" Target="https://doi.org/10.1073/pnas.0800967105" TargetMode="External" /><Relationship Type="http://schemas.openxmlformats.org/officeDocument/2006/relationships/hyperlink" Id="rId71"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55" Target="https://doi.org/10.1098/rspb.2007.0571" TargetMode="External" /><Relationship Type="http://schemas.openxmlformats.org/officeDocument/2006/relationships/hyperlink" Id="rId161"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6" Target="https://doi.org/10.1111/2041-210X.12062" TargetMode="External" /><Relationship Type="http://schemas.openxmlformats.org/officeDocument/2006/relationships/hyperlink" Id="rId110" Target="https://doi.org/10.1111/2041-210X.12103" TargetMode="External" /><Relationship Type="http://schemas.openxmlformats.org/officeDocument/2006/relationships/hyperlink" Id="rId143"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7"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59"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171" Target="https://doi.org/10.1111/j.1365-2656.2008.01362.x" TargetMode="External" /><Relationship Type="http://schemas.openxmlformats.org/officeDocument/2006/relationships/hyperlink" Id="rId108" Target="https://doi.org/10.1111/j.1461-0248.2005.00868.x" TargetMode="External" /><Relationship Type="http://schemas.openxmlformats.org/officeDocument/2006/relationships/hyperlink" Id="rId137" Target="https://doi.org/10.1111/jbi.14127" TargetMode="External" /><Relationship Type="http://schemas.openxmlformats.org/officeDocument/2006/relationships/hyperlink" Id="rId165"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9" Target="https://doi.org/10.1371/journal.pcbi.1011458" TargetMode="External" /><Relationship Type="http://schemas.openxmlformats.org/officeDocument/2006/relationships/hyperlink" Id="rId145"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01"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41" Target="https://www.jstor.org/stable/48582345" TargetMode="External" /><Relationship Type="http://schemas.openxmlformats.org/officeDocument/2006/relationships/hyperlink" Id="rId167"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63" Target="https://doi.org/10.1007/978-94-011-0908-6_1" TargetMode="External" /><Relationship Type="http://schemas.openxmlformats.org/officeDocument/2006/relationships/hyperlink" Id="rId73"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12"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49"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69"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3" Target="https://doi.org/10.1038/s41598-017-05585-6" TargetMode="External" /><Relationship Type="http://schemas.openxmlformats.org/officeDocument/2006/relationships/hyperlink" Id="rId75"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7" Target="https://doi.org/10.1073/pnas.0800967105" TargetMode="External" /><Relationship Type="http://schemas.openxmlformats.org/officeDocument/2006/relationships/hyperlink" Id="rId71"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55" Target="https://doi.org/10.1098/rspb.2007.0571" TargetMode="External" /><Relationship Type="http://schemas.openxmlformats.org/officeDocument/2006/relationships/hyperlink" Id="rId161"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6" Target="https://doi.org/10.1111/2041-210X.12062" TargetMode="External" /><Relationship Type="http://schemas.openxmlformats.org/officeDocument/2006/relationships/hyperlink" Id="rId110" Target="https://doi.org/10.1111/2041-210X.12103" TargetMode="External" /><Relationship Type="http://schemas.openxmlformats.org/officeDocument/2006/relationships/hyperlink" Id="rId143"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7"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59"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171" Target="https://doi.org/10.1111/j.1365-2656.2008.01362.x" TargetMode="External" /><Relationship Type="http://schemas.openxmlformats.org/officeDocument/2006/relationships/hyperlink" Id="rId108" Target="https://doi.org/10.1111/j.1461-0248.2005.00868.x" TargetMode="External" /><Relationship Type="http://schemas.openxmlformats.org/officeDocument/2006/relationships/hyperlink" Id="rId137" Target="https://doi.org/10.1111/jbi.14127" TargetMode="External" /><Relationship Type="http://schemas.openxmlformats.org/officeDocument/2006/relationships/hyperlink" Id="rId165"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9" Target="https://doi.org/10.1371/journal.pcbi.1011458" TargetMode="External" /><Relationship Type="http://schemas.openxmlformats.org/officeDocument/2006/relationships/hyperlink" Id="rId145"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01"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41" Target="https://www.jstor.org/stable/48582345" TargetMode="External" /><Relationship Type="http://schemas.openxmlformats.org/officeDocument/2006/relationships/hyperlink" Id="rId167"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2024-04-25T16:40:02Z</dcterms:created>
  <dcterms:modified xsi:type="dcterms:W3CDTF">2024-04-25T16:40:02Z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