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2024-12-06</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species richness, stability, and function</w:t>
      </w:r>
      <w:r>
        <w:t xml:space="preserve"> </w:t>
      </w:r>
      <w:r>
        <w:t xml:space="preserve">[1]</w:t>
      </w:r>
      <w:r>
        <w:t xml:space="preserve">. These relate to the abundance, distribution, and services that biodiversity provides, and how biodiversity (as an interconnected set of species) responds to multiple stressors. Documenting interactions between and among species is thus one of the fundamental building blocks of community ecology, providing a powerful abstraction and platform for mathematical and statistical modelling of biodiversity to make predictions, mitigate threats, and manage services</w:t>
      </w:r>
      <w:r>
        <w:t xml:space="preserve"> </w:t>
      </w:r>
      <w:r>
        <w:t xml:space="preserve">[2]</w:t>
      </w:r>
      <w:r>
        <w:t xml:space="preserve">.Such network representations of biodiversity are increasingly argued to be an asset to understanding and predicting the abundance, distribution, dynamics, and services provided by multiple species facing multiple stressors</w:t>
      </w:r>
      <w:r>
        <w:t xml:space="preserve"> </w:t>
      </w:r>
      <w:r>
        <w:t xml:space="preserve">[3]</w:t>
      </w:r>
      <w:r>
        <w:t xml:space="preserve">. However, there is a growing discourse around limitations to the interpretation and applied use of networks</w:t>
      </w:r>
      <w:r>
        <w:t xml:space="preserve"> </w:t>
      </w:r>
      <w:r>
        <w:t xml:space="preserve">[4,5]</w:t>
      </w:r>
      <w:r>
        <w:t xml:space="preserve">, primarily as the result of shortcomings regarding their conceptualisation</w:t>
      </w:r>
      <w:r>
        <w:t xml:space="preserve"> </w:t>
      </w:r>
      <w:r>
        <w:t xml:space="preserve">[6]</w:t>
      </w:r>
      <w:r>
        <w:t xml:space="preserve">.</w:t>
      </w:r>
    </w:p>
    <w:p>
      <w:pPr>
        <w:pStyle w:val="BodyText"/>
      </w:pPr>
      <w:r>
        <w:t xml:space="preserve">We propose that every network embeds assumptions about the process(es) that determine interactions, and about the levels of organization at which this occurs (</w:t>
      </w:r>
      <w:r>
        <w:rPr>
          <w:i/>
          <w:iCs/>
        </w:rPr>
        <w:t xml:space="preserve">i.e.</w:t>
      </w:r>
      <w:r>
        <w:t xml:space="preserve"> </w:t>
      </w:r>
      <w:r>
        <w:t xml:space="preserve">the biological, ecological, spatial/temporal scale). The differences in these assumptions ultimately influence the nature and scope of inference that can be made from a given network</w:t>
      </w:r>
      <w:r>
        <w:t xml:space="preserve"> </w:t>
      </w:r>
      <w:r>
        <w:t xml:space="preserve">[7]</w:t>
      </w:r>
      <w:r>
        <w:t xml:space="preserve">. Fundamentally, we are talking about an intersection of the data used to construct the network and the underlying theory as to what drives the occurrence of interactions between species. Although there have been extensive discussions about the challenges relating to data collection and observation</w:t>
      </w:r>
      <w:r>
        <w:t xml:space="preserve"> </w:t>
      </w:r>
      <w:r>
        <w:t xml:space="preserve">[</w:t>
      </w:r>
      <w:r>
        <w:rPr>
          <w:i/>
          <w:iCs/>
        </w:rPr>
        <w:t xml:space="preserve">e.g.,</w:t>
      </w:r>
      <w:r>
        <w:t xml:space="preserve"> </w:t>
      </w:r>
      <w:r>
        <w:t xml:space="preserve">6,8–13]</w:t>
      </w:r>
      <w:r>
        <w:t xml:space="preserve"> </w:t>
      </w:r>
      <w:r>
        <w:t xml:space="preserve">we still lack a clear framework framed by the different assumptions and scale dependent processes.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Networks often have multiple uses: an</w:t>
      </w:r>
      <w:r>
        <w:t xml:space="preserve"> </w:t>
      </w:r>
      <w:r>
        <w:t xml:space="preserve">‘object’</w:t>
      </w:r>
      <w:r>
        <w:t xml:space="preserve"> </w:t>
      </w:r>
      <w:r>
        <w:t xml:space="preserve">from which inferences are made (</w:t>
      </w:r>
      <w:r>
        <w:rPr>
          <w:i/>
          <w:iCs/>
        </w:rPr>
        <w:t xml:space="preserve">e.g.,</w:t>
      </w:r>
      <w:r>
        <w:t xml:space="preserve"> </w:t>
      </w:r>
      <w:r>
        <w:t xml:space="preserve">topological inference about biodiversity, interactions among species, and community structure, [REF]); a platform for evaluating</w:t>
      </w:r>
      <w:r>
        <w:t xml:space="preserve"> </w:t>
      </w:r>
      <w:r>
        <w:t xml:space="preserve">‘downstream’</w:t>
      </w:r>
      <w:r>
        <w:t xml:space="preserve"> </w:t>
      </w:r>
      <w:r>
        <w:t xml:space="preserve">responses to stressors [REF]; and a platform for evaluating mathematical and statistical models of</w:t>
      </w:r>
      <w:r>
        <w:t xml:space="preserve"> </w:t>
      </w:r>
      <w:r>
        <w:t xml:space="preserve">‘generative processes’</w:t>
      </w:r>
      <w:r>
        <w:t xml:space="preserve"> </w:t>
      </w:r>
      <w:r>
        <w:t xml:space="preserve">[REF]. Against this backdrop of multiple research agendas, it should come as no surprise that the definition of</w:t>
      </w:r>
      <w:r>
        <w:t xml:space="preserve"> </w:t>
      </w:r>
      <w:r>
        <w:t xml:space="preserve">‘edges’</w:t>
      </w:r>
      <w:r>
        <w:t xml:space="preserve"> </w:t>
      </w:r>
      <w:r>
        <w:t xml:space="preserve">and</w:t>
      </w:r>
      <w:r>
        <w:t xml:space="preserve"> </w:t>
      </w:r>
      <w:r>
        <w:t xml:space="preserve">‘nodes’</w:t>
      </w:r>
      <w:r>
        <w:t xml:space="preserve">, as well as the levels of organisation at which they are collated takes many forms</w:t>
      </w:r>
      <w:r>
        <w:t xml:space="preserve"> </w:t>
      </w:r>
      <w:r>
        <w:t xml:space="preserve">[10,14]</w:t>
      </w:r>
      <w:r>
        <w:t xml:space="preserve">, while also encoding a series of assumptions within a network.</w:t>
      </w:r>
    </w:p>
    <w:bookmarkStart w:id="20" w:name="how-do-we-define-a-node"/>
    <w:p>
      <w:pPr>
        <w:pStyle w:val="Heading2"/>
      </w:pPr>
      <w:r>
        <w:t xml:space="preserve">1.1 How do we define a node?</w:t>
      </w:r>
    </w:p>
    <w:p>
      <w:pPr>
        <w:pStyle w:val="FirstParagraph"/>
      </w:pPr>
      <w:r>
        <w:t xml:space="preserve">Although this may seem elementary that a node should represent a (taxonomic) species, the reality is that nodes often represents non-taxonomic units such as a trophic species (</w:t>
      </w:r>
      <w:r>
        <w:rPr>
          <w:i/>
          <w:iCs/>
        </w:rPr>
        <w:t xml:space="preserve">e.g.,</w:t>
      </w:r>
      <w:r>
        <w:t xml:space="preserve"> </w:t>
      </w:r>
      <w:r>
        <w:t xml:space="preserve">[15]</w:t>
      </w:r>
      <w:r>
        <w:t xml:space="preserve">;</w:t>
      </w:r>
      <w:r>
        <w:t xml:space="preserve"> </w:t>
      </w:r>
      <w:r>
        <w:t xml:space="preserve">[16]</w:t>
      </w:r>
      <w:r>
        <w:t xml:space="preserve">), a feeding guild</w:t>
      </w:r>
      <w:r>
        <w:t xml:space="preserve"> </w:t>
      </w:r>
      <w:r>
        <w:t xml:space="preserve">[</w:t>
      </w:r>
      <w:r>
        <w:rPr>
          <w:i/>
          <w:iCs/>
        </w:rPr>
        <w:t xml:space="preserve">e.g.,</w:t>
      </w:r>
      <w:r>
        <w:t xml:space="preserve"> </w:t>
      </w:r>
      <w:r>
        <w:t xml:space="preserve">17]</w:t>
      </w:r>
      <w:r>
        <w:t xml:space="preserve">, or a segregation of species by life stages</w:t>
      </w:r>
      <w:r>
        <w:t xml:space="preserve"> </w:t>
      </w:r>
      <w:r>
        <w:t xml:space="preserve">[</w:t>
      </w:r>
      <w:r>
        <w:rPr>
          <w:i/>
          <w:iCs/>
        </w:rPr>
        <w:t xml:space="preserve">e.g.,</w:t>
      </w:r>
      <w:r>
        <w:t xml:space="preserve"> </w:t>
      </w:r>
      <w:r>
        <w:t xml:space="preserve">18]</w:t>
      </w:r>
      <w:r>
        <w:t xml:space="preserve">.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affect inference made from networks, including estimates of complexity and structure</w:t>
      </w:r>
      <w:r>
        <w:t xml:space="preserve"> </w:t>
      </w:r>
      <w:r>
        <w:t xml:space="preserve">[18,19]</w:t>
      </w:r>
      <w:r>
        <w:t xml:space="preserve"> </w:t>
      </w:r>
      <w:r>
        <w:t xml:space="preserve">and make it challenging to use networks in</w:t>
      </w:r>
      <w:r>
        <w:t xml:space="preserve"> </w:t>
      </w:r>
      <w:r>
        <w:t xml:space="preserve">‘downstream analyses’</w:t>
      </w:r>
      <w:r>
        <w:t xml:space="preserve">, for example, of extinction or invasions. Despite these implications,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to different</w:t>
      </w:r>
      <w:r>
        <w:t xml:space="preserve"> </w:t>
      </w:r>
      <w:r>
        <w:t xml:space="preserve">‘currencies’</w:t>
      </w:r>
      <w:r>
        <w:t xml:space="preserve"> </w:t>
      </w:r>
      <w:r>
        <w:t xml:space="preserve">(the feasibility of links or the energy that is moving between nodes). There are also a myriad of ways in which the links themselves can be specified. Links between species can be treated present or absent (i.e., binary), may be defined as probabilities</w:t>
      </w:r>
      <w:r>
        <w:t xml:space="preserve"> </w:t>
      </w:r>
      <w:r>
        <w:t xml:space="preserve">[23,24]</w:t>
      </w:r>
      <w:r>
        <w:t xml:space="preserve"> </w:t>
      </w:r>
      <w:r>
        <w:t xml:space="preserve">or by continuous functions which further quantify the strength of an interaction</w:t>
      </w:r>
      <w:r>
        <w:t xml:space="preserve"> </w:t>
      </w:r>
      <w:r>
        <w:t xml:space="preserve">[25]</w:t>
      </w:r>
      <w:r>
        <w:t xml:space="preserve">. How links are specified will influence the structure of the network. For example, taking a food web that consists of links representing all</w:t>
      </w:r>
      <w:r>
        <w:t xml:space="preserve"> </w:t>
      </w:r>
      <w:r>
        <w:rPr>
          <w:i/>
          <w:iCs/>
        </w:rPr>
        <w:t xml:space="preserve">potential</w:t>
      </w:r>
      <w:r>
        <w:t xml:space="preserve"> </w:t>
      </w:r>
      <w:r>
        <w:t xml:space="preserve">feeding links in a collection of species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Against these definitions, networks fall into two major</w:t>
      </w:r>
      <w:r>
        <w:t xml:space="preserve"> </w:t>
      </w:r>
      <w:r>
        <w:t xml:space="preserve">‘types’</w:t>
      </w:r>
      <w:r>
        <w:t xml:space="preserve">: metawebs, traditionally defined as all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is at its core a list of feasible interactions between pairs of species. The feasibility for a given pair is derived from the complementarity (phylogenetic relationships) of their traits (representing a</w:t>
      </w:r>
      <w:r>
        <w:t xml:space="preserve"> </w:t>
      </w:r>
      <w:r>
        <w:rPr>
          <w:i/>
          <w:iCs/>
        </w:rPr>
        <w:t xml:space="preserve">global metaweb</w:t>
      </w:r>
      <w:r>
        <w:t xml:space="preserve">), which can be further refined by co-occurrence (representing a</w:t>
      </w:r>
      <w:r>
        <w:t xml:space="preserve"> </w:t>
      </w:r>
      <w:r>
        <w:rPr>
          <w:i/>
          <w:iCs/>
        </w:rPr>
        <w:t xml:space="preserve">regional metaweb</w:t>
      </w:r>
      <w:r>
        <w:t xml:space="preserve">). By this definition, metawebs provide a means to identify links that are not ecologically plausible,</w:t>
      </w:r>
      <w:r>
        <w:t xml:space="preserve"> </w:t>
      </w:r>
      <w:r>
        <w:rPr>
          <w:i/>
          <w:iCs/>
        </w:rPr>
        <w:t xml:space="preserve">i.e.,</w:t>
      </w:r>
      <w:r>
        <w:t xml:space="preserve"> </w:t>
      </w:r>
      <w:r>
        <w:t xml:space="preserve">forbidden links</w:t>
      </w:r>
      <w:r>
        <w:t xml:space="preserve"> </w:t>
      </w:r>
      <w:r>
        <w:t xml:space="preserve">[26]</w:t>
      </w:r>
      <w:r>
        <w:t xml:space="preserve">, or provide an idea of the</w:t>
      </w:r>
      <w:r>
        <w:t xml:space="preserve"> </w:t>
      </w:r>
      <w:r>
        <w:rPr>
          <w:i/>
          <w:iCs/>
        </w:rPr>
        <w:t xml:space="preserve">complete</w:t>
      </w:r>
      <w:r>
        <w:t xml:space="preserve"> </w:t>
      </w:r>
      <w:r>
        <w:t xml:space="preserve">diet of a species</w:t>
      </w:r>
      <w:r>
        <w:t xml:space="preserve"> </w:t>
      </w:r>
      <w:r>
        <w:t xml:space="preserve">[27]</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This distinction between metawebs and realised webs lead to some further definitions. Links that are absent in a metaweb can conceptually (although not always practically) be treated as being truly absent. However, links that are absent in a realised network cannot be considered as truly absent but rather as absent due to the broader environmental/community context. Furthermore, a realised network is not 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Instead, realised webs capture processes that determine the realisation of an interaction. Specifically, in realised webs, the definition of an edges shifts from being determined by feasibility to that of choices and consequences that centre around energy. Meaning if one were to take the same community of species and constructed both a metaweb and realised network the two networks might have the same species but would be structurally different, owing to the differences in the</w:t>
      </w:r>
      <w:r>
        <w:t xml:space="preserve"> </w:t>
      </w:r>
      <w:r>
        <w:t xml:space="preserve">‘rules’</w:t>
      </w:r>
      <w:r>
        <w:t xml:space="preserve"> </w:t>
      </w:r>
      <w:r>
        <w:t xml:space="preserve">constraining the presence of links</w:t>
      </w:r>
      <w:r>
        <w:t xml:space="preserve"> </w:t>
      </w:r>
      <w:r>
        <w:t xml:space="preserve">[28]</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definition of nodes and edges at representing different biological and ecological and processes associated with them lead to the concept of a metweb and a realised web. Here we expand this discussion, introducing five core constraints across these scales that further expose processes that determine the links among species: evolutionary compatibility, co-occurrence, abundance, diet choice, and non-trophic interactions</w:t>
      </w:r>
      <w:r>
        <w:t xml:space="preserve"> </w:t>
      </w:r>
      <w:hyperlink w:anchor="fig-proces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introduce evolutionary compatibility and co-occurrence as processes that</w:t>
      </w:r>
      <w:r>
        <w:t xml:space="preserve"> </w:t>
      </w:r>
      <w:r>
        <w:t xml:space="preserve">‘act’</w:t>
      </w:r>
      <w:r>
        <w:t xml:space="preserve"> </w:t>
      </w:r>
      <w:r>
        <w:t xml:space="preserve">at the species pair of interest, that is the possibility of an interaction being present/absent is assessed at the pairwise level.</w:t>
      </w:r>
    </w:p>
    <w:p>
      <w:pPr>
        <w:pStyle w:val="BodyText"/>
      </w:pPr>
      <w:r>
        <w:t xml:space="preserve">Here we introduce evolutionary compatibility and co-occurrence as processes that</w:t>
      </w:r>
      <w:r>
        <w:t xml:space="preserve"> </w:t>
      </w:r>
      <w:r>
        <w:t xml:space="preserve">‘act’</w:t>
      </w:r>
      <w:r>
        <w:t xml:space="preserve"> </w:t>
      </w:r>
      <w:r>
        <w:t xml:space="preserve">at the species pair of interest. The scale of inference and set of processes embodied in these two constraints combine to define a</w:t>
      </w:r>
      <w:r>
        <w:t xml:space="preserve"> </w:t>
      </w:r>
      <w:r>
        <w:t xml:space="preserve">‘list’</w:t>
      </w:r>
      <w:r>
        <w:t xml:space="preserve"> </w:t>
      </w:r>
      <w:r>
        <w:t xml:space="preserve">of interactions that are viable/feasible and defined as present/absent. It is however possible to build a network from this information. However, it is important to be aware that the structure of this network is not constrained by any community context and so just because species are able to interact does not mean that they will</w:t>
      </w:r>
      <w:r>
        <w:t xml:space="preserve"> </w:t>
      </w:r>
      <w:r>
        <w:t xml:space="preserve">[29]</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[30–32]</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[33]</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[26]</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[23]</w:t>
      </w:r>
      <w:r>
        <w:t xml:space="preserve">,</w:t>
      </w:r>
      <w:r>
        <w:t xml:space="preserve"> </w:t>
      </w:r>
      <w:r>
        <w:rPr>
          <w:i/>
          <w:iCs/>
        </w:rPr>
        <w:t xml:space="preserve">e.g.,</w:t>
      </w:r>
      <w:r>
        <w:t xml:space="preserve"> </w:t>
      </w:r>
      <w:r>
        <w:t xml:space="preserve">the metaweb constructed by</w:t>
      </w:r>
      <w:r>
        <w:t xml:space="preserve"> </w:t>
      </w:r>
      <w:r>
        <w:t xml:space="preserve">[34]</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 (as shown in</w:t>
      </w:r>
      <w:r>
        <w:t xml:space="preserve"> </w:t>
      </w:r>
      <w:hyperlink w:anchor="fig-process">
        <w:r>
          <w:rPr>
            <w:rStyle w:val="Hyperlink"/>
          </w:rPr>
          <w:t xml:space="preserve">Figure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[35]</w:t>
      </w:r>
      <w:r>
        <w:t xml:space="preserve">, it is still a critical process that determines the realisation of a feeding link and allows us to spatially constrain a global metaweb based on local communities</w:t>
      </w:r>
      <w:r>
        <w:t xml:space="preserve"> </w:t>
      </w:r>
      <w:r>
        <w:t xml:space="preserve">[36]</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[37]</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[38]</w:t>
      </w:r>
      <w:r>
        <w:t xml:space="preserve">, and interactions are not necessarily contingent on there being any compatibility between them</w:t>
      </w:r>
      <w:r>
        <w:t xml:space="preserve"> </w:t>
      </w:r>
      <w:r>
        <w:t xml:space="preserve">[39–41]</w:t>
      </w:r>
      <w:r>
        <w:t xml:space="preserve">. However, a more ecologically sound assumption would be that the abundance of different prey species will influence the distribution of links in a network</w:t>
      </w:r>
      <w:r>
        <w:t xml:space="preserve"> </w:t>
      </w:r>
      <w:r>
        <w:t xml:space="preserve">[42]</w:t>
      </w:r>
      <w:r>
        <w:t xml:space="preserve">, by influencing which prey are targeted or preferred by the predator, as abundance influences factors such as the likelihood of two species (individuals) meeting</w:t>
      </w:r>
      <w:r>
        <w:t xml:space="preserve"> </w:t>
      </w:r>
      <w:r>
        <w:t xml:space="preserve">[23,29]</w:t>
      </w:r>
      <w:r>
        <w:t xml:space="preserve">. Thus, if abundance data are combined with a derived metaweb, there is a basic ruleset that can define the distribution (</w:t>
      </w:r>
      <w:r>
        <w:rPr>
          <w:i/>
          <w:iCs/>
        </w:rPr>
        <w:t xml:space="preserve">e.g.,</w:t>
      </w:r>
      <w:r>
        <w:t xml:space="preserve"> </w:t>
      </w:r>
      <w:r>
        <w:t xml:space="preserve">structure) and potentially the strength of links.</w:t>
      </w:r>
    </w:p>
    <w:p>
      <w:pPr>
        <w:pStyle w:val="BodyText"/>
      </w:pPr>
      <w:r>
        <w:rPr>
          <w:b/>
          <w:bCs/>
        </w:rPr>
        <w:t xml:space="preserve">Profitability</w:t>
      </w:r>
    </w:p>
    <w:p>
      <w:pPr>
        <w:pStyle w:val="BodyText"/>
      </w:pPr>
      <w:r>
        <w:t xml:space="preserve">It is well established that consumers make more active decisions than eating items in proportion to their abundance</w:t>
      </w:r>
      <w:r>
        <w:t xml:space="preserve"> </w:t>
      </w:r>
      <w:r>
        <w:t xml:space="preserve">[38]</w:t>
      </w:r>
      <w:r>
        <w:t xml:space="preserve">. Ultimately, consumer choice is underpinned by an energetic cost-benefit framework centred around profitability and defined by traits associated with finding, catching, killing, and consuming a resource</w:t>
      </w:r>
      <w:r>
        <w:t xml:space="preserve"> </w:t>
      </w:r>
      <w:r>
        <w:t xml:space="preserve">[43]</w:t>
      </w:r>
      <w:r>
        <w:t xml:space="preserve">. Although energetic constraints can be invoked in a myriad of ways</w:t>
      </w:r>
      <w:r>
        <w:t xml:space="preserve"> </w:t>
      </w:r>
      <w:r>
        <w:t xml:space="preserve">[</w:t>
      </w:r>
      <w:r>
        <w:rPr>
          <w:i/>
          <w:iCs/>
        </w:rPr>
        <w:t xml:space="preserve">e.g.,</w:t>
      </w:r>
      <w:r>
        <w:t xml:space="preserve"> </w:t>
      </w:r>
      <w:r>
        <w:t xml:space="preserve">44,45,46]</w:t>
      </w:r>
      <w:r>
        <w:t xml:space="preserve"> </w:t>
      </w:r>
      <w:r>
        <w:t xml:space="preserve">we select profitability as a term to capture rules linked to optimal foraging</w:t>
      </w:r>
      <w:r>
        <w:t xml:space="preserve"> </w:t>
      </w:r>
      <w:r>
        <w:t xml:space="preserve">[47]</w:t>
      </w:r>
      <w:r>
        <w:t xml:space="preserve"> </w:t>
      </w:r>
      <w:r>
        <w:t xml:space="preserve">and metabolic theory</w:t>
      </w:r>
      <w:r>
        <w:t xml:space="preserve"> </w:t>
      </w:r>
      <w:r>
        <w:t xml:space="preserve">[48]</w:t>
      </w:r>
      <w:r>
        <w:t xml:space="preserve">; it is a sensible</w:t>
      </w:r>
      <w:r>
        <w:t xml:space="preserve"> </w:t>
      </w:r>
      <w:r>
        <w:t xml:space="preserve">‘umbrella concept’</w:t>
      </w:r>
      <w:r>
        <w:t xml:space="preserve"> </w:t>
      </w:r>
      <w:r>
        <w:t xml:space="preserve">for capturing the energetic constraint on of the distribution and strength of interactions.</w:t>
      </w:r>
    </w:p>
    <w:p>
      <w:pPr>
        <w:pStyle w:val="BodyText"/>
      </w:pPr>
      <w:r>
        <w:rPr>
          <w:b/>
          <w:bCs/>
        </w:rPr>
        <w:t xml:space="preserve">Non-trophic interactions</w:t>
      </w:r>
    </w:p>
    <w:p>
      <w:pPr>
        <w:pStyle w:val="BodyText"/>
      </w:pPr>
      <w:r>
        <w:t xml:space="preserve">Perhaps not as intuitive when thinking about the previous constraints, non-trophic interactions</w:t>
      </w:r>
      <w:r>
        <w:t xml:space="preserve"> </w:t>
      </w:r>
      <w:r>
        <w:t xml:space="preserve">[49]</w:t>
      </w:r>
      <w:r>
        <w:t xml:space="preserve"> </w:t>
      </w:r>
      <w:r>
        <w:t xml:space="preserve">specifically modify either the realisation or strength of trophic interactions</w:t>
      </w:r>
      <w:r>
        <w:t xml:space="preserve"> </w:t>
      </w:r>
      <w:r>
        <w:t xml:space="preserve">[50–53]</w:t>
      </w:r>
      <w:r>
        <w:t xml:space="preserve">. Non-trophic interactions can modify interactions either</w:t>
      </w:r>
      <w:r>
        <w:t xml:space="preserve"> </w:t>
      </w:r>
      <w:r>
        <w:t xml:space="preserve">‘directly’</w:t>
      </w:r>
      <w:r>
        <w:t xml:space="preserve"> </w:t>
      </w:r>
      <w:r>
        <w:t xml:space="preserve">e.g., predator a outcompetes predator b; or</w:t>
      </w:r>
      <w:r>
        <w:t xml:space="preserve"> </w:t>
      </w:r>
      <w:r>
        <w:t xml:space="preserve">‘indirectly’</w:t>
      </w:r>
      <w:r>
        <w:t xml:space="preserve"> </w:t>
      </w:r>
      <w:r>
        <w:t xml:space="preserve">e.g., mutualistic/facilitative interactions. Altogether they can alter the fine-scale distribution and abundance of species as well as their persistence</w:t>
      </w:r>
      <w:r>
        <w:t xml:space="preserve"> </w:t>
      </w:r>
      <w:r>
        <w:t xml:space="preserve">[54–56]</w:t>
      </w:r>
      <w:r>
        <w:t xml:space="preserve">.</w:t>
      </w:r>
    </w:p>
    <w:bookmarkEnd w:id="29"/>
    <w:bookmarkEnd w:id="30"/>
    <w:bookmarkStart w:id="35" w:name="sec-construct"/>
    <w:p>
      <w:pPr>
        <w:pStyle w:val="Heading1"/>
      </w:pPr>
      <w:r>
        <w:t xml:space="preserve">3. Network construction: a case for models</w:t>
      </w:r>
    </w:p>
    <w:bookmarkStart w:id="31" w:name="why-construct-networks"/>
    <w:p>
      <w:pPr>
        <w:pStyle w:val="Heading2"/>
      </w:pPr>
      <w:r>
        <w:t xml:space="preserve">3.1 Why construct networks?</w:t>
      </w:r>
    </w:p>
    <w:p>
      <w:pPr>
        <w:pStyle w:val="FirstParagraph"/>
      </w:pPr>
      <w:r>
        <w:t xml:space="preserve">Broadly the desire to construct a network has arisen for two different purposes; building networks that can be used in real-world, applied contexts (have actionable consequences?), and building networks that allow us to interrogate, generate, and reflect upon different ecological theories.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[26,57]</w:t>
      </w:r>
      <w:r>
        <w:t xml:space="preserve">, which has led to the development of a suite of modelling approaches that allow us to predict the interaction between two species, or network structure</w:t>
      </w:r>
      <w:r>
        <w:t xml:space="preserve"> </w:t>
      </w:r>
      <w:r>
        <w:t xml:space="preserve">[see 58 for a broader discussion]</w:t>
      </w:r>
      <w:r>
        <w:t xml:space="preserve">, or identify missing interactions (gap fill) within existing empirical datasets</w:t>
      </w:r>
      <w:r>
        <w:t xml:space="preserve"> </w:t>
      </w:r>
      <w:r>
        <w:t xml:space="preserve">[</w:t>
      </w:r>
      <w:r>
        <w:rPr>
          <w:i/>
          <w:iCs/>
        </w:rPr>
        <w:t xml:space="preserve">e.g.,</w:t>
      </w:r>
      <w:r>
        <w:t xml:space="preserve"> </w:t>
      </w:r>
      <w:r>
        <w:t xml:space="preserve">59,60,61]</w:t>
      </w:r>
      <w:r>
        <w:t xml:space="preserve">. However, working with</w:t>
      </w:r>
      <w:r>
        <w:t xml:space="preserve"> </w:t>
      </w:r>
      <w:r>
        <w:t xml:space="preserve">‘real-world networks’</w:t>
      </w:r>
      <w:r>
        <w:t xml:space="preserve"> </w:t>
      </w:r>
      <w:r>
        <w:t xml:space="preserve">is data-hungry and cumbersome and has driven the development of models that construct ecologically plausible but often times species agnostic networks. These models often explicitly model one or a few of of the processes discussed in</w:t>
      </w:r>
      <w:r>
        <w:t xml:space="preserve"> </w:t>
      </w:r>
      <w:hyperlink w:anchor="sec-process">
        <w:r>
          <w:rPr>
            <w:rStyle w:val="Hyperlink"/>
          </w:rPr>
          <w:t xml:space="preserve">Section 2</w:t>
        </w:r>
      </w:hyperlink>
      <w:r>
        <w:t xml:space="preserve"> </w:t>
      </w:r>
      <w:r>
        <w:t xml:space="preserve">and in doing so allow us to better understand the different constraints determining interactions</w:t>
      </w:r>
      <w:r>
        <w:t xml:space="preserve"> </w:t>
      </w:r>
      <w:r>
        <w:t xml:space="preserve">[62,63]</w:t>
      </w:r>
      <w:r>
        <w:t xml:space="preserve">.</w:t>
      </w:r>
    </w:p>
    <w:bookmarkEnd w:id="31"/>
    <w:bookmarkStart w:id="32" w:name="stochastic-networks"/>
    <w:p>
      <w:pPr>
        <w:pStyle w:val="Heading2"/>
      </w:pPr>
      <w:r>
        <w:t xml:space="preserve">3.2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[64]</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65,66]</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67,68]</w:t>
      </w:r>
      <w:r>
        <w:t xml:space="preserve">. Conversely, neutral models</w:t>
      </w:r>
      <w:r>
        <w:t xml:space="preserve"> </w:t>
      </w:r>
      <w:r>
        <w:t xml:space="preserve">[69,70]</w:t>
      </w:r>
      <w:r>
        <w:t xml:space="preserve">, and by extension processes, are most likely relevant at local scales</w:t>
      </w:r>
      <w:r>
        <w:t xml:space="preserve"> </w:t>
      </w:r>
      <w:r>
        <w:t xml:space="preserve">[41]</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2"/>
    <w:bookmarkStart w:id="33" w:name="feasibility-networks-metawebs"/>
    <w:p>
      <w:pPr>
        <w:pStyle w:val="Heading2"/>
      </w:pPr>
      <w:r>
        <w:t xml:space="preserve">3.3 Feasibility networks (metawebs)</w:t>
      </w:r>
    </w:p>
    <w:p>
      <w:pPr>
        <w:pStyle w:val="FirstParagraph"/>
      </w:pPr>
      <w:r>
        <w:t xml:space="preserve">Metawebs (depending on the aggregation) can help us develop our understanding of the intersection of species interactions and their co-occurrence</w:t>
      </w:r>
      <w:r>
        <w:t xml:space="preserve">[71,72]</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[73]</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74,75,76]</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27,34,77–82]</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resulting network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[28]</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[34]</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[83–85]</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[86,87]</w:t>
      </w:r>
      <w:r>
        <w:t xml:space="preserve">.</w:t>
      </w:r>
    </w:p>
    <w:bookmarkEnd w:id="33"/>
    <w:bookmarkStart w:id="34" w:name="behavioural-networks"/>
    <w:p>
      <w:pPr>
        <w:pStyle w:val="Heading2"/>
      </w:pPr>
      <w:r>
        <w:t xml:space="preserve">3.4</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[19,88]</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[43]</w:t>
      </w:r>
      <w:r>
        <w:t xml:space="preserve">. At a</w:t>
      </w:r>
      <w:r>
        <w:t xml:space="preserve"> </w:t>
      </w:r>
      <w:r>
        <w:t xml:space="preserve">‘coarser’</w:t>
      </w:r>
      <w:r>
        <w:t xml:space="preserve">, funtional level there are models that are based on the compartmentation and aquisition of energy for species at different trophic levels</w:t>
      </w:r>
      <w:r>
        <w:t xml:space="preserve"> </w:t>
      </w:r>
      <w:r>
        <w:t xml:space="preserve">[89,90]</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[91]</w:t>
      </w:r>
      <w:r>
        <w:t xml:space="preserve">], while parametrising an aspect of the network structure</w:t>
      </w:r>
      <w:r>
        <w:t xml:space="preserve"> </w:t>
      </w:r>
      <w:r>
        <w:t xml:space="preserve">[although see 89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[92–94]</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[95]</w:t>
      </w:r>
      <w:r>
        <w:t xml:space="preserve">, and are useful in synthetic simulations.</w:t>
      </w:r>
    </w:p>
    <w:bookmarkEnd w:id="34"/>
    <w:bookmarkEnd w:id="35"/>
    <w:bookmarkStart w:id="41"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96]</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[97]</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0"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[43]</w:t>
      </w:r>
      <w:r>
        <w:t xml:space="preserve"> </w:t>
      </w:r>
      <w:r>
        <w:t xml:space="preserve">and we need to develop either an ensemble modelling approach</w:t>
      </w:r>
      <w:r>
        <w:t xml:space="preserve"> </w:t>
      </w:r>
      <w:r>
        <w:t xml:space="preserve">[99,100]</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101]</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[43]</w:t>
      </w:r>
      <w:r>
        <w:t xml:space="preserve"> </w:t>
      </w:r>
      <w:r>
        <w:rPr>
          <w:i/>
          <w:iCs/>
        </w:rPr>
        <w:t xml:space="preserve">may</w:t>
      </w:r>
      <w:r>
        <w:t xml:space="preserve"> </w:t>
      </w:r>
      <w:r>
        <w:t xml:space="preserve">(TBD) span the gamut but it lacks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[58,102]</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[58,103]</w:t>
      </w:r>
      <w:r>
        <w:t xml:space="preserve">, but we still lack clear set of guidelines for benchmarking the ability of models to recover structure</w:t>
      </w:r>
      <w:r>
        <w:t xml:space="preserve"> </w:t>
      </w:r>
      <w:r>
        <w:t xml:space="preserve">[91]</w:t>
      </w:r>
    </w:p>
    <w:p>
      <w:pPr>
        <w:pStyle w:val="Compact"/>
        <w:numPr>
          <w:ilvl w:val="0"/>
          <w:numId w:val="1001"/>
        </w:numPr>
      </w:pPr>
      <w:r>
        <w:t xml:space="preserve">Something about making what we do with networks more tractablie in the applied space?</w:t>
      </w:r>
      <w:r>
        <w:t xml:space="preserve"> </w:t>
      </w:r>
      <w:r>
        <w:rPr>
          <w:i/>
          <w:iCs/>
        </w:rPr>
        <w:t xml:space="preserve">e.g.,</w:t>
      </w:r>
      <w:r>
        <w:t xml:space="preserve"> </w:t>
      </w:r>
      <w:r>
        <w:t xml:space="preserve">[104]</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[105]</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[85]</w:t>
      </w:r>
      <w:r>
        <w:t xml:space="preserve">.</w:t>
      </w:r>
    </w:p>
    <w:p>
      <w:pPr>
        <w:pStyle w:val="Compact"/>
        <w:numPr>
          <w:ilvl w:val="0"/>
          <w:numId w:val="1002"/>
        </w:numPr>
      </w:pPr>
      <w:r>
        <w:t xml:space="preserve">When do invasive species enhance or decimate communities? When do reintroductions work?</w:t>
      </w:r>
      <w:r>
        <w:t xml:space="preserve"> </w:t>
      </w:r>
      <w:r>
        <w:t xml:space="preserve">[106]</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39" w:name="fig-future"/>
          <w:p>
            <w:pPr>
              <w:pStyle w:val="Compact"/>
              <w:jc w:val="center"/>
            </w:pPr>
            <w:r>
              <w:drawing>
                <wp:inline>
                  <wp:extent cx="5334000" cy="3000375"/>
                  <wp:effectExtent b="0" l="0" r="0" t="0"/>
                  <wp:docPr descr="" title="" id="37" name="Picture"/>
                  <a:graphic>
                    <a:graphicData uri="http://schemas.openxmlformats.org/drawingml/2006/picture">
                      <pic:pic>
                        <pic:nvPicPr>
                          <pic:cNvPr descr="images/NetworkFuture.pn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39"/>
        </w:tc>
      </w:tr>
    </w:tbl>
    <w:bookmarkEnd w:id="40"/>
    <w:bookmarkEnd w:id="41"/>
    <w:bookmarkStart w:id="42"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2"/>
    <w:bookmarkStart w:id="250" w:name="references"/>
    <w:p>
      <w:pPr>
        <w:pStyle w:val="Heading1"/>
      </w:pPr>
      <w:r>
        <w:t xml:space="preserve">References</w:t>
      </w:r>
    </w:p>
    <w:bookmarkStart w:id="249" w:name="refs"/>
    <w:bookmarkStart w:id="44"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3">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4"/>
    <w:bookmarkStart w:id="46"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5">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6"/>
    <w:bookmarkStart w:id="48" w:name="X35cc3e59baff7bf98de21ce317019a7494753b4"/>
    <w:p>
      <w:pPr>
        <w:pStyle w:val="Bibliography"/>
      </w:pPr>
      <w:r>
        <w:t xml:space="preserve">3.</w:t>
      </w:r>
      <w:r>
        <w:t xml:space="preserve"> </w:t>
      </w:r>
      <w:r>
        <w:t xml:space="preserve">	</w:t>
      </w:r>
      <w:r>
        <w:t xml:space="preserve">Simmons, B.I.</w:t>
      </w:r>
      <w:r>
        <w:t xml:space="preserve"> </w:t>
      </w:r>
      <w:r>
        <w:rPr>
          <w:i/>
          <w:iCs/>
        </w:rPr>
        <w:t xml:space="preserve">et al.</w:t>
      </w:r>
      <w:r>
        <w:t xml:space="preserve"> </w:t>
      </w:r>
      <w:r>
        <w:t xml:space="preserve">(2021)</w:t>
      </w:r>
      <w:r>
        <w:t xml:space="preserve"> </w:t>
      </w:r>
      <w:hyperlink r:id="rId47">
        <w:r>
          <w:rPr>
            <w:rStyle w:val="Hyperlink"/>
          </w:rPr>
          <w:t xml:space="preserve">Refocusing multiple stressor research around the targets and scales of ecological impacts</w:t>
        </w:r>
      </w:hyperlink>
      <w:r>
        <w:t xml:space="preserve">.</w:t>
      </w:r>
      <w:r>
        <w:t xml:space="preserve"> </w:t>
      </w:r>
      <w:r>
        <w:rPr>
          <w:i/>
          <w:iCs/>
        </w:rPr>
        <w:t xml:space="preserve">Nature Ecology &amp; Evolution</w:t>
      </w:r>
      <w:r>
        <w:t xml:space="preserve"> </w:t>
      </w:r>
      <w:r>
        <w:t xml:space="preserve">5, 1478–1489</w:t>
      </w:r>
    </w:p>
    <w:bookmarkEnd w:id="48"/>
    <w:bookmarkStart w:id="49" w:name="ref-dormannRisePossibleFall2023"/>
    <w:p>
      <w:pPr>
        <w:pStyle w:val="Bibliography"/>
      </w:pPr>
      <w:r>
        <w:t xml:space="preserve">4.</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5.</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6.</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7.</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10.</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11.</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12.</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13.</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f1526616b81e2f92af827aa5b123838b8d56bfd"/>
    <w:p>
      <w:pPr>
        <w:pStyle w:val="Bibliography"/>
      </w:pPr>
      <w:r>
        <w:t xml:space="preserve">15.</w:t>
      </w:r>
      <w:r>
        <w:t xml:space="preserve"> </w:t>
      </w:r>
      <w:r>
        <w:t xml:space="preserve">	</w:t>
      </w:r>
      <w:r>
        <w:t xml:space="preserve">Yodzis, P. (1982)</w:t>
      </w:r>
      <w:r>
        <w:t xml:space="preserve"> </w:t>
      </w:r>
      <w:hyperlink r:id="rId70">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1"/>
    <w:bookmarkStart w:id="73" w:name="ref-williamsSimpleRulesYield2000"/>
    <w:p>
      <w:pPr>
        <w:pStyle w:val="Bibliography"/>
      </w:pPr>
      <w:r>
        <w:t xml:space="preserve">16.</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4">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5"/>
    <w:bookmarkStart w:id="77"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6">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7"/>
    <w:bookmarkStart w:id="79"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78">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79"/>
    <w:bookmarkStart w:id="80"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0"/>
    <w:bookmarkStart w:id="82" w:name="ref-pringleUntanglingFoodWebs2020"/>
    <w:p>
      <w:pPr>
        <w:pStyle w:val="Bibliography"/>
      </w:pPr>
      <w:r>
        <w:t xml:space="preserve">21.</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4" w:name="Xe227781537312aad81566d289906b7942bbcf13"/>
    <w:p>
      <w:pPr>
        <w:pStyle w:val="Bibliography"/>
      </w:pPr>
      <w:r>
        <w:t xml:space="preserve">22.</w:t>
      </w:r>
      <w:r>
        <w:t xml:space="preserve"> </w:t>
      </w:r>
      <w:r>
        <w:t xml:space="preserve">	</w:t>
      </w:r>
      <w:r>
        <w:t xml:space="preserve">Lindeman, R.L. (1942)</w:t>
      </w:r>
      <w:r>
        <w:t xml:space="preserve"> </w:t>
      </w:r>
      <w:hyperlink r:id="rId83">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4"/>
    <w:bookmarkStart w:id="86" w:name="X41e90cde2344b49d6920f05c9ac1f9a5dcba573"/>
    <w:p>
      <w:pPr>
        <w:pStyle w:val="Bibliography"/>
      </w:pPr>
      <w:r>
        <w:t xml:space="preserve">23.</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85">
        <w:r>
          <w:rPr>
            <w:rStyle w:val="Hyperlink"/>
          </w:rPr>
          <w:t xml:space="preserve">Deciphering probabilistic species interaction networks</w:t>
        </w:r>
      </w:hyperlink>
      <w:r>
        <w:t xml:space="preserve">EcoEvoRxiv</w:t>
      </w:r>
    </w:p>
    <w:bookmarkEnd w:id="86"/>
    <w:bookmarkStart w:id="88" w:name="Xaad5d089781464e09d30bec824bd68c468804d7"/>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7">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8"/>
    <w:bookmarkStart w:id="90" w:name="ref-berlowInteractionStrengthsFood2004"/>
    <w:p>
      <w:pPr>
        <w:pStyle w:val="Bibliography"/>
      </w:pPr>
      <w:r>
        <w:t xml:space="preserve">25.</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9">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0"/>
    <w:bookmarkStart w:id="92" w:name="X2d6834cb08966b7d5da0c61c80079bb46b07a34"/>
    <w:p>
      <w:pPr>
        <w:pStyle w:val="Bibliography"/>
      </w:pPr>
      <w:r>
        <w:t xml:space="preserve">26.</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1">
        <w:r>
          <w:rPr>
            <w:rStyle w:val="Hyperlink"/>
          </w:rPr>
          <w:t xml:space="preserve">10.1111/1365-2435.12763</w:t>
        </w:r>
      </w:hyperlink>
    </w:p>
    <w:bookmarkEnd w:id="92"/>
    <w:bookmarkStart w:id="94"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4"/>
    <w:bookmarkStart w:id="96" w:name="ref-caronTraitmatchingModelsPredict2024"/>
    <w:p>
      <w:pPr>
        <w:pStyle w:val="Bibliography"/>
      </w:pPr>
      <w:r>
        <w:t xml:space="preserve">28.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5">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6"/>
    <w:bookmarkStart w:id="98" w:name="ref-poisotSpeciesWhyEcological2015"/>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8"/>
    <w:bookmarkStart w:id="100" w:name="ref-segarRoleEvolutionShaping2020"/>
    <w:p>
      <w:pPr>
        <w:pStyle w:val="Bibliography"/>
      </w:pPr>
      <w:r>
        <w:t xml:space="preserve">30.</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0"/>
    <w:bookmarkStart w:id="102" w:name="ref-gomezEcologicalInteractionsAre2010"/>
    <w:p>
      <w:pPr>
        <w:pStyle w:val="Bibliography"/>
      </w:pPr>
      <w:r>
        <w:t xml:space="preserve">31.</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1">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2"/>
    <w:bookmarkStart w:id="104" w:name="Xb3b6534bc80dc64b51dd5a3b4d335b302bedbee"/>
    <w:p>
      <w:pPr>
        <w:pStyle w:val="Bibliography"/>
      </w:pPr>
      <w:r>
        <w:t xml:space="preserve">32.</w:t>
      </w:r>
      <w:r>
        <w:t xml:space="preserve"> </w:t>
      </w:r>
      <w:r>
        <w:t xml:space="preserve">	</w:t>
      </w:r>
      <w:r>
        <w:t xml:space="preserve">Dalla Riva, G.V. and Stouffer, D.B. (2016)</w:t>
      </w:r>
      <w:r>
        <w:t xml:space="preserve"> </w:t>
      </w:r>
      <w:hyperlink r:id="rId103">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4"/>
    <w:bookmarkStart w:id="106" w:name="Xa4f464e98b1e233699634f28f509f4b1a160052"/>
    <w:p>
      <w:pPr>
        <w:pStyle w:val="Bibliography"/>
      </w:pPr>
      <w:r>
        <w:t xml:space="preserve">33.</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5">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6"/>
    <w:bookmarkStart w:id="108" w:name="ref-strydomFoodWebReconstruction2022"/>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7">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8"/>
    <w:bookmarkStart w:id="110" w:name="ref-blanchetCooccurrenceNotEvidence2020"/>
    <w:p>
      <w:pPr>
        <w:pStyle w:val="Bibliography"/>
      </w:pPr>
      <w:r>
        <w:t xml:space="preserve">35.</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9">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0"/>
    <w:bookmarkStart w:id="112" w:name="X22de709a0892f7df2c5e90247dcb7344c16197f"/>
    <w:p>
      <w:pPr>
        <w:pStyle w:val="Bibliography"/>
      </w:pPr>
      <w:r>
        <w:t xml:space="preserve">36.</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1">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2"/>
    <w:bookmarkStart w:id="114" w:name="X0633d93b9a269a3c9e629dc0ce0eddddf6b5976"/>
    <w:p>
      <w:pPr>
        <w:pStyle w:val="Bibliography"/>
      </w:pPr>
      <w:r>
        <w:t xml:space="preserve">37.</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3">
        <w:r>
          <w:rPr>
            <w:rStyle w:val="Hyperlink"/>
          </w:rPr>
          <w:t xml:space="preserve">Downscaling mutualistic networks from species to individuals reveals consistent interaction niches and roles within plant populations</w:t>
        </w:r>
      </w:hyperlink>
      <w:r>
        <w:t xml:space="preserve">bioRxiv, 2024.02.02.578595</w:t>
      </w:r>
    </w:p>
    <w:bookmarkEnd w:id="114"/>
    <w:bookmarkStart w:id="116" w:name="ref-stephensForagingTheory1986"/>
    <w:p>
      <w:pPr>
        <w:pStyle w:val="Bibliography"/>
      </w:pPr>
      <w:r>
        <w:t xml:space="preserve">38.</w:t>
      </w:r>
      <w:r>
        <w:t xml:space="preserve"> </w:t>
      </w:r>
      <w:r>
        <w:t xml:space="preserve">	</w:t>
      </w:r>
      <w:r>
        <w:t xml:space="preserve">Stephens, D.W. and Krebs, J.R. (1986)</w:t>
      </w:r>
      <w:r>
        <w:t xml:space="preserve"> </w:t>
      </w:r>
      <w:hyperlink r:id="rId115">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6"/>
    <w:bookmarkStart w:id="118" w:name="X148151be55fae469550d414afe81ac309261681"/>
    <w:p>
      <w:pPr>
        <w:pStyle w:val="Bibliography"/>
      </w:pPr>
      <w:r>
        <w:t xml:space="preserve">39.</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7">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8"/>
    <w:bookmarkStart w:id="120" w:name="ref-momalTreebasedInferenceSpecies2020"/>
    <w:p>
      <w:pPr>
        <w:pStyle w:val="Bibliography"/>
      </w:pPr>
      <w:r>
        <w:t xml:space="preserve">40.</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9">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0"/>
    <w:bookmarkStart w:id="122" w:name="ref-pomeranzInferringPredatorPrey2019"/>
    <w:p>
      <w:pPr>
        <w:pStyle w:val="Bibliography"/>
      </w:pPr>
      <w:r>
        <w:t xml:space="preserve">41.</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1">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2"/>
    <w:bookmarkStart w:id="124" w:name="ref-vazquezUnitingPatternProcess2009"/>
    <w:p>
      <w:pPr>
        <w:pStyle w:val="Bibliography"/>
      </w:pPr>
      <w:r>
        <w:t xml:space="preserve">42.</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3">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4"/>
    <w:bookmarkStart w:id="126" w:name="ref-woottonModularTheoryTrophic2023"/>
    <w:p>
      <w:pPr>
        <w:pStyle w:val="Bibliography"/>
      </w:pPr>
      <w:r>
        <w:t xml:space="preserve">43.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25">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26"/>
    <w:bookmarkStart w:id="128" w:name="X0c2a588d4c668aa5d8efe715af4b32a452d7f80"/>
    <w:p>
      <w:pPr>
        <w:pStyle w:val="Bibliography"/>
      </w:pPr>
      <w:r>
        <w:t xml:space="preserve">44.</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7">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8"/>
    <w:bookmarkStart w:id="130" w:name="ref-portalierMechanicsPredatorPrey2019"/>
    <w:p>
      <w:pPr>
        <w:pStyle w:val="Bibliography"/>
      </w:pPr>
      <w:r>
        <w:t xml:space="preserve">45.</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9">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30"/>
    <w:bookmarkStart w:id="132" w:name="ref-cherifEnvironmentRescueCan2024"/>
    <w:p>
      <w:pPr>
        <w:pStyle w:val="Bibliography"/>
      </w:pPr>
      <w:r>
        <w:t xml:space="preserve">46.</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31">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2"/>
    <w:bookmarkStart w:id="134" w:name="ref-pykeOptimalForagingTheory1984"/>
    <w:p>
      <w:pPr>
        <w:pStyle w:val="Bibliography"/>
      </w:pPr>
      <w:r>
        <w:t xml:space="preserve">47.</w:t>
      </w:r>
      <w:r>
        <w:t xml:space="preserve"> </w:t>
      </w:r>
      <w:r>
        <w:t xml:space="preserve">	</w:t>
      </w:r>
      <w:r>
        <w:t xml:space="preserve">Pyke, G. (1984)</w:t>
      </w:r>
      <w:r>
        <w:t xml:space="preserve"> </w:t>
      </w:r>
      <w:hyperlink r:id="rId133">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4"/>
    <w:bookmarkStart w:id="136" w:name="ref-brownMetabolicTheoryEcology2004"/>
    <w:p>
      <w:pPr>
        <w:pStyle w:val="Bibliography"/>
      </w:pPr>
      <w:r>
        <w:t xml:space="preserve">48.</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5">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6"/>
    <w:bookmarkStart w:id="138" w:name="ref-ingsEcologicalNetworksbeyondFood2009"/>
    <w:p>
      <w:pPr>
        <w:pStyle w:val="Bibliography"/>
      </w:pPr>
      <w:r>
        <w:t xml:space="preserve">49.</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7">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8"/>
    <w:bookmarkStart w:id="140" w:name="ref-golubskiModifyingModifiersWhat2011"/>
    <w:p>
      <w:pPr>
        <w:pStyle w:val="Bibliography"/>
      </w:pPr>
      <w:r>
        <w:t xml:space="preserve">50.</w:t>
      </w:r>
      <w:r>
        <w:t xml:space="preserve"> </w:t>
      </w:r>
      <w:r>
        <w:t xml:space="preserve">	</w:t>
      </w:r>
      <w:r>
        <w:t xml:space="preserve">Golubski, A.J. and Abrams, P.A. (2011)</w:t>
      </w:r>
      <w:r>
        <w:t xml:space="preserve"> </w:t>
      </w:r>
      <w:hyperlink r:id="rId139">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40"/>
    <w:bookmarkStart w:id="142" w:name="Xce61f9463b8a9f3b89eeb4518bbe3b5ec8b2ca7"/>
    <w:p>
      <w:pPr>
        <w:pStyle w:val="Bibliography"/>
      </w:pPr>
      <w:r>
        <w:t xml:space="preserve">51.</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41">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42"/>
    <w:bookmarkStart w:id="144" w:name="X03e9e0a0d566f92bb17f572b5d8593be755e14a"/>
    <w:p>
      <w:pPr>
        <w:pStyle w:val="Bibliography"/>
      </w:pPr>
      <w:r>
        <w:t xml:space="preserve">52.</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3">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4"/>
    <w:bookmarkStart w:id="146" w:name="X1ee5fa61c9d599972880299fb826f183e1453ca"/>
    <w:p>
      <w:pPr>
        <w:pStyle w:val="Bibliography"/>
      </w:pPr>
      <w:r>
        <w:t xml:space="preserve">53.</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5">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6"/>
    <w:bookmarkStart w:id="148" w:name="ref-kefiMoreMealIntegrating2012"/>
    <w:p>
      <w:pPr>
        <w:pStyle w:val="Bibliography"/>
      </w:pPr>
      <w:r>
        <w:t xml:space="preserve">54.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7">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8"/>
    <w:bookmarkStart w:id="150" w:name="ref-kefiNetworkStructureFood2015"/>
    <w:p>
      <w:pPr>
        <w:pStyle w:val="Bibliography"/>
      </w:pPr>
      <w:r>
        <w:t xml:space="preserve">55.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9">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50"/>
    <w:bookmarkStart w:id="152" w:name="X591894dce6a7dd087129459d3c224d8a4a26011"/>
    <w:p>
      <w:pPr>
        <w:pStyle w:val="Bibliography"/>
      </w:pPr>
      <w:r>
        <w:t xml:space="preserve">56.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51">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52"/>
    <w:bookmarkStart w:id="154" w:name="Xf53c03f1c3fea4e4289657cbb0682f5f23e8b1d"/>
    <w:p>
      <w:pPr>
        <w:pStyle w:val="Bibliography"/>
      </w:pPr>
      <w:r>
        <w:t xml:space="preserve">57.</w:t>
      </w:r>
      <w:r>
        <w:t xml:space="preserve"> </w:t>
      </w:r>
      <w:r>
        <w:t xml:space="preserve">	</w:t>
      </w:r>
      <w:r>
        <w:t xml:space="preserve">Jordano, P. (2016)</w:t>
      </w:r>
      <w:r>
        <w:t xml:space="preserve"> </w:t>
      </w:r>
      <w:hyperlink r:id="rId153">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4"/>
    <w:bookmarkStart w:id="156" w:name="ref-strydomRoadmapPredictingSpecies2021"/>
    <w:p>
      <w:pPr>
        <w:pStyle w:val="Bibliography"/>
      </w:pPr>
      <w:r>
        <w:t xml:space="preserve">58.</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5">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6"/>
    <w:bookmarkStart w:id="157" w:name="ref-bitonInductiveLinkPrediction2024"/>
    <w:p>
      <w:pPr>
        <w:pStyle w:val="Bibliography"/>
      </w:pPr>
      <w:r>
        <w:t xml:space="preserve">59.</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7"/>
    <w:bookmarkStart w:id="158" w:name="ref-stockPairwiseLearningPredicting2021"/>
    <w:p>
      <w:pPr>
        <w:pStyle w:val="Bibliography"/>
      </w:pPr>
      <w:r>
        <w:t xml:space="preserve">60.</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8"/>
    <w:bookmarkStart w:id="160" w:name="ref-dallasPredictingCrypticLinks2017"/>
    <w:p>
      <w:pPr>
        <w:pStyle w:val="Bibliography"/>
      </w:pPr>
      <w:r>
        <w:t xml:space="preserve">61.</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9">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60"/>
    <w:bookmarkStart w:id="162" w:name="ref-stoufferAllEcologicalModels2019"/>
    <w:p>
      <w:pPr>
        <w:pStyle w:val="Bibliography"/>
      </w:pPr>
      <w:r>
        <w:t xml:space="preserve">62.</w:t>
      </w:r>
      <w:r>
        <w:t xml:space="preserve"> </w:t>
      </w:r>
      <w:r>
        <w:t xml:space="preserve">	</w:t>
      </w:r>
      <w:r>
        <w:t xml:space="preserve">Stouffer, D.B. (2019)</w:t>
      </w:r>
      <w:r>
        <w:t xml:space="preserve"> </w:t>
      </w:r>
      <w:hyperlink r:id="rId161">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62"/>
    <w:bookmarkStart w:id="164" w:name="ref-songRigorousValidationEcological2024"/>
    <w:p>
      <w:pPr>
        <w:pStyle w:val="Bibliography"/>
      </w:pPr>
      <w:r>
        <w:t xml:space="preserve">63.</w:t>
      </w:r>
      <w:r>
        <w:t xml:space="preserve"> </w:t>
      </w:r>
      <w:r>
        <w:t xml:space="preserve">	</w:t>
      </w:r>
      <w:r>
        <w:t xml:space="preserve">Song, C. and Levine, J.M. (2024)</w:t>
      </w:r>
      <w:r>
        <w:t xml:space="preserve"> </w:t>
      </w:r>
      <w:hyperlink r:id="rId163">
        <w:r>
          <w:rPr>
            <w:rStyle w:val="Hyperlink"/>
          </w:rPr>
          <w:t xml:space="preserve">Rigorous (in)validation of ecological models</w:t>
        </w:r>
      </w:hyperlink>
      <w:r>
        <w:t xml:space="preserve">bioRxiv, 2024.09.19.613075</w:t>
      </w:r>
    </w:p>
    <w:bookmarkEnd w:id="164"/>
    <w:bookmarkStart w:id="166" w:name="ref-hubbellUnifiedNeutralTheory2001"/>
    <w:p>
      <w:pPr>
        <w:pStyle w:val="Bibliography"/>
      </w:pPr>
      <w:r>
        <w:t xml:space="preserve">64.</w:t>
      </w:r>
      <w:r>
        <w:t xml:space="preserve"> </w:t>
      </w:r>
      <w:r>
        <w:t xml:space="preserve">	</w:t>
      </w:r>
      <w:r>
        <w:t xml:space="preserve">Hubbell, S.P. (2001)</w:t>
      </w:r>
      <w:r>
        <w:t xml:space="preserve"> </w:t>
      </w:r>
      <w:hyperlink r:id="rId165">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6"/>
    <w:bookmarkStart w:id="168" w:name="ref-fortunaHabitatLossStructure2006"/>
    <w:p>
      <w:pPr>
        <w:pStyle w:val="Bibliography"/>
      </w:pPr>
      <w:r>
        <w:t xml:space="preserve">65.</w:t>
      </w:r>
      <w:r>
        <w:t xml:space="preserve"> </w:t>
      </w:r>
      <w:r>
        <w:t xml:space="preserve">	</w:t>
      </w:r>
      <w:r>
        <w:t xml:space="preserve">Fortuna, M.A. and Bascompte, J. (2006)</w:t>
      </w:r>
      <w:r>
        <w:t xml:space="preserve"> </w:t>
      </w:r>
      <w:hyperlink r:id="rId167">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68"/>
    <w:bookmarkStart w:id="170" w:name="Xf46d66f38296066c1100d9812a6303bc71ed153"/>
    <w:p>
      <w:pPr>
        <w:pStyle w:val="Bibliography"/>
      </w:pPr>
      <w:r>
        <w:t xml:space="preserve">66.</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69">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70"/>
    <w:bookmarkStart w:id="172" w:name="ref-banvilleWhatConstrainsFood2023"/>
    <w:p>
      <w:pPr>
        <w:pStyle w:val="Bibliography"/>
      </w:pPr>
      <w:r>
        <w:t xml:space="preserve">67.</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71">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2"/>
    <w:bookmarkStart w:id="174" w:name="ref-strydomSVDEntropyReveals2021"/>
    <w:p>
      <w:pPr>
        <w:pStyle w:val="Bibliography"/>
      </w:pPr>
      <w:r>
        <w:t xml:space="preserve">68.</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3">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4"/>
    <w:bookmarkStart w:id="176" w:name="ref-canardEmpiricalEvaluationNeutral2014"/>
    <w:p>
      <w:pPr>
        <w:pStyle w:val="Bibliography"/>
      </w:pPr>
      <w:r>
        <w:t xml:space="preserve">69.</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5">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6"/>
    <w:bookmarkStart w:id="178" w:name="X975e71e0f2dc8911d9ffb70ba96f8b6e5ed6a10"/>
    <w:p>
      <w:pPr>
        <w:pStyle w:val="Bibliography"/>
      </w:pPr>
      <w:r>
        <w:t xml:space="preserve">70.</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77">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78"/>
    <w:bookmarkStart w:id="180" w:name="ref-soberonGrinnellianEltonianNiches2007"/>
    <w:p>
      <w:pPr>
        <w:pStyle w:val="Bibliography"/>
      </w:pPr>
      <w:r>
        <w:t xml:space="preserve">71.</w:t>
      </w:r>
      <w:r>
        <w:t xml:space="preserve"> </w:t>
      </w:r>
      <w:r>
        <w:t xml:space="preserve">	</w:t>
      </w:r>
      <w:r>
        <w:t xml:space="preserve">Soberón, J. (2007)</w:t>
      </w:r>
      <w:r>
        <w:t xml:space="preserve"> </w:t>
      </w:r>
      <w:hyperlink r:id="rId179">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80"/>
    <w:bookmarkStart w:id="182" w:name="ref-gravelBringingEltonGrinnell2019"/>
    <w:p>
      <w:pPr>
        <w:pStyle w:val="Bibliography"/>
      </w:pPr>
      <w:r>
        <w:t xml:space="preserve">72.</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81">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2"/>
    <w:bookmarkStart w:id="184" w:name="X9a5602d39772ae027b885bf5c9cb3d36ba71c0c"/>
    <w:p>
      <w:pPr>
        <w:pStyle w:val="Bibliography"/>
      </w:pPr>
      <w:r>
        <w:t xml:space="preserve">73.</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3">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4"/>
    <w:bookmarkStart w:id="186" w:name="X0fb50f1746fa9d2b24f89ed5bfe6ae1a2f58cc2"/>
    <w:p>
      <w:pPr>
        <w:pStyle w:val="Bibliography"/>
      </w:pPr>
      <w:r>
        <w:t xml:space="preserve">74.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5">
        <w:r>
          <w:rPr>
            <w:rStyle w:val="Hyperlink"/>
          </w:rPr>
          <w:t xml:space="preserve">A framework for reconstructing ancient food webs using functional trait data</w:t>
        </w:r>
      </w:hyperlink>
      <w:r>
        <w:t xml:space="preserve">bioRxiv, 2024.01.30.578036</w:t>
      </w:r>
    </w:p>
    <w:bookmarkEnd w:id="186"/>
    <w:bookmarkStart w:id="188" w:name="ref-dunneCompilationNetworkAnalyses2008"/>
    <w:p>
      <w:pPr>
        <w:pStyle w:val="Bibliography"/>
      </w:pPr>
      <w:r>
        <w:t xml:space="preserve">75.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87">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88"/>
    <w:bookmarkStart w:id="189" w:name="Xc3fc4268009fd3331eb271d54635005ba876970"/>
    <w:p>
      <w:pPr>
        <w:pStyle w:val="Bibliography"/>
      </w:pPr>
      <w:r>
        <w:t xml:space="preserve">76.</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89"/>
    <w:bookmarkStart w:id="191" w:name="ref-pichlerMachineLearningAlgorithms2020"/>
    <w:p>
      <w:pPr>
        <w:pStyle w:val="Bibliography"/>
      </w:pPr>
      <w:r>
        <w:t xml:space="preserve">77.</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9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91"/>
    <w:bookmarkStart w:id="193" w:name="ref-caronAddressingEltonianShortfall2022"/>
    <w:p>
      <w:pPr>
        <w:pStyle w:val="Bibliography"/>
      </w:pPr>
      <w:r>
        <w:t xml:space="preserve">78.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2">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3"/>
    <w:bookmarkStart w:id="195" w:name="ref-llewelynPredictingPredatorPrey2023"/>
    <w:p>
      <w:pPr>
        <w:pStyle w:val="Bibliography"/>
      </w:pPr>
      <w:r>
        <w:t xml:space="preserve">79.</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4">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5"/>
    <w:bookmarkStart w:id="197" w:name="Xbdf894eb48feca28c76080dbbbcbceedf5db43e"/>
    <w:p>
      <w:pPr>
        <w:pStyle w:val="Bibliography"/>
      </w:pPr>
      <w:r>
        <w:t xml:space="preserve">80.</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6">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97"/>
    <w:bookmarkStart w:id="199" w:name="ref-eklofSecondaryExtinctionsFood2013"/>
    <w:p>
      <w:pPr>
        <w:pStyle w:val="Bibliography"/>
      </w:pPr>
      <w:r>
        <w:t xml:space="preserve">81.</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98">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99"/>
    <w:bookmarkStart w:id="201" w:name="Xb1d8b6b275822be1886d160023287af73cce966"/>
    <w:p>
      <w:pPr>
        <w:pStyle w:val="Bibliography"/>
      </w:pPr>
      <w:r>
        <w:t xml:space="preserve">82.</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200">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201"/>
    <w:bookmarkStart w:id="203" w:name="ref-yeakelCollapseEcologicalNetwork2014"/>
    <w:p>
      <w:pPr>
        <w:pStyle w:val="Bibliography"/>
      </w:pPr>
      <w:r>
        <w:t xml:space="preserve">83.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2">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3"/>
    <w:bookmarkStart w:id="205" w:name="ref-frickeCollapseTerrestrialMammal2022"/>
    <w:p>
      <w:pPr>
        <w:pStyle w:val="Bibliography"/>
      </w:pPr>
      <w:r>
        <w:t xml:space="preserve">84.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4">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5"/>
    <w:bookmarkStart w:id="207" w:name="X252b8e82e5b3d72ad0b35a3cf499df77ed31d0f"/>
    <w:p>
      <w:pPr>
        <w:pStyle w:val="Bibliography"/>
      </w:pPr>
      <w:r>
        <w:t xml:space="preserve">85.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6">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07"/>
    <w:bookmarkStart w:id="209" w:name="ref-higinoMismatchIUCNRange2023"/>
    <w:p>
      <w:pPr>
        <w:pStyle w:val="Bibliography"/>
      </w:pPr>
      <w:r>
        <w:t xml:space="preserve">86.</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08">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09"/>
    <w:bookmarkStart w:id="211" w:name="X8f3d1de04516835fd1376e2647a281b763af4fc"/>
    <w:p>
      <w:pPr>
        <w:pStyle w:val="Bibliography"/>
      </w:pPr>
      <w:r>
        <w:t xml:space="preserve">87.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10">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11"/>
    <w:bookmarkStart w:id="213" w:name="ref-petcheySizeForagingFood2008"/>
    <w:p>
      <w:pPr>
        <w:pStyle w:val="Bibliography"/>
      </w:pPr>
      <w:r>
        <w:t xml:space="preserve">88.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2">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3"/>
    <w:bookmarkStart w:id="215" w:name="ref-allesinaFoodWebModels2009"/>
    <w:p>
      <w:pPr>
        <w:pStyle w:val="Bibliography"/>
      </w:pPr>
      <w:r>
        <w:t xml:space="preserve">89.</w:t>
      </w:r>
      <w:r>
        <w:t xml:space="preserve"> </w:t>
      </w:r>
      <w:r>
        <w:t xml:space="preserve">	</w:t>
      </w:r>
      <w:r>
        <w:t xml:space="preserve">Allesina, S. and Pascual, M. (2009)</w:t>
      </w:r>
      <w:r>
        <w:t xml:space="preserve"> </w:t>
      </w:r>
      <w:hyperlink r:id="rId214">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5"/>
    <w:bookmarkStart w:id="217" w:name="X5c34a2e64ad17132523b815ad511dc881809961"/>
    <w:p>
      <w:pPr>
        <w:pStyle w:val="Bibliography"/>
      </w:pPr>
      <w:r>
        <w:t xml:space="preserve">90.</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6">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7"/>
    <w:bookmarkStart w:id="219" w:name="ref-allesinaGeneralModelFood2008"/>
    <w:p>
      <w:pPr>
        <w:pStyle w:val="Bibliography"/>
      </w:pPr>
      <w:r>
        <w:t xml:space="preserve">91.</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1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19"/>
    <w:bookmarkStart w:id="221" w:name="Xb74550f9527590a6ed7b0cf8bbc830e274eb739"/>
    <w:p>
      <w:pPr>
        <w:pStyle w:val="Bibliography"/>
      </w:pPr>
      <w:r>
        <w:t xml:space="preserve">92.</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1"/>
    <w:bookmarkStart w:id="223" w:name="ref-delmasSimulationsBiomassDynamics2017"/>
    <w:p>
      <w:pPr>
        <w:pStyle w:val="Bibliography"/>
      </w:pPr>
      <w:r>
        <w:t xml:space="preserve">93.</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3"/>
    <w:bookmarkStart w:id="225" w:name="Xe3e49d362cfe4dc69cf94913d43d3c00a90a030"/>
    <w:p>
      <w:pPr>
        <w:pStyle w:val="Bibliography"/>
      </w:pPr>
      <w:r>
        <w:t xml:space="preserve">94.</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5"/>
    <w:bookmarkStart w:id="227" w:name="ref-williamsSuccessItsLimits2008"/>
    <w:p>
      <w:pPr>
        <w:pStyle w:val="Bibliography"/>
      </w:pPr>
      <w:r>
        <w:t xml:space="preserve">95.</w:t>
      </w:r>
      <w:r>
        <w:t xml:space="preserve"> </w:t>
      </w:r>
      <w:r>
        <w:t xml:space="preserve">	</w:t>
      </w:r>
      <w:r>
        <w:t xml:space="preserve">Williams, R.J. and Martinez, N.D. (2008)</w:t>
      </w:r>
      <w:r>
        <w:t xml:space="preserve"> </w:t>
      </w:r>
      <w:hyperlink r:id="rId226">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7"/>
    <w:bookmarkStart w:id="229" w:name="X0cd8b1b2c315f3e3186e0dbbf2fc454fbc2ad9d"/>
    <w:p>
      <w:pPr>
        <w:pStyle w:val="Bibliography"/>
      </w:pPr>
      <w:r>
        <w:t xml:space="preserve">96.</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28">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29"/>
    <w:bookmarkStart w:id="231" w:name="ref-huiHowInvadeEcological2019"/>
    <w:p>
      <w:pPr>
        <w:pStyle w:val="Bibliography"/>
      </w:pPr>
      <w:r>
        <w:t xml:space="preserve">97.</w:t>
      </w:r>
      <w:r>
        <w:t xml:space="preserve"> </w:t>
      </w:r>
      <w:r>
        <w:t xml:space="preserve">	</w:t>
      </w:r>
      <w:r>
        <w:t xml:space="preserve">Hui, C. and Richardson, D.M. (2019)</w:t>
      </w:r>
      <w:r>
        <w:t xml:space="preserve"> </w:t>
      </w:r>
      <w:hyperlink r:id="rId230">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31"/>
    <w:bookmarkStart w:id="233" w:name="ref-vandewalleArthropodFoodWebs2023"/>
    <w:p>
      <w:pPr>
        <w:pStyle w:val="Bibliography"/>
      </w:pPr>
      <w:r>
        <w:t xml:space="preserve">98.</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3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33"/>
    <w:bookmarkStart w:id="235" w:name="ref-beckerOptimisingPredictiveModels2022"/>
    <w:p>
      <w:pPr>
        <w:pStyle w:val="Bibliography"/>
      </w:pPr>
      <w:r>
        <w:t xml:space="preserve">99.</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34">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5"/>
    <w:bookmarkStart w:id="237" w:name="ref-terryFindingMissingLinks2020"/>
    <w:p>
      <w:pPr>
        <w:pStyle w:val="Bibliography"/>
      </w:pPr>
      <w:r>
        <w:t xml:space="preserve">100.</w:t>
      </w:r>
      <w:r>
        <w:t xml:space="preserve"> </w:t>
      </w:r>
      <w:r>
        <w:t xml:space="preserve">	</w:t>
      </w:r>
      <w:r>
        <w:t xml:space="preserve">Terry, J.C.D. and Lewis, O.T. (2020)</w:t>
      </w:r>
      <w:r>
        <w:t xml:space="preserve"> </w:t>
      </w:r>
      <w:hyperlink r:id="rId236">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7"/>
    <w:bookmarkStart w:id="239" w:name="X0db465d2ec8683a81b001c1b3069bfe5ad58a88"/>
    <w:p>
      <w:pPr>
        <w:pStyle w:val="Bibliography"/>
      </w:pPr>
      <w:r>
        <w:t xml:space="preserve">101.</w:t>
      </w:r>
      <w:r>
        <w:t xml:space="preserve"> </w:t>
      </w:r>
      <w:r>
        <w:t xml:space="preserve">	</w:t>
      </w:r>
      <w:r>
        <w:t xml:space="preserve">Roopnarine, P.D. (2006)</w:t>
      </w:r>
      <w:r>
        <w:t xml:space="preserve"> </w:t>
      </w:r>
      <w:hyperlink r:id="rId238">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9"/>
    <w:bookmarkStart w:id="241" w:name="Xbaff3560a889f1fb322d0535bb421927828d4bf"/>
    <w:p>
      <w:pPr>
        <w:pStyle w:val="Bibliography"/>
      </w:pPr>
      <w:r>
        <w:t xml:space="preserve">102.</w:t>
      </w:r>
      <w:r>
        <w:t xml:space="preserve"> </w:t>
      </w:r>
      <w:r>
        <w:t xml:space="preserve">	</w:t>
      </w:r>
      <w:r>
        <w:t xml:space="preserve">Wells, K. and O’Hara, R.B. (2013)</w:t>
      </w:r>
      <w:r>
        <w:t xml:space="preserve"> </w:t>
      </w:r>
      <w:hyperlink r:id="rId240">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41"/>
    <w:bookmarkStart w:id="243" w:name="X023758d2a089016cd8f0c9d2421079cf7d062ff"/>
    <w:p>
      <w:pPr>
        <w:pStyle w:val="Bibliography"/>
      </w:pPr>
      <w:r>
        <w:t xml:space="preserve">103.</w:t>
      </w:r>
      <w:r>
        <w:t xml:space="preserve"> </w:t>
      </w:r>
      <w:r>
        <w:t xml:space="preserve">	</w:t>
      </w:r>
      <w:r>
        <w:t xml:space="preserve">Poisot, T. (2023)</w:t>
      </w:r>
      <w:r>
        <w:t xml:space="preserve"> </w:t>
      </w:r>
      <w:hyperlink r:id="rId242">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43"/>
    <w:bookmarkStart w:id="244" w:name="X19ae0996a3277bbc8bb2a7aff1622ec0c861aa4"/>
    <w:p>
      <w:pPr>
        <w:pStyle w:val="Bibliography"/>
      </w:pPr>
      <w:r>
        <w:t xml:space="preserve">104.</w:t>
      </w:r>
      <w:r>
        <w:t xml:space="preserve"> </w:t>
      </w:r>
      <w:r>
        <w:t xml:space="preserve">	</w:t>
      </w:r>
      <w:r>
        <w:t xml:space="preserve">Dansereau, G.</w:t>
      </w:r>
      <w:r>
        <w:t xml:space="preserve"> </w:t>
      </w:r>
      <w:r>
        <w:rPr>
          <w:i/>
          <w:iCs/>
        </w:rPr>
        <w:t xml:space="preserve">et al.</w:t>
      </w:r>
      <w:r>
        <w:t xml:space="preserve"> </w:t>
      </w:r>
      <w:r>
        <w:t xml:space="preserve">(2024) Overcoming the disconnect between interaction networks and biodiversity conservation and management</w:t>
      </w:r>
    </w:p>
    <w:bookmarkEnd w:id="244"/>
    <w:bookmarkStart w:id="246" w:name="ref-danetResponseDiversityMajor2024"/>
    <w:p>
      <w:pPr>
        <w:pStyle w:val="Bibliography"/>
      </w:pPr>
      <w:r>
        <w:t xml:space="preserve">105.</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45">
        <w:r>
          <w:rPr>
            <w:rStyle w:val="Hyperlink"/>
          </w:rPr>
          <w:t xml:space="preserve">Response diversity is a major driver of temporal stability in complex food webs</w:t>
        </w:r>
      </w:hyperlink>
      <w:r>
        <w:t xml:space="preserve">bioRxiv, 2024.08.29.610288</w:t>
      </w:r>
    </w:p>
    <w:bookmarkEnd w:id="246"/>
    <w:bookmarkStart w:id="248" w:name="X730ccd8cf8fe163c7d3b01f9fb0e7239c294754"/>
    <w:p>
      <w:pPr>
        <w:pStyle w:val="Bibliography"/>
      </w:pPr>
      <w:r>
        <w:t xml:space="preserve">106.</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47">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hyperlink" Id="rId87" Target="https://doi.org/10" TargetMode="External" /><Relationship Type="http://schemas.openxmlformats.org/officeDocument/2006/relationships/hyperlink" Id="rId76"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7"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3"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2"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7" Target="https://doi.org/10.1038/nature11131" TargetMode="External" /><Relationship Type="http://schemas.openxmlformats.org/officeDocument/2006/relationships/hyperlink" Id="rId206" Target="https://doi.org/10.1038/s41467-024-53000-2" TargetMode="External" /><Relationship Type="http://schemas.openxmlformats.org/officeDocument/2006/relationships/hyperlink" Id="rId141" Target="https://doi.org/10.1038/s41559-017-0101" TargetMode="External" /><Relationship Type="http://schemas.openxmlformats.org/officeDocument/2006/relationships/hyperlink" Id="rId47" Target="https://doi.org/10.1038/s41559-021-01547-4" TargetMode="External" /><Relationship Type="http://schemas.openxmlformats.org/officeDocument/2006/relationships/hyperlink" Id="rId66" Target="https://doi.org/10.1038/s42003-024-07054-z" TargetMode="External" /><Relationship Type="http://schemas.openxmlformats.org/officeDocument/2006/relationships/hyperlink" Id="rId78" Target="https://doi.org/10.1073/pnas.0603039103" TargetMode="External" /><Relationship Type="http://schemas.openxmlformats.org/officeDocument/2006/relationships/hyperlink" Id="rId212" Target="https://doi.org/10.1073/pnas.0710672105" TargetMode="External" /><Relationship Type="http://schemas.openxmlformats.org/officeDocument/2006/relationships/hyperlink" Id="rId202" Target="https://doi.org/10.1073/pnas.1408471111" TargetMode="External" /><Relationship Type="http://schemas.openxmlformats.org/officeDocument/2006/relationships/hyperlink" Id="rId169" Target="https://doi.org/10.1073/pnas.1633576100" TargetMode="External" /><Relationship Type="http://schemas.openxmlformats.org/officeDocument/2006/relationships/hyperlink" Id="rId70"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5"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51"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5"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85"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5" Target="https://doi.org/10.1101/2024.08.29.610288" TargetMode="External" /><Relationship Type="http://schemas.openxmlformats.org/officeDocument/2006/relationships/hyperlink" Id="rId163"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9" Target="https://doi.org/10.1111/1365-2435.13254" TargetMode="External" /><Relationship Type="http://schemas.openxmlformats.org/officeDocument/2006/relationships/hyperlink" Id="rId125"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61"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8" Target="https://doi.org/10.1111/2041-210X.12062" TargetMode="External" /><Relationship Type="http://schemas.openxmlformats.org/officeDocument/2006/relationships/hyperlink" Id="rId210"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0" Target="https://doi.org/10.1111/2041-210X.13180" TargetMode="External" /><Relationship Type="http://schemas.openxmlformats.org/officeDocument/2006/relationships/hyperlink" Id="rId190"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31" Target="https://doi.org/10.1111/brv.13105" TargetMode="External" /><Relationship Type="http://schemas.openxmlformats.org/officeDocument/2006/relationships/hyperlink" Id="rId181" Target="https://doi.org/10.1111/ecog.04006" TargetMode="External" /><Relationship Type="http://schemas.openxmlformats.org/officeDocument/2006/relationships/hyperlink" Id="rId194" Target="https://doi.org/10.1111/ecog.06619" TargetMode="External" /><Relationship Type="http://schemas.openxmlformats.org/officeDocument/2006/relationships/hyperlink" Id="rId43"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2" Target="https://doi.org/10.1111/ele.13966" TargetMode="External" /><Relationship Type="http://schemas.openxmlformats.org/officeDocument/2006/relationships/hyperlink" Id="rId74" Target="https://doi.org/10.1111/ele.14206"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7" Target="https://doi.org/10.1111/j.1365-2656.2008.01460.x" TargetMode="External" /><Relationship Type="http://schemas.openxmlformats.org/officeDocument/2006/relationships/hyperlink" Id="rId139" Target="https://doi.org/10.1111/j.1365-2656.2011.01852.x" TargetMode="External" /><Relationship Type="http://schemas.openxmlformats.org/officeDocument/2006/relationships/hyperlink" Id="rId167" Target="https://doi.org/10.1111/j.1461-0248.2005.00868.x" TargetMode="External" /><Relationship Type="http://schemas.openxmlformats.org/officeDocument/2006/relationships/hyperlink" Id="rId179"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43" Target="https://doi.org/10.1111/j.1461-0248.2010.01485.x" TargetMode="External" /><Relationship Type="http://schemas.openxmlformats.org/officeDocument/2006/relationships/hyperlink" Id="rId147" Target="https://doi.org/10.1111/j.1461-0248.2011.01732.x" TargetMode="External" /><Relationship Type="http://schemas.openxmlformats.org/officeDocument/2006/relationships/hyperlink" Id="rId177"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5"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218" Target="https://doi.org/10.1126/science.1156269" TargetMode="External" /><Relationship Type="http://schemas.openxmlformats.org/officeDocument/2006/relationships/hyperlink" Id="rId204" Target="https://doi.org/10.1126/science.abn4012" TargetMode="External" /><Relationship Type="http://schemas.openxmlformats.org/officeDocument/2006/relationships/hyperlink" Id="rId145"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3" Target="https://doi.org/10.1146/annurev.ecolsys.15.1.523" TargetMode="External" /><Relationship Type="http://schemas.openxmlformats.org/officeDocument/2006/relationships/hyperlink" Id="rId187" Target="https://doi.org/10.1371/journal.pbio.0060102" TargetMode="External" /><Relationship Type="http://schemas.openxmlformats.org/officeDocument/2006/relationships/hyperlink" Id="rId15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9" Target="https://doi.org/10.1371/journal.pcbi.1005557" TargetMode="External" /><Relationship Type="http://schemas.openxmlformats.org/officeDocument/2006/relationships/hyperlink" Id="rId171"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35" Target="https://doi.org/10.1890/03-9000" TargetMode="External" /><Relationship Type="http://schemas.openxmlformats.org/officeDocument/2006/relationships/hyperlink" Id="rId149"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3"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85" Target="https://doi.org/10.32942/X28G8Z" TargetMode="External" /><Relationship Type="http://schemas.openxmlformats.org/officeDocument/2006/relationships/hyperlink" Id="rId173" Target="https://doi.org/10.3389/fevo.2021.623141" TargetMode="External" /><Relationship Type="http://schemas.openxmlformats.org/officeDocument/2006/relationships/hyperlink" Id="rId208" Target="https://doi.org/10.7717/peerj.14620" TargetMode="External" /><Relationship Type="http://schemas.openxmlformats.org/officeDocument/2006/relationships/hyperlink" Id="rId196"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5"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 TargetMode="External" /><Relationship Type="http://schemas.openxmlformats.org/officeDocument/2006/relationships/hyperlink" Id="rId76"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7"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3"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2"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7" Target="https://doi.org/10.1038/nature11131" TargetMode="External" /><Relationship Type="http://schemas.openxmlformats.org/officeDocument/2006/relationships/hyperlink" Id="rId206" Target="https://doi.org/10.1038/s41467-024-53000-2" TargetMode="External" /><Relationship Type="http://schemas.openxmlformats.org/officeDocument/2006/relationships/hyperlink" Id="rId141" Target="https://doi.org/10.1038/s41559-017-0101" TargetMode="External" /><Relationship Type="http://schemas.openxmlformats.org/officeDocument/2006/relationships/hyperlink" Id="rId47" Target="https://doi.org/10.1038/s41559-021-01547-4" TargetMode="External" /><Relationship Type="http://schemas.openxmlformats.org/officeDocument/2006/relationships/hyperlink" Id="rId66" Target="https://doi.org/10.1038/s42003-024-07054-z" TargetMode="External" /><Relationship Type="http://schemas.openxmlformats.org/officeDocument/2006/relationships/hyperlink" Id="rId78" Target="https://doi.org/10.1073/pnas.0603039103" TargetMode="External" /><Relationship Type="http://schemas.openxmlformats.org/officeDocument/2006/relationships/hyperlink" Id="rId212" Target="https://doi.org/10.1073/pnas.0710672105" TargetMode="External" /><Relationship Type="http://schemas.openxmlformats.org/officeDocument/2006/relationships/hyperlink" Id="rId202" Target="https://doi.org/10.1073/pnas.1408471111" TargetMode="External" /><Relationship Type="http://schemas.openxmlformats.org/officeDocument/2006/relationships/hyperlink" Id="rId169" Target="https://doi.org/10.1073/pnas.1633576100" TargetMode="External" /><Relationship Type="http://schemas.openxmlformats.org/officeDocument/2006/relationships/hyperlink" Id="rId70"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5"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51"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5"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85"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5" Target="https://doi.org/10.1101/2024.08.29.610288" TargetMode="External" /><Relationship Type="http://schemas.openxmlformats.org/officeDocument/2006/relationships/hyperlink" Id="rId163"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9" Target="https://doi.org/10.1111/1365-2435.13254" TargetMode="External" /><Relationship Type="http://schemas.openxmlformats.org/officeDocument/2006/relationships/hyperlink" Id="rId125"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61"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8" Target="https://doi.org/10.1111/2041-210X.12062" TargetMode="External" /><Relationship Type="http://schemas.openxmlformats.org/officeDocument/2006/relationships/hyperlink" Id="rId210"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0" Target="https://doi.org/10.1111/2041-210X.13180" TargetMode="External" /><Relationship Type="http://schemas.openxmlformats.org/officeDocument/2006/relationships/hyperlink" Id="rId190"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31" Target="https://doi.org/10.1111/brv.13105" TargetMode="External" /><Relationship Type="http://schemas.openxmlformats.org/officeDocument/2006/relationships/hyperlink" Id="rId181" Target="https://doi.org/10.1111/ecog.04006" TargetMode="External" /><Relationship Type="http://schemas.openxmlformats.org/officeDocument/2006/relationships/hyperlink" Id="rId194" Target="https://doi.org/10.1111/ecog.06619" TargetMode="External" /><Relationship Type="http://schemas.openxmlformats.org/officeDocument/2006/relationships/hyperlink" Id="rId43"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2" Target="https://doi.org/10.1111/ele.13966" TargetMode="External" /><Relationship Type="http://schemas.openxmlformats.org/officeDocument/2006/relationships/hyperlink" Id="rId74" Target="https://doi.org/10.1111/ele.14206"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7" Target="https://doi.org/10.1111/j.1365-2656.2008.01460.x" TargetMode="External" /><Relationship Type="http://schemas.openxmlformats.org/officeDocument/2006/relationships/hyperlink" Id="rId139" Target="https://doi.org/10.1111/j.1365-2656.2011.01852.x" TargetMode="External" /><Relationship Type="http://schemas.openxmlformats.org/officeDocument/2006/relationships/hyperlink" Id="rId167" Target="https://doi.org/10.1111/j.1461-0248.2005.00868.x" TargetMode="External" /><Relationship Type="http://schemas.openxmlformats.org/officeDocument/2006/relationships/hyperlink" Id="rId179"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43" Target="https://doi.org/10.1111/j.1461-0248.2010.01485.x" TargetMode="External" /><Relationship Type="http://schemas.openxmlformats.org/officeDocument/2006/relationships/hyperlink" Id="rId147" Target="https://doi.org/10.1111/j.1461-0248.2011.01732.x" TargetMode="External" /><Relationship Type="http://schemas.openxmlformats.org/officeDocument/2006/relationships/hyperlink" Id="rId177"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5"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218" Target="https://doi.org/10.1126/science.1156269" TargetMode="External" /><Relationship Type="http://schemas.openxmlformats.org/officeDocument/2006/relationships/hyperlink" Id="rId204" Target="https://doi.org/10.1126/science.abn4012" TargetMode="External" /><Relationship Type="http://schemas.openxmlformats.org/officeDocument/2006/relationships/hyperlink" Id="rId145"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3" Target="https://doi.org/10.1146/annurev.ecolsys.15.1.523" TargetMode="External" /><Relationship Type="http://schemas.openxmlformats.org/officeDocument/2006/relationships/hyperlink" Id="rId187" Target="https://doi.org/10.1371/journal.pbio.0060102" TargetMode="External" /><Relationship Type="http://schemas.openxmlformats.org/officeDocument/2006/relationships/hyperlink" Id="rId153"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9" Target="https://doi.org/10.1371/journal.pcbi.1005557" TargetMode="External" /><Relationship Type="http://schemas.openxmlformats.org/officeDocument/2006/relationships/hyperlink" Id="rId171"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35" Target="https://doi.org/10.1890/03-9000" TargetMode="External" /><Relationship Type="http://schemas.openxmlformats.org/officeDocument/2006/relationships/hyperlink" Id="rId149"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3"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85" Target="https://doi.org/10.32942/X28G8Z" TargetMode="External" /><Relationship Type="http://schemas.openxmlformats.org/officeDocument/2006/relationships/hyperlink" Id="rId173" Target="https://doi.org/10.3389/fevo.2021.623141" TargetMode="External" /><Relationship Type="http://schemas.openxmlformats.org/officeDocument/2006/relationships/hyperlink" Id="rId208" Target="https://doi.org/10.7717/peerj.14620" TargetMode="External" /><Relationship Type="http://schemas.openxmlformats.org/officeDocument/2006/relationships/hyperlink" Id="rId196"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5"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2024-12-06T14:27:11Z</dcterms:created>
  <dcterms:modified xsi:type="dcterms:W3CDTF">2024-12-06T14:27:11Z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2024-12-06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