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3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2024-03-28</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
          <w:iCs/>
        </w:rPr>
        <w:t xml:space="preserve">i.e.,</w:t>
      </w:r>
      <w:r>
        <w:t xml:space="preserve"> </w:t>
      </w:r>
      <w:r>
        <w:t xml:space="preserve">one which</w:t>
      </w:r>
      <w:r>
        <w:t xml:space="preserve"> </w:t>
      </w:r>
      <w:r>
        <w:rPr>
          <w:i/>
          <w:iCs/>
        </w:rPr>
        <w:t xml:space="preserve">perfectly</w:t>
      </w:r>
      <w:r>
        <w:t xml:space="preserve"> </w:t>
      </w:r>
      <w:r>
        <w:t xml:space="preserve">captures the dynamics for a specific community one needs to consider and account for many different moving parts (</w:t>
      </w:r>
      <w:r>
        <w:rPr>
          <w:i/>
          <w:iCs/>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Broadly this means that we either want to construct/predict a collection of interactions (generate networks) or a network of interactions (predict interactions).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
          <w:iCs/>
        </w:rPr>
        <w:t xml:space="preserve">e.g.,</w:t>
      </w:r>
      <w:r>
        <w:t xml:space="preserve"> </w:t>
      </w:r>
      <w:r>
        <w:t xml:space="preserve">extinction simulations) or understanding some higher-level process/concept (</w:t>
      </w:r>
      <w:r>
        <w:rPr>
          <w:i/>
          <w:iCs/>
        </w:rPr>
        <w:t xml:space="preserve">e.g.,</w:t>
      </w:r>
      <w:r>
        <w:t xml:space="preserve"> </w:t>
      </w:r>
      <w:r>
        <w:t xml:space="preserve">understanding energy flows), importantly these networks do not require any level of species specificity 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
          <w:iCs/>
        </w:rPr>
        <w:t xml:space="preserve">i.e.,</w:t>
      </w:r>
      <w:r>
        <w:t xml:space="preserve"> </w:t>
      </w:r>
      <w:r>
        <w:t xml:space="preserve">creating a network that, when taken in aggregate, the distribution of links (interactions) between species are ecologically plausible) to a need for specificity (local-level predictions between specific species).</w:t>
      </w:r>
    </w:p>
    <w:p>
      <w:pPr>
        <w:numPr>
          <w:ilvl w:val="0"/>
          <w:numId w:val="1002"/>
        </w:numPr>
      </w:pPr>
      <w:r>
        <w:t xml:space="preserve">Brief history of the development of tools within the context of the two different fields? Sort of where the theory/body of work was based and how that has changed?</w:t>
      </w:r>
    </w:p>
    <w:p>
      <w:pPr>
        <w:numPr>
          <w:ilvl w:val="1"/>
          <w:numId w:val="1003"/>
        </w:numPr>
      </w:pPr>
      <w:r>
        <w:t xml:space="preserve">Core mechanistic differences that models will work at — some are really concerned about (and thus constrained by) structure, others are more mechanistic in nature</w:t>
      </w:r>
      <w:r>
        <w:t xml:space="preserve"> </w:t>
      </w:r>
      <w:r>
        <w:rPr>
          <w:i/>
          <w:iCs/>
        </w:rPr>
        <w:t xml:space="preserve">i.e.,</w:t>
      </w:r>
      <w:r>
        <w:t xml:space="preserve"> </w:t>
      </w:r>
      <w:r>
        <w:t xml:space="preserve">species</w:t>
      </w:r>
      <w:r>
        <w:t xml:space="preserve"> </w:t>
      </w:r>
      <w:r>
        <w:rPr>
          <w:i/>
          <w:iCs/>
        </w:rPr>
        <w:t xml:space="preserve">a</w:t>
      </w:r>
      <w:r>
        <w:t xml:space="preserve"> </w:t>
      </w:r>
      <w:r>
        <w:t xml:space="preserve">has the capacity to eat species</w:t>
      </w:r>
      <w:r>
        <w:t xml:space="preserve"> </w:t>
      </w:r>
      <w:r>
        <w:rPr>
          <w:i/>
          <w:iCs/>
        </w:rPr>
        <w:t xml:space="preserve">b</w:t>
      </w:r>
      <w:r>
        <w:t xml:space="preserve"> </w:t>
      </w:r>
      <w:r>
        <w:t xml:space="preserve">because traits</w:t>
      </w:r>
    </w:p>
    <w:p>
      <w:pPr>
        <w:numPr>
          <w:ilvl w:val="1"/>
          <w:numId w:val="1003"/>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1"/>
          <w:numId w:val="1003"/>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2"/>
        </w:numPr>
      </w:pPr>
      <w:r>
        <w:t xml:space="preserve">A breakdown of wanting to generate a network; statement of need and core philosophies</w:t>
      </w:r>
    </w:p>
    <w:p>
      <w:pPr>
        <w:numPr>
          <w:ilvl w:val="0"/>
          <w:numId w:val="1002"/>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2"/>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bookmarkEnd w:id="20"/>
    <w:bookmarkStart w:id="25"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w:t>
      </w:r>
    </w:p>
    <w:tbl>
      <w:tblPr>
        <w:tblStyle w:val="Table"/>
        <w:tblW w:type="pct" w:w="5000"/>
        <w:jc w:val="left"/>
        <w:tblLayout w:type="fixed"/>
        <w:tblLook w:firstRow="0" w:lastRow="0" w:firstColumn="0" w:lastColumn="0" w:noHBand="0" w:noVBand="0" w:val="0000"/>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w:t>
      </w:r>
      <w:r>
        <w:t xml:space="preserve"> </w:t>
      </w:r>
      <w:r>
        <w:t xml:space="preserve">(Erdős and Rényi 1959)</w:t>
      </w:r>
      <w:r>
        <w:t xml:space="preserve"> </w:t>
      </w:r>
      <w:r>
        <w:t xml:space="preserve">and Configuration models</w:t>
      </w:r>
      <w:r>
        <w:t xml:space="preserve"> </w:t>
      </w:r>
      <w:r>
        <w:t xml:space="preserve">(Newman 2010)</w:t>
      </w:r>
      <w:r>
        <w:t xml:space="preserve"> </w:t>
      </w:r>
      <w:r>
        <w:t xml:space="preserve">respectively (check that though).</w:t>
      </w:r>
    </w:p>
    <w:p>
      <w:pPr>
        <w:pStyle w:val="BodyText"/>
      </w:pPr>
      <w:r>
        <w:rPr>
          <w:b/>
          <w:bCs/>
        </w:rPr>
        <w:t xml:space="preserve">Neutral models:</w:t>
      </w:r>
      <w:r>
        <w:t xml:space="preserve"> </w:t>
      </w:r>
      <w:r>
        <w:t xml:space="preserve">Based on the theory that interactions occur as the result of the abundance of species (</w:t>
      </w:r>
      <w:r>
        <w:rPr>
          <w:i/>
          <w:iCs/>
        </w:rPr>
        <w:t xml:space="preserve">i.e.,</w:t>
      </w:r>
      <w:r>
        <w:t xml:space="preserve"> </w:t>
      </w:r>
      <w:r>
        <w:t xml:space="preserve">the species still has no agency but its abundance does?). See</w:t>
      </w:r>
      <w:r>
        <w:t xml:space="preserve"> </w:t>
      </w:r>
      <w:r>
        <w:t xml:space="preserve">Pomeranz et al. (2019)</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This includes the cascade model</w:t>
      </w:r>
      <w:r>
        <w:t xml:space="preserve"> </w:t>
      </w:r>
      <w:r>
        <w:t xml:space="preserve">(Joel E. Cohen, Briand, and Newman 1990)</w:t>
      </w:r>
      <w:r>
        <w:t xml:space="preserve">, which much like the name suggests the cascade model rests on the idea that species feed on one another in a hierarchical manner. This rests on the assumption that the links within a network are variably distributed across the network; with the proportion of links decreasing as one moves up the trophic levels (</w:t>
      </w:r>
      <w:r>
        <w:rPr>
          <w:i/>
          <w:iCs/>
        </w:rPr>
        <w:t xml:space="preserve">i.e.,</w:t>
      </w:r>
      <w:r>
        <w:t xml:space="preserve"> </w:t>
      </w:r>
      <w:r>
        <w:t xml:space="preserve">‘</w:t>
      </w:r>
      <w:r>
        <w:t xml:space="preserve">many</w:t>
      </w:r>
      <w:r>
        <w:t xml:space="preserve">’</w:t>
      </w:r>
      <w:r>
        <w:t xml:space="preserve"> </w:t>
      </w:r>
      <w:r>
        <w:t xml:space="preserve">prey and</w:t>
      </w:r>
      <w:r>
        <w:t xml:space="preserve"> </w:t>
      </w:r>
      <w:r>
        <w:t xml:space="preserve">‘</w:t>
      </w:r>
      <w:r>
        <w:t xml:space="preserve">few</w:t>
      </w:r>
      <w:r>
        <w:t xml:space="preserve">’</w:t>
      </w:r>
      <w:r>
        <w:t xml:space="preserve"> </w:t>
      </w:r>
      <w:r>
        <w:t xml:space="preserve">predators). The niche model</w:t>
      </w:r>
      <w:r>
        <w:t xml:space="preserve"> </w:t>
      </w:r>
      <w:r>
        <w:t xml:space="preserve">(Williams and Martinez 2000)</w:t>
      </w:r>
      <w:r>
        <w:t xml:space="preserve"> </w:t>
      </w:r>
      <w:r>
        <w:t xml:space="preserve">introduces the idea that species interactions are based on the</w:t>
      </w:r>
      <w:r>
        <w:t xml:space="preserve"> </w:t>
      </w:r>
      <w:r>
        <w:t xml:space="preserve">‘</w:t>
      </w:r>
      <w:r>
        <w:t xml:space="preserve">feeding niche</w:t>
      </w:r>
      <w:r>
        <w:t xml:space="preserve">’</w:t>
      </w:r>
      <w:r>
        <w:t xml:space="preserve"> </w:t>
      </w:r>
      <w:r>
        <w:t xml:space="preserve">of a species. See also probabilistic niche model</w:t>
      </w:r>
      <w:r>
        <w:t xml:space="preserve"> </w:t>
      </w:r>
      <w:r>
        <w:t xml:space="preserve">(Williams, Anandanadesan, and Purves 2010)</w:t>
      </w:r>
      <w:r>
        <w:t xml:space="preserve"> </w:t>
      </w:r>
      <w:r>
        <w:t xml:space="preserve">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Finally, the nested hierarchy model</w:t>
      </w:r>
      <w:r>
        <w:t xml:space="preserve"> </w:t>
      </w:r>
      <w:r>
        <w:t xml:space="preserve">(Cattin et al. 2004)</w:t>
      </w:r>
      <w:r>
        <w:t xml:space="preserve">, which adds some component of phylogenetic clustering/signal… so not a single dimension?</w:t>
      </w:r>
      <w:r>
        <w:t xml:space="preserve"> </w:t>
      </w:r>
      <w:r>
        <w:rPr>
          <w:b/>
          <w:bCs/>
        </w:rPr>
        <w:t xml:space="preserve">TODO</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 statistical binary classification task. 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 use a tait-based approach)</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 </w:t>
      </w:r>
      <w:r>
        <w:t xml:space="preserve">(</w:t>
      </w:r>
      <w:r>
        <w:rPr>
          <w:i/>
          <w:iCs/>
        </w:rPr>
        <w:t xml:space="preserve">e.g.,</w:t>
      </w:r>
      <w:r>
        <w:t xml:space="preserve"> </w:t>
      </w:r>
      <w:r>
        <w:t xml:space="preserve">Eklöf, Tang, and Allesina 2013; Cirtwill et al. 2019)</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
          <w:bCs/>
        </w:rPr>
        <w:t xml:space="preserve">TODO</w:t>
      </w:r>
      <w:r>
        <w:t xml:space="preserve"> </w:t>
      </w:r>
      <w:r>
        <w:t xml:space="preserve">Log-ratio</w:t>
      </w:r>
      <w:r>
        <w:t xml:space="preserve"> </w:t>
      </w:r>
      <w:r>
        <w:t xml:space="preserve">(Rohr et al. 2010)</w:t>
      </w:r>
    </w:p>
    <w:p>
      <w:pPr>
        <w:pStyle w:val="BodyText"/>
      </w:pPr>
      <w:r>
        <w:rPr>
          <w:b/>
          <w:bCs/>
        </w:rPr>
        <w:t xml:space="preserve">Trait matching:</w:t>
      </w:r>
      <w:r>
        <w:t xml:space="preserve"> </w:t>
      </w:r>
      <w:r>
        <w:t xml:space="preserve">Here I envision models that present an</w:t>
      </w:r>
      <w:r>
        <w:t xml:space="preserve"> </w:t>
      </w:r>
      <w:r>
        <w:rPr>
          <w:i/>
          <w:iCs/>
        </w:rPr>
        <w:t xml:space="preserve">a priori</w:t>
      </w:r>
      <w:r>
        <w:t xml:space="preserve"> </w:t>
      </w:r>
      <w:r>
        <w:t xml:space="preserve">set of rules that determines feeding links between species; specifically based on species traits. That is, there is an element of</w:t>
      </w:r>
      <w:r>
        <w:t xml:space="preserve"> </w:t>
      </w:r>
      <w:r>
        <w:t xml:space="preserve">‘</w:t>
      </w:r>
      <w:r>
        <w:t xml:space="preserve">expert knowledge</w:t>
      </w:r>
      <w:r>
        <w:t xml:space="preserve">’</w:t>
      </w:r>
      <w:r>
        <w:t xml:space="preserve"> </w:t>
      </w:r>
      <w:r>
        <w:t xml:space="preserve">that also comes into play… Something like PFIM</w:t>
      </w:r>
      <w:r>
        <w:t xml:space="preserve"> </w:t>
      </w:r>
      <w:r>
        <w:t xml:space="preserve">(Shaw et al. 2024)</w:t>
      </w:r>
      <w:r>
        <w:t xml:space="preserve"> </w:t>
      </w:r>
      <w:r>
        <w:t xml:space="preserve">is what I imagine fitting in here…</w:t>
      </w:r>
    </w:p>
    <w:p>
      <w:pPr>
        <w:pStyle w:val="BodyText"/>
      </w:pPr>
      <w:r>
        <w:rPr>
          <w:b/>
          <w:bCs/>
        </w:rPr>
        <w:t xml:space="preserve">Expert knowledge:</w:t>
      </w:r>
      <w:r>
        <w:t xml:space="preserve"> </w:t>
      </w:r>
      <w:r>
        <w:t xml:space="preserve">Not so much about empirical observations but more the idea of using human power/knowledge to create an assemblage of interactions for a specific community. This can include empirical data but can also make use of knowledge about ecological features (such as traits or co-occurrence) and how those can function as proxies for interactions</w:t>
      </w:r>
      <w:r>
        <w:t xml:space="preserve"> </w:t>
      </w:r>
      <w:r>
        <w:t xml:space="preserve">(</w:t>
      </w:r>
      <w:r>
        <w:rPr>
          <w:i/>
          <w:iCs/>
        </w:rPr>
        <w:t xml:space="preserve">e.g.,</w:t>
      </w:r>
      <w:r>
        <w:t xml:space="preserve"> </w:t>
      </w:r>
      <w:r>
        <w:t xml:space="preserve">Morales-Castilla et al. 2015)</w:t>
      </w:r>
      <w:r>
        <w:t xml:space="preserve">. Or alternatively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or a combination of published and grey literature</w:t>
      </w:r>
      <w:r>
        <w:t xml:space="preserve"> </w:t>
      </w:r>
      <w:r>
        <w:t xml:space="preserve">(</w:t>
      </w:r>
      <w:r>
        <w:rPr>
          <w:i/>
          <w:iCs/>
        </w:rPr>
        <w:t xml:space="preserve">e.g.,</w:t>
      </w:r>
      <w:r>
        <w:t xml:space="preserve"> </w:t>
      </w:r>
      <w:r>
        <w:t xml:space="preserve">Maiorano et al. 2020)</w:t>
      </w:r>
      <w:r>
        <w:t xml:space="preserve">.</w:t>
      </w:r>
    </w:p>
    <w:bookmarkEnd w:id="25"/>
    <w:bookmarkStart w:id="28" w:name="model-benchmarking"/>
    <w:p>
      <w:pPr>
        <w:pStyle w:val="Heading2"/>
      </w:pPr>
      <w:r>
        <w:t xml:space="preserve">3 Model benchmarking</w:t>
      </w:r>
    </w:p>
    <w:p>
      <w:pPr>
        <w:numPr>
          <w:ilvl w:val="0"/>
          <w:numId w:val="1004"/>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4"/>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6" w:name="benchmarking-network-models"/>
    <w:p>
      <w:pPr>
        <w:pStyle w:val="Heading3"/>
      </w:pPr>
      <w:r>
        <w:t xml:space="preserve">3.1 Benchmarking network models</w:t>
      </w:r>
    </w:p>
    <w:p>
      <w:pPr>
        <w:numPr>
          <w:ilvl w:val="0"/>
          <w:numId w:val="1005"/>
        </w:numPr>
      </w:pPr>
      <w:r>
        <w:t xml:space="preserve">Maybe look at some of the historic papers that compare some of the</w:t>
      </w:r>
      <w:r>
        <w:t xml:space="preserve"> </w:t>
      </w:r>
      <w:r>
        <w:t xml:space="preserve">‘</w:t>
      </w:r>
      <w:r>
        <w:t xml:space="preserve">resource models</w:t>
      </w:r>
      <w:r>
        <w:t xml:space="preserve">’</w:t>
      </w:r>
    </w:p>
    <w:p>
      <w:pPr>
        <w:numPr>
          <w:ilvl w:val="0"/>
          <w:numId w:val="1005"/>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5"/>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6"/>
    <w:bookmarkStart w:id="27" w:name="benchmarking-interaction-models"/>
    <w:p>
      <w:pPr>
        <w:pStyle w:val="Heading3"/>
      </w:pPr>
      <w:r>
        <w:t xml:space="preserve">3.2 Benchmarking interaction models</w:t>
      </w:r>
    </w:p>
    <w:p>
      <w:pPr>
        <w:numPr>
          <w:ilvl w:val="0"/>
          <w:numId w:val="1006"/>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6"/>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6"/>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06"/>
        </w:numPr>
      </w:pPr>
      <w:r>
        <w:t xml:space="preserve">See</w:t>
      </w:r>
      <w:r>
        <w:t xml:space="preserve"> </w:t>
      </w:r>
      <w:r>
        <w:t xml:space="preserve">Poisot (2023)</w:t>
      </w:r>
    </w:p>
    <w:p>
      <w:pPr>
        <w:numPr>
          <w:ilvl w:val="1"/>
          <w:numId w:val="1007"/>
        </w:numPr>
      </w:pPr>
      <w:r>
        <w:t xml:space="preserve">skill (ability to make the right prediction; evaluate whether low prevalence can lull us into a false sense of predictive accuracy)</w:t>
      </w:r>
    </w:p>
    <w:p>
      <w:pPr>
        <w:numPr>
          <w:ilvl w:val="1"/>
          <w:numId w:val="1007"/>
        </w:numPr>
      </w:pPr>
      <w:r>
        <w:t xml:space="preserve">bias (trends towards systematically over-predicting one class)</w:t>
      </w:r>
    </w:p>
    <w:p>
      <w:pPr>
        <w:numPr>
          <w:ilvl w:val="1"/>
          <w:numId w:val="1007"/>
        </w:numPr>
      </w:pPr>
      <w:r>
        <w:t xml:space="preserve">class imbalance (the relative number of cases representing interactions)</w:t>
      </w:r>
    </w:p>
    <w:p>
      <w:pPr>
        <w:numPr>
          <w:ilvl w:val="0"/>
          <w:numId w:val="1006"/>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6"/>
        </w:numPr>
      </w:pPr>
      <w:r>
        <w:t xml:space="preserve">Maybe also looking at how well a model can recover</w:t>
      </w:r>
      <w:r>
        <w:t xml:space="preserve"> </w:t>
      </w:r>
      <w:r>
        <w:t xml:space="preserve">‘</w:t>
      </w:r>
      <w:r>
        <w:t xml:space="preserve">missing links</w:t>
      </w:r>
      <w:r>
        <w:t xml:space="preserve">’</w:t>
      </w:r>
      <w:r>
        <w:t xml:space="preserve"> </w:t>
      </w:r>
      <w:r>
        <w:rPr>
          <w:i/>
          <w:iCs/>
        </w:rPr>
        <w:t xml:space="preserve">i.e.,</w:t>
      </w:r>
      <w:r>
        <w:t xml:space="preserve"> </w:t>
      </w:r>
      <w:r>
        <w:t xml:space="preserve">false negatives</w:t>
      </w:r>
      <w:r>
        <w:t xml:space="preserve"> </w:t>
      </w:r>
      <w:r>
        <w:rPr>
          <w:i/>
          <w:iCs/>
        </w:rPr>
        <w:t xml:space="preserve">sensu</w:t>
      </w:r>
      <w:r>
        <w:t xml:space="preserve"> </w:t>
      </w:r>
      <w:r>
        <w:t xml:space="preserve">what we did in</w:t>
      </w:r>
      <w:r>
        <w:t xml:space="preserve"> </w:t>
      </w:r>
      <w:r>
        <w:t xml:space="preserve">Strydom et al. (2022)</w:t>
      </w:r>
    </w:p>
    <w:p>
      <w:pPr>
        <w:numPr>
          <w:ilvl w:val="0"/>
          <w:numId w:val="1006"/>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27"/>
    <w:bookmarkEnd w:id="28"/>
    <w:bookmarkStart w:id="37" w:name="sec-data-methods"/>
    <w:p>
      <w:pPr>
        <w:pStyle w:val="Heading2"/>
      </w:pPr>
      <w:r>
        <w:t xml:space="preserve">4 Data &amp; Methods</w:t>
      </w:r>
    </w:p>
    <w:bookmarkStart w:id="30"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jc w:val="left"/>
        <w:tblLayout w:type="fixed"/>
        <w:tblLook w:firstRow="0" w:lastRow="0" w:firstColumn="0" w:lastColumn="0" w:noHBand="0" w:noVBand="0" w:val="0000"/>
      </w:tblPr>
      <w:tblGrid>
        <w:gridCol w:w="7920"/>
      </w:tblGrid>
      <w:tr>
        <w:tc>
          <w:tcPr/>
          <w:bookmarkStart w:id="29" w:name="tbl-history"/>
          <w:p>
            <w:pPr>
              <w:jc w:val="center"/>
            </w:pPr>
            <w:pPr>
              <w:jc w:val="start"/>
              <w:spacing w:before="200"/>
              <w:pStyle w:val="ImageCaption"/>
            </w:pPr>
            <w:r>
              <w:t xml:space="preserve">Table 1: Lets make a table that gives an overview of the different model families that we will look at. Here I take</w:t>
            </w:r>
            <w:r>
              <w:t xml:space="preserve"> </w:t>
            </w:r>
            <w:r>
              <w:t xml:space="preserve">‘</w:t>
            </w:r>
            <w:r>
              <w:t xml:space="preserve">data-driven</w:t>
            </w:r>
            <w:r>
              <w:t xml:space="preserve">’</w:t>
            </w:r>
            <w:r>
              <w:t xml:space="preserve"> </w:t>
            </w:r>
            <w:r>
              <w:t xml:space="preserve">to refer to the need for</w:t>
            </w:r>
            <w:r>
              <w:t xml:space="preserve"> </w:t>
            </w:r>
            <w:r>
              <w:t xml:space="preserve">‘</w:t>
            </w:r>
            <w:r>
              <w:t xml:space="preserve">real world</w:t>
            </w:r>
            <w:r>
              <w:t xml:space="preserve">’</w:t>
            </w:r>
            <w:r>
              <w:t xml:space="preserve"> </w:t>
            </w:r>
            <w:r>
              <w:t xml:space="preserve">data. This can probably be approached in a different way though maybe?</w:t>
            </w:r>
          </w:p>
          <w:tbl>
            <w:tblPr>
              <w:tblStyle w:val="Table"/>
              <w:tblW w:type="pct" w:w="5000"/>
              <w:jc w:val="left"/>
              <w:tblLayout w:type="fixed"/>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Predicts</w:t>
                  </w:r>
                </w:p>
              </w:tc>
              <w:tc>
                <w:tcPr/>
                <w:p>
                  <w:pPr>
                    <w:pStyle w:val="Compact"/>
                    <w:jc w:val="left"/>
                    <w:jc w:val="center"/>
                  </w:pPr>
                  <w:r>
                    <w:t xml:space="preserve">Outcome (these terms could be better…)</w:t>
                  </w:r>
                </w:p>
              </w:tc>
              <w:tc>
                <w:tcPr/>
                <w:p>
                  <w:pPr>
                    <w:pStyle w:val="Compact"/>
                    <w:jc w:val="left"/>
                    <w:jc w:val="center"/>
                  </w:pPr>
                  <w:r>
                    <w:t xml:space="preserve">Constraints</w:t>
                  </w:r>
                </w:p>
              </w:tc>
              <w:tc>
                <w:tcPr/>
                <w:p>
                  <w:pPr>
                    <w:pStyle w:val="Compact"/>
                    <w:jc w:val="left"/>
                    <w:jc w:val="center"/>
                  </w:pPr>
                  <w:r>
                    <w:t xml:space="preserve">Interaction</w:t>
                  </w:r>
                </w:p>
              </w:tc>
              <w:tc>
                <w:tcPr/>
                <w:p>
                  <w:pPr>
                    <w:pStyle w:val="Compact"/>
                    <w:jc w:val="left"/>
                    <w:jc w:val="center"/>
                  </w:pPr>
                  <w:r>
                    <w:t xml:space="preserve">‘</w:t>
                  </w:r>
                  <w:r>
                    <w:t xml:space="preserve">Real world</w:t>
                  </w:r>
                  <w:r>
                    <w:t xml:space="preserve">’</w:t>
                  </w:r>
                  <w:r>
                    <w:t xml:space="preserve"> </w:t>
                  </w:r>
                  <w:r>
                    <w:t xml:space="preserve">data</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network</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network</w:t>
                  </w:r>
                </w:p>
              </w:tc>
              <w:tc>
                <w:tcPr/>
                <w:p>
                  <w:pPr>
                    <w:pStyle w:val="Compact"/>
                  </w:pPr>
                </w:p>
              </w:tc>
              <w:tc>
                <w:tcPr/>
                <w:p>
                  <w:pPr>
                    <w:pStyle w:val="Compact"/>
                  </w:pPr>
                </w:p>
              </w:tc>
              <w:tc>
                <w:tcPr/>
                <w:p>
                  <w:pPr>
                    <w:pStyle w:val="Compact"/>
                  </w:pPr>
                </w:p>
              </w:tc>
              <w:tc>
                <w:tcPr/>
                <w:p>
                  <w:pPr>
                    <w:pStyle w:val="Compact"/>
                    <w:jc w:val="left"/>
                    <w:jc w:val="center"/>
                  </w:pPr>
                  <w:r>
                    <w:t xml:space="preserve">abundance</w:t>
                  </w:r>
                </w:p>
              </w:tc>
            </w:tr>
            <w:tr>
              <w:tc>
                <w:tcPr/>
                <w:p>
                  <w:pPr>
                    <w:pStyle w:val="Compact"/>
                    <w:jc w:val="left"/>
                    <w:jc w:val="center"/>
                  </w:pPr>
                  <w:r>
                    <w:t xml:space="preserve">interval</w:t>
                  </w:r>
                </w:p>
              </w:tc>
              <w:tc>
                <w:tcPr/>
                <w:p>
                  <w:pPr>
                    <w:pStyle w:val="Compact"/>
                    <w:jc w:val="left"/>
                    <w:jc w:val="center"/>
                  </w:pPr>
                  <w:r>
                    <w:t xml:space="preserve">Networks are interval, can be ordered on a</w:t>
                  </w:r>
                  <w:r>
                    <w:t xml:space="preserve"> </w:t>
                  </w:r>
                  <w:r>
                    <w:t xml:space="preserve">‘</w:t>
                  </w:r>
                  <w:r>
                    <w:t xml:space="preserve">niche axis</w:t>
                  </w:r>
                  <w:r>
                    <w:t xml:space="preserve">’</w:t>
                  </w: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generative</w:t>
                  </w:r>
                </w:p>
              </w:tc>
              <w:tc>
                <w:tcPr/>
                <w:p>
                  <w:pPr>
                    <w:pStyle w:val="Compact"/>
                    <w:jc w:val="left"/>
                    <w:jc w:val="center"/>
                  </w:pPr>
                  <w:r>
                    <w:t xml:space="preserve">Interactions are determined by structural features of the network (</w:t>
                  </w:r>
                  <w:r>
                    <w:rPr>
                      <w:i/>
                      <w:iCs/>
                    </w:rPr>
                    <w:t xml:space="preserve">pending</w:t>
                  </w:r>
                  <w:r>
                    <w:t xml:space="preserve">)</w:t>
                  </w: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pPr>
                </w:p>
              </w:tc>
              <w:tc>
                <w:tcPr/>
                <w:p>
                  <w:pPr>
                    <w:pStyle w:val="Compact"/>
                    <w:jc w:val="left"/>
                    <w:jc w:val="center"/>
                  </w:pPr>
                  <w:r>
                    <w:t xml:space="preserve">deterministic</w:t>
                  </w:r>
                </w:p>
              </w:tc>
              <w:tc>
                <w:tcPr/>
                <w:p>
                  <w:pPr>
                    <w:pStyle w:val="Compact"/>
                  </w:pPr>
                </w:p>
              </w:tc>
              <w:tc>
                <w:tcPr/>
                <w:p>
                  <w:pPr>
                    <w:pStyle w:val="Compact"/>
                    <w:jc w:val="left"/>
                    <w:jc w:val="center"/>
                  </w:pPr>
                  <w:r>
                    <w:t xml:space="preserve">binary</w:t>
                  </w:r>
                </w:p>
              </w:tc>
              <w:tc>
                <w:tcPr/>
                <w:p>
                  <w:pPr>
                    <w:pStyle w:val="Compact"/>
                    <w:jc w:val="left"/>
                    <w:jc w:val="center"/>
                  </w:pPr>
                  <w:r>
                    <w:t xml:space="preserve">yes (body size, …)</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deterministic</w:t>
                  </w:r>
                </w:p>
              </w:tc>
              <w:tc>
                <w:tcPr/>
                <w:p>
                  <w:pPr>
                    <w:pStyle w:val="Compact"/>
                  </w:pPr>
                </w:p>
              </w:tc>
              <w:tc>
                <w:tcPr/>
                <w:p>
                  <w:pPr>
                    <w:pStyle w:val="Compact"/>
                    <w:jc w:val="left"/>
                    <w:jc w:val="center"/>
                  </w:pPr>
                  <w:r>
                    <w:t xml:space="preserve">probabilistic</w:t>
                  </w:r>
                </w:p>
              </w:tc>
              <w:tc>
                <w:tcPr/>
                <w:p>
                  <w:pPr>
                    <w:pStyle w:val="Compact"/>
                    <w:jc w:val="left"/>
                    <w:jc w:val="center"/>
                  </w:pPr>
                  <w:r>
                    <w:t xml:space="preserve">yes (network, ecological proxy)</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deterministic</w:t>
                  </w:r>
                </w:p>
              </w:tc>
              <w:tc>
                <w:tcPr/>
                <w:p>
                  <w:pPr>
                    <w:pStyle w:val="Compact"/>
                  </w:pPr>
                </w:p>
              </w:tc>
              <w:tc>
                <w:tcPr/>
                <w:p>
                  <w:pPr>
                    <w:pStyle w:val="Compact"/>
                  </w:pPr>
                </w:p>
              </w:tc>
              <w:tc>
                <w:tcPr/>
                <w:p>
                  <w:pPr>
                    <w:pStyle w:val="Compact"/>
                    <w:jc w:val="left"/>
                    <w:jc w:val="center"/>
                  </w:pPr>
                  <w:r>
                    <w:t xml:space="preserve">yes (expert knowledge, trait)</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deterministic</w:t>
                  </w:r>
                </w:p>
              </w:tc>
              <w:tc>
                <w:tcPr/>
                <w:p>
                  <w:pPr>
                    <w:pStyle w:val="Compact"/>
                  </w:pPr>
                </w:p>
              </w:tc>
              <w:tc>
                <w:tcPr/>
                <w:p>
                  <w:pPr>
                    <w:pStyle w:val="Compact"/>
                    <w:jc w:val="left"/>
                    <w:jc w:val="center"/>
                  </w:pPr>
                  <w:r>
                    <w:t xml:space="preserve">probabilistic</w:t>
                  </w:r>
                </w:p>
              </w:tc>
              <w:tc>
                <w:tcPr/>
                <w:p>
                  <w:pPr>
                    <w:pStyle w:val="Compact"/>
                    <w:jc w:val="left"/>
                    <w:jc w:val="center"/>
                  </w:pPr>
                  <w:r>
                    <w:t xml:space="preserve">yes (interaction, trait)</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pPr>
                </w:p>
              </w:tc>
              <w:tc>
                <w:tcPr/>
                <w:p>
                  <w:pPr>
                    <w:pStyle w:val="Compact"/>
                  </w:pPr>
                </w:p>
              </w:tc>
              <w:tc>
                <w:tcPr/>
                <w:p>
                  <w:pPr>
                    <w:pStyle w:val="Compact"/>
                  </w:pPr>
                </w:p>
              </w:tc>
              <w:tc>
                <w:tcPr/>
                <w:p>
                  <w:pPr>
                    <w:pStyle w:val="Compact"/>
                  </w:pPr>
                </w:p>
              </w:tc>
            </w:tr>
          </w:tbl>
          <w:bookmarkEnd w:id="29"/>
          <w:p/>
        </w:tc>
      </w:tr>
    </w:tbl>
    <w:bookmarkEnd w:id="30"/>
    <w:bookmarkStart w:id="31" w:name="datasets-used"/>
    <w:p>
      <w:pPr>
        <w:pStyle w:val="Heading3"/>
      </w:pPr>
      <w:r>
        <w:t xml:space="preserve">4.2 Datasets used</w:t>
      </w:r>
    </w:p>
    <w:p>
      <w:pPr>
        <w:numPr>
          <w:ilvl w:val="0"/>
          <w:numId w:val="1008"/>
        </w:numPr>
      </w:pPr>
      <w:r>
        <w:t xml:space="preserve">For network models makes sense to drop datasets from Mangal</w:t>
      </w:r>
    </w:p>
    <w:p>
      <w:pPr>
        <w:numPr>
          <w:ilvl w:val="0"/>
          <w:numId w:val="1008"/>
        </w:numPr>
      </w:pPr>
      <w:r>
        <w:t xml:space="preserve">‘</w:t>
      </w:r>
      <w:r>
        <w:t xml:space="preserve">Elite</w:t>
      </w:r>
      <w:r>
        <w:t xml:space="preserve">’</w:t>
      </w:r>
      <w:r>
        <w:t xml:space="preserve"> </w:t>
      </w:r>
      <w:r>
        <w:t xml:space="preserve">number of datasets for interaction models</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
          <w:iCs/>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
          <w:iCs/>
        </w:rPr>
        <w:t xml:space="preserve">sensu</w:t>
      </w:r>
      <w:r>
        <w:t xml:space="preserve"> </w:t>
      </w:r>
      <w:r>
        <w:t xml:space="preserve">Caron et al. (2024)</w:t>
      </w:r>
      <w:r>
        <w:t xml:space="preserve">. Although having said that I feel that contradicts the idea of backbones (</w:t>
      </w:r>
      <w:r>
        <w:rPr>
          <w:i/>
          <w:iCs/>
        </w:rPr>
        <w:t xml:space="preserve">sensu</w:t>
      </w:r>
      <w:r>
        <w:t xml:space="preserve"> </w:t>
      </w:r>
      <w:r>
        <w:t xml:space="preserve">Bramon Mora (sp?) et al &amp; Stouffer et al) But that might be where we get the idea of core</w:t>
      </w:r>
      <w:r>
        <w:t xml:space="preserve"> </w:t>
      </w:r>
      <w:r>
        <w:rPr>
          <w:i/>
          <w:iCs/>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1"/>
    <w:bookmarkStart w:id="36" w:name="model-comparison"/>
    <w:p>
      <w:pPr>
        <w:pStyle w:val="Heading3"/>
      </w:pPr>
      <w:r>
        <w:t xml:space="preserve">4.3 Model comparison</w:t>
      </w:r>
    </w:p>
    <w:p>
      <w:pPr>
        <w:pStyle w:val="FirstParagraph"/>
      </w:pPr>
      <w:r>
        <w:t xml:space="preserve">For now the (still essentially pending) workflow/associated code can be found at the following repository</w:t>
      </w:r>
      <w:r>
        <w:t xml:space="preserve"> </w:t>
      </w:r>
      <w:hyperlink r:id="rId32">
        <w:r>
          <w:rPr>
            <w:rStyle w:val="Hyperlink"/>
          </w:rPr>
          <w:t xml:space="preserve">BecksLab/topology_generators</w:t>
        </w:r>
      </w:hyperlink>
      <w:r>
        <w:t xml:space="preserve">. This will reflect that which is shown in panel</w:t>
      </w:r>
      <w:r>
        <w:t xml:space="preserve"> </w:t>
      </w:r>
      <w:r>
        <w:rPr>
          <w:i/>
          <w:iCs/>
        </w:rPr>
        <w:t xml:space="preserve">B</w:t>
      </w:r>
      <w:r>
        <w:t xml:space="preserve"> </w:t>
      </w:r>
      <w:r>
        <w:t xml:space="preserve">of</w:t>
      </w:r>
      <w:r>
        <w:t xml:space="preserve"> </w:t>
      </w:r>
      <w:hyperlink w:anchor="fig-concept">
        <w:r>
          <w:rPr>
            <w:rStyle w:val="Hyperlink"/>
          </w:rPr>
          <w:t xml:space="preserve">Figure 1</w:t>
        </w:r>
      </w:hyperlink>
      <w:r>
        <w:t xml:space="preserve">.</w:t>
      </w:r>
    </w:p>
    <w:p>
      <w:pPr>
        <w:pStyle w:val="Compact"/>
        <w:numPr>
          <w:ilvl w:val="0"/>
          <w:numId w:val="1009"/>
        </w:numPr>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pStyle w:val="Compact"/>
        <w:numPr>
          <w:ilvl w:val="0"/>
          <w:numId w:val="1009"/>
        </w:numPr>
      </w:pPr>
      <w:r>
        <w:t xml:space="preserve">I think it would be remiss to not also take into consideration computational cost</w:t>
      </w:r>
    </w:p>
    <w:p>
      <w:pPr>
        <w:pStyle w:val="Compact"/>
        <w:numPr>
          <w:ilvl w:val="0"/>
          <w:numId w:val="1009"/>
        </w:numPr>
      </w:pPr>
      <w:r>
        <w:t xml:space="preserve">Something about the network output - I’m acknowledging my biases and saying that probabilistic (or</w:t>
      </w:r>
      <w:r>
        <w:t xml:space="preserve"> </w:t>
      </w:r>
      <w:r>
        <w:rPr>
          <w:i/>
          <w:iCs/>
        </w:rPr>
        <w:t xml:space="preserve">maybe</w:t>
      </w:r>
      <w:r>
        <w:t xml:space="preserve"> </w:t>
      </w:r>
      <w:r>
        <w:t xml:space="preserve">weighted) links are the way</w:t>
      </w:r>
    </w:p>
    <w:bookmarkStart w:id="33"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10"/>
        </w:numPr>
      </w:pPr>
      <w:r>
        <w:t xml:space="preserve">connectance, nestedness (Bastolla et al., 2009), modularity (Barber, 2007), asymmetry (Delmas et al., 2018), and Jaccard network dissimilarity (Canard et al., 2014)</w:t>
      </w:r>
    </w:p>
    <w:p>
      <w:pPr>
        <w:numPr>
          <w:ilvl w:val="0"/>
          <w:numId w:val="1010"/>
        </w:numPr>
      </w:pPr>
      <w:r>
        <w:rPr>
          <w:i/>
          <w:iCs/>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0"/>
        </w:numPr>
      </w:pPr>
      <w:r>
        <w:rPr>
          <w:i/>
          <w:iCs/>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0"/>
        </w:numPr>
      </w:pPr>
      <w:r>
        <w:rPr>
          <w:i/>
          <w:iCs/>
        </w:rPr>
        <w:t xml:space="preserve">Links:</w:t>
      </w:r>
      <w:r>
        <w:t xml:space="preserve"> </w:t>
      </w:r>
      <w:r>
        <w:t xml:space="preserve">are the number of links preserved (most network predicting models are to some extend link constrained but useful to see)</w:t>
      </w:r>
    </w:p>
    <w:bookmarkEnd w:id="33"/>
    <w:bookmarkStart w:id="34" w:name="interaction-models"/>
    <w:p>
      <w:pPr>
        <w:pStyle w:val="Heading4"/>
      </w:pPr>
      <w:r>
        <w:t xml:space="preserve">4.3.2 Interaction models</w:t>
      </w:r>
    </w:p>
    <w:p>
      <w:pPr>
        <w:pStyle w:val="Compact"/>
        <w:numPr>
          <w:ilvl w:val="0"/>
          <w:numId w:val="1011"/>
        </w:numPr>
      </w:pPr>
      <w:r>
        <w:t xml:space="preserve">Based on</w:t>
      </w:r>
      <w:r>
        <w:t xml:space="preserve"> </w:t>
      </w:r>
      <w:r>
        <w:t xml:space="preserve">Poisot (2023)</w:t>
      </w:r>
      <w:r>
        <w:t xml:space="preserve">:</w:t>
      </w:r>
    </w:p>
    <w:p>
      <w:pPr>
        <w:pStyle w:val="Compact"/>
        <w:numPr>
          <w:ilvl w:val="1"/>
          <w:numId w:val="1012"/>
        </w:numPr>
      </w:pPr>
      <w:r>
        <w:t xml:space="preserve">Precision-Recall (PR-AUC) - performance</w:t>
      </w:r>
    </w:p>
    <w:p>
      <w:pPr>
        <w:pStyle w:val="Compact"/>
        <w:numPr>
          <w:ilvl w:val="1"/>
          <w:numId w:val="1012"/>
        </w:numPr>
      </w:pPr>
      <w:r>
        <w:t xml:space="preserve">Matthews correlation coefficient (MCC) - accuracy</w:t>
      </w:r>
    </w:p>
    <w:p>
      <w:pPr>
        <w:pStyle w:val="Compact"/>
        <w:numPr>
          <w:ilvl w:val="0"/>
          <w:numId w:val="1011"/>
        </w:numPr>
      </w:pPr>
      <w:r>
        <w:t xml:space="preserve">Maybe same measures we use for the network models</w:t>
      </w:r>
    </w:p>
    <w:bookmarkEnd w:id="34"/>
    <w:bookmarkStart w:id="35" w:name="pva-action-plan"/>
    <w:p>
      <w:pPr>
        <w:pStyle w:val="Heading4"/>
      </w:pPr>
      <w:r>
        <w:t xml:space="preserve">4.3.3 PVA (action plan)</w:t>
      </w:r>
    </w:p>
    <w:p>
      <w:pPr>
        <w:pStyle w:val="Compact"/>
        <w:numPr>
          <w:ilvl w:val="0"/>
          <w:numId w:val="1013"/>
        </w:numPr>
      </w:pPr>
      <w:r>
        <w:t xml:space="preserve">Shortlist/finalise the different topo generators</w:t>
      </w:r>
    </w:p>
    <w:p>
      <w:pPr>
        <w:pStyle w:val="Compact"/>
        <w:numPr>
          <w:ilvl w:val="0"/>
          <w:numId w:val="1013"/>
        </w:numPr>
      </w:pPr>
      <w:r>
        <w:t xml:space="preserve">collate/translate into</w:t>
      </w:r>
      <w:r>
        <w:t xml:space="preserve"> </w:t>
      </w:r>
      <w:r>
        <w:rPr>
          <w:rStyle w:val="VerbatimChar"/>
        </w:rPr>
        <w:t xml:space="preserve">Julia</w:t>
      </w:r>
    </w:p>
    <w:p>
      <w:pPr>
        <w:pStyle w:val="Compact"/>
        <w:numPr>
          <w:ilvl w:val="1"/>
          <w:numId w:val="1014"/>
        </w:numPr>
      </w:pPr>
      <w:r>
        <w:rPr>
          <w:i/>
          <w:iCs/>
        </w:rPr>
        <w:t xml:space="preserve">e.g.,</w:t>
      </w:r>
      <w:r>
        <w:t xml:space="preserve"> </w:t>
      </w:r>
      <w:r>
        <w:t xml:space="preserve">some models wil be in SpeciesInteractionNetworks.jl (new EcoNet); I know (parts of) the transfer learning stuff is and the niche model</w:t>
      </w:r>
    </w:p>
    <w:p>
      <w:pPr>
        <w:pStyle w:val="Compact"/>
        <w:numPr>
          <w:ilvl w:val="1"/>
          <w:numId w:val="1014"/>
        </w:numPr>
      </w:pPr>
      <w:r>
        <w:t xml:space="preserve">others will need to be coded out (the more simpler models should be easier)</w:t>
      </w:r>
    </w:p>
    <w:p>
      <w:pPr>
        <w:pStyle w:val="Compact"/>
        <w:numPr>
          <w:ilvl w:val="0"/>
          <w:numId w:val="1013"/>
        </w:numPr>
      </w:pPr>
      <w:r>
        <w:t xml:space="preserve">Curate networks for the different datasets/scenarios we select - I feel like there might be some scenarios that we can’t do all models for all datasets but maybe I’m being a pessimist.</w:t>
      </w:r>
    </w:p>
    <w:p>
      <w:pPr>
        <w:pStyle w:val="Compact"/>
        <w:numPr>
          <w:ilvl w:val="1"/>
          <w:numId w:val="1015"/>
        </w:numPr>
      </w:pPr>
      <w:r>
        <w:t xml:space="preserve">Need to also think about where one might find the additional data for some of the models…</w:t>
      </w:r>
    </w:p>
    <w:p>
      <w:pPr>
        <w:pStyle w:val="Compact"/>
        <w:numPr>
          <w:ilvl w:val="2"/>
          <w:numId w:val="1016"/>
        </w:numPr>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pStyle w:val="Compact"/>
        <w:numPr>
          <w:ilvl w:val="2"/>
          <w:numId w:val="1016"/>
        </w:numPr>
      </w:pPr>
      <w:r>
        <w:t xml:space="preserve">Other trait sources:</w:t>
      </w:r>
      <w:r>
        <w:t xml:space="preserve"> </w:t>
      </w:r>
      <w:r>
        <w:t xml:space="preserve">Wilman et al. (2014)</w:t>
      </w:r>
      <w:r>
        <w:t xml:space="preserve"> </w:t>
      </w:r>
      <w:r>
        <w:t xml:space="preserve">and</w:t>
      </w:r>
      <w:r>
        <w:t xml:space="preserve"> </w:t>
      </w:r>
      <w:r>
        <w:t xml:space="preserve">Jones et al. (2009)</w:t>
      </w:r>
    </w:p>
    <w:p>
      <w:pPr>
        <w:pStyle w:val="Compact"/>
        <w:numPr>
          <w:ilvl w:val="2"/>
          <w:numId w:val="1016"/>
        </w:numPr>
      </w:pPr>
      <w:r>
        <w:t xml:space="preserve">This is where we’ll get the paleo traits from if I’m correct</w:t>
      </w:r>
      <w:r>
        <w:t xml:space="preserve"> </w:t>
      </w:r>
      <w:r>
        <w:t xml:space="preserve">Bambach, Bush, and Erwin (2007)</w:t>
      </w:r>
    </w:p>
    <w:p>
      <w:pPr>
        <w:pStyle w:val="Compact"/>
        <w:numPr>
          <w:ilvl w:val="2"/>
          <w:numId w:val="1016"/>
        </w:numPr>
      </w:pPr>
      <w:r>
        <w:t xml:space="preserve">Phylogeny stuff:</w:t>
      </w:r>
      <w:r>
        <w:t xml:space="preserve"> </w:t>
      </w:r>
      <w:r>
        <w:t xml:space="preserve">Upham, Esselstyn, and Jetz (2019)</w:t>
      </w:r>
      <w:r>
        <w:t xml:space="preserve"> </w:t>
      </w:r>
      <w:r>
        <w:t xml:space="preserve">(what we used for TL but its only mammals…) but I’m sure there will be others</w:t>
      </w:r>
    </w:p>
    <w:p>
      <w:pPr>
        <w:pStyle w:val="Compact"/>
        <w:numPr>
          <w:ilvl w:val="1"/>
          <w:numId w:val="1015"/>
        </w:numPr>
      </w:pPr>
      <w:r>
        <w:t xml:space="preserve">Also limitation of scope…</w:t>
      </w:r>
      <w:r>
        <w:t xml:space="preserve"> </w:t>
      </w:r>
      <w:r>
        <w:rPr>
          <w:i/>
          <w:iCs/>
        </w:rPr>
        <w:t xml:space="preserve">e.g.,</w:t>
      </w:r>
      <w:r>
        <w:t xml:space="preserve"> </w:t>
      </w:r>
      <w:r>
        <w:t xml:space="preserve">do we even dare to think about including plants/basal producers (see</w:t>
      </w:r>
      <w:r>
        <w:t xml:space="preserve"> </w:t>
      </w:r>
      <w:r>
        <w:rPr>
          <w:i/>
          <w:iCs/>
        </w:rPr>
        <w:t xml:space="preserve">e.g.,</w:t>
      </w:r>
      <w:r>
        <w:t xml:space="preserve"> </w:t>
      </w:r>
      <w:r>
        <w:t xml:space="preserve">Valdovinos et al. (2023)</w:t>
      </w:r>
      <w:r>
        <w:t xml:space="preserve">)</w:t>
      </w:r>
    </w:p>
    <w:p>
      <w:pPr>
        <w:pStyle w:val="Compact"/>
        <w:numPr>
          <w:ilvl w:val="1"/>
          <w:numId w:val="1015"/>
        </w:numPr>
      </w:pPr>
      <w:r>
        <w:t xml:space="preserve">Taxonomic harmonisation - something to think about and check</w:t>
      </w:r>
    </w:p>
    <w:bookmarkEnd w:id="35"/>
    <w:bookmarkEnd w:id="36"/>
    <w:bookmarkEnd w:id="37"/>
    <w:bookmarkStart w:id="48"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1"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pStyle w:val="Compact"/>
        <w:numPr>
          <w:ilvl w:val="0"/>
          <w:numId w:val="1017"/>
        </w:numPr>
      </w:pPr>
      <w:r>
        <w:t xml:space="preserve">scale limitations (time or space);</w:t>
      </w:r>
      <w:r>
        <w:t xml:space="preserve"> </w:t>
      </w:r>
      <w:r>
        <w:rPr>
          <w:i/>
          <w:iCs/>
        </w:rPr>
        <w:t xml:space="preserve">e.g.,</w:t>
      </w:r>
      <w:r>
        <w:t xml:space="preserve"> </w:t>
      </w:r>
      <w:r>
        <w:t xml:space="preserve">a metaweb is going to encapsulate but not distinguish between different seasons or locations</w:t>
      </w:r>
    </w:p>
    <w:p>
      <w:pPr>
        <w:pStyle w:val="Compact"/>
        <w:numPr>
          <w:ilvl w:val="0"/>
          <w:numId w:val="1017"/>
        </w:numPr>
      </w:pPr>
      <w:r>
        <w:t xml:space="preserve">data needed. I think this can be in the form of real world datasets (</w:t>
      </w:r>
      <w:r>
        <w:rPr>
          <w:i/>
          <w:iCs/>
        </w:rPr>
        <w:t xml:space="preserve">e.g.,</w:t>
      </w:r>
      <w:r>
        <w:t xml:space="preserve"> </w:t>
      </w:r>
      <w:r>
        <w:t xml:space="preserve">traits) but also</w:t>
      </w:r>
      <w:r>
        <w:t xml:space="preserve"> </w:t>
      </w:r>
      <w:r>
        <w:rPr>
          <w:i/>
          <w:iCs/>
        </w:rPr>
        <w:t xml:space="preserve">a priori</w:t>
      </w:r>
      <w:r>
        <w:t xml:space="preserve"> </w:t>
      </w:r>
      <w:r>
        <w:t xml:space="preserve">knowledge (</w:t>
      </w:r>
      <w:r>
        <w:rPr>
          <w:i/>
          <w:iCs/>
        </w:rPr>
        <w:t xml:space="preserve">e.g.,</w:t>
      </w:r>
      <w:r>
        <w:t xml:space="preserve"> </w:t>
      </w:r>
      <w:r>
        <w:t xml:space="preserve">having to define the constraints of a niche model)</w:t>
      </w:r>
    </w:p>
    <w:p>
      <w:pPr>
        <w:pStyle w:val="Compact"/>
        <w:numPr>
          <w:ilvl w:val="0"/>
          <w:numId w:val="1017"/>
        </w:numPr>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39" name="Picture"/>
            <a:graphic>
              <a:graphicData uri="http://schemas.openxmlformats.org/drawingml/2006/picture">
                <pic:pic>
                  <pic:nvPicPr>
                    <pic:cNvPr descr="images/model_venn.png" id="40" name="Picture"/>
                    <pic:cNvPicPr>
                      <a:picLocks noChangeArrowheads="1" noChangeAspect="1"/>
                    </pic:cNvPicPr>
                  </pic:nvPicPr>
                  <pic:blipFill>
                    <a:blip r:embed="rId38"/>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1"/>
    <w:bookmarkStart w:id="47" w:name="quantitative-stuff"/>
    <w:p>
      <w:pPr>
        <w:pStyle w:val="Heading3"/>
      </w:pPr>
      <w:r>
        <w:t xml:space="preserve">5.2 Quantitative stuff</w:t>
      </w:r>
    </w:p>
    <w:tbl>
      <w:tblPr>
        <w:tblStyle w:val="Table"/>
        <w:tblW w:type="pct" w:w="5000"/>
        <w:jc w:val="left"/>
        <w:tblLayout w:type="fixed"/>
        <w:tblLook w:firstRow="0" w:lastRow="0" w:firstColumn="0" w:lastColumn="0" w:noHBand="0" w:noVBand="0" w:val="0000"/>
      </w:tblPr>
      <w:tblGrid>
        <w:gridCol w:w="7920"/>
      </w:tblGrid>
      <w:tr>
        <w:tc>
          <w:tcPr/>
          <w:bookmarkStart w:id="45" w:name="fig-topology"/>
          <w:p>
            <w:pPr>
              <w:pStyle w:val="Compact"/>
              <w:jc w:val="center"/>
            </w:pPr>
            <w:r>
              <w:drawing>
                <wp:inline>
                  <wp:extent cx="5334000" cy="3810000"/>
                  <wp:effectExtent b="0" l="0" r="0" t="0"/>
                  <wp:docPr descr="" title="" id="43" name="Picture"/>
                  <a:graphic>
                    <a:graphicData uri="http://schemas.openxmlformats.org/drawingml/2006/picture">
                      <pic:pic>
                        <pic:nvPicPr>
                          <pic:cNvPr descr="index_files/figure-docx/notebooks-model_quantitative-fig-topology-output-2.png" id="44" name="Picture"/>
                          <pic:cNvPicPr>
                            <a:picLocks noChangeArrowheads="1" noChangeAspect="1"/>
                          </pic:cNvPicPr>
                        </pic:nvPicPr>
                        <pic:blipFill>
                          <a:blip r:embed="rId4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Z-scores for network summary statistics. Note here that</w:t>
            </w:r>
            <w:r>
              <w:t xml:space="preserve"> </w:t>
            </w:r>
            <w:r>
              <w:t xml:space="preserve">‘</w:t>
            </w:r>
            <w:r>
              <w:t xml:space="preserve">basal</w:t>
            </w:r>
            <w:r>
              <w:t xml:space="preserve">’</w:t>
            </w:r>
            <w:r>
              <w:t xml:space="preserve"> </w:t>
            </w:r>
            <w:r>
              <w:t xml:space="preserve">is calculated as the proportion of species that have a generality value of zero</w:t>
            </w:r>
            <w:r>
              <w:t xml:space="preserve"> </w:t>
            </w:r>
            <w:r>
              <w:rPr>
                <w:i/>
                <w:iCs/>
              </w:rPr>
              <w:t xml:space="preserve">i.e.,</w:t>
            </w:r>
            <w:r>
              <w:t xml:space="preserve"> </w:t>
            </w:r>
            <w:r>
              <w:t xml:space="preserve">are basal, for</w:t>
            </w:r>
            <w:r>
              <w:t xml:space="preserve"> </w:t>
            </w:r>
            <w:r>
              <w:t xml:space="preserve">‘</w:t>
            </w:r>
            <w:r>
              <w:t xml:space="preserve">top</w:t>
            </w:r>
            <w:r>
              <w:t xml:space="preserve">’</w:t>
            </w:r>
            <w:r>
              <w:t xml:space="preserve"> </w:t>
            </w:r>
            <w:r>
              <w:t xml:space="preserve">species it is the same except vulnerability is used. I am aware that there are no Z scores for some of the Random models and am looking into it</w:t>
            </w:r>
          </w:p>
          <w:bookmarkEnd w:id="45"/>
        </w:tc>
      </w:tr>
    </w:tbl>
    <w:p>
      <w:pPr>
        <w:pStyle w:val="BodyText"/>
      </w:pPr>
      <w:r>
        <w:rPr>
          <w:vertAlign w:val="subscript"/>
        </w:rPr>
        <w:t xml:space="preserve">Source:</w:t>
      </w:r>
      <w:r>
        <w:rPr>
          <w:vertAlign w:val="subscript"/>
        </w:rPr>
        <w:t xml:space="preserve"> </w:t>
      </w:r>
      <w:hyperlink r:id="rId46">
        <w:r>
          <w:rPr>
            <w:rStyle w:val="Hyperlink"/>
            <w:vertAlign w:val="subscript"/>
          </w:rPr>
          <w:t xml:space="preserve">Article Notebook</w:t>
        </w:r>
      </w:hyperlink>
    </w:p>
    <w:p>
      <w:pPr>
        <w:pStyle w:val="BodyText"/>
      </w:pPr>
      <w:r>
        <w:t xml:space="preserve">This might actually be an awful way to try and summarise the data but rolling with it for now…</w:t>
      </w:r>
    </w:p>
    <w:bookmarkEnd w:id="47"/>
    <w:bookmarkEnd w:id="48"/>
    <w:bookmarkStart w:id="49" w:name="discussion"/>
    <w:p>
      <w:pPr>
        <w:pStyle w:val="Heading2"/>
      </w:pPr>
      <w:r>
        <w:t xml:space="preserve">6 Discussion</w:t>
      </w:r>
    </w:p>
    <w:p>
      <w:pPr>
        <w:numPr>
          <w:ilvl w:val="0"/>
          <w:numId w:val="1018"/>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18"/>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18"/>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19"/>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0"/>
          <w:numId w:val="1019"/>
        </w:numPr>
      </w:pPr>
      <w:r>
        <w:t xml:space="preserve">It will be interesting to bring up the idea that if a model is missing a specific pairwise link but doing well at the structural level then when does it matter?</w:t>
      </w:r>
    </w:p>
    <w:p>
      <w:pPr>
        <w:numPr>
          <w:ilvl w:val="0"/>
          <w:numId w:val="1019"/>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49"/>
    <w:bookmarkStart w:id="144"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6">
        <w:r>
          <w:rPr>
            <w:rStyle w:val="Hyperlink"/>
            <w:vertAlign w:val="subscript"/>
          </w:rPr>
          <w:t xml:space="preserve">Article Notebook</w:t>
        </w:r>
      </w:hyperlink>
    </w:p>
    <w:bookmarkStart w:id="143" w:name="refs"/>
    <w:bookmarkStart w:id="51"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50">
        <w:r>
          <w:rPr>
            <w:rStyle w:val="Hyperlink"/>
          </w:rPr>
          <w:t xml:space="preserve">https://doi.org/10.1126/science.1156269</w:t>
        </w:r>
      </w:hyperlink>
      <w:r>
        <w:t xml:space="preserve">.</w:t>
      </w:r>
    </w:p>
    <w:bookmarkEnd w:id="51"/>
    <w:bookmarkStart w:id="53"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
          <w:iCs/>
        </w:rPr>
        <w:t xml:space="preserve">Palaeontology</w:t>
      </w:r>
      <w:r>
        <w:t xml:space="preserve"> </w:t>
      </w:r>
      <w:r>
        <w:t xml:space="preserve">50 (1): 1–22.</w:t>
      </w:r>
      <w:r>
        <w:t xml:space="preserve"> </w:t>
      </w:r>
      <w:hyperlink r:id="rId52">
        <w:r>
          <w:rPr>
            <w:rStyle w:val="Hyperlink"/>
          </w:rPr>
          <w:t xml:space="preserve">https://doi.org/10.1111/j.1475-4983.2006.00611.x</w:t>
        </w:r>
      </w:hyperlink>
      <w:r>
        <w:t xml:space="preserve">.</w:t>
      </w:r>
    </w:p>
    <w:bookmarkEnd w:id="53"/>
    <w:bookmarkStart w:id="55"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54">
        <w:r>
          <w:rPr>
            <w:rStyle w:val="Hyperlink"/>
          </w:rPr>
          <w:t xml:space="preserve">https://doi.org/10.1371/journal.pcbi.1011458</w:t>
        </w:r>
      </w:hyperlink>
      <w:r>
        <w:t xml:space="preserve">.</w:t>
      </w:r>
    </w:p>
    <w:bookmarkEnd w:id="55"/>
    <w:bookmarkStart w:id="57"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56">
        <w:r>
          <w:rPr>
            <w:rStyle w:val="Hyperlink"/>
          </w:rPr>
          <w:t xml:space="preserve">https://doi.org/10.1073/pnas.1633576100</w:t>
        </w:r>
      </w:hyperlink>
      <w:r>
        <w:t xml:space="preserve">.</w:t>
      </w:r>
    </w:p>
    <w:bookmarkEnd w:id="57"/>
    <w:bookmarkStart w:id="59"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58">
        <w:r>
          <w:rPr>
            <w:rStyle w:val="Hyperlink"/>
          </w:rPr>
          <w:t xml:space="preserve">https://doi.org/10.1073/pnas.0603039103</w:t>
        </w:r>
      </w:hyperlink>
      <w:r>
        <w:t xml:space="preserve">.</w:t>
      </w:r>
    </w:p>
    <w:bookmarkEnd w:id="59"/>
    <w:bookmarkStart w:id="61"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60">
        <w:r>
          <w:rPr>
            <w:rStyle w:val="Hyperlink"/>
          </w:rPr>
          <w:t xml:space="preserve">https://doi.org/10.1073/pnas.0800967105</w:t>
        </w:r>
      </w:hyperlink>
      <w:r>
        <w:t xml:space="preserve">.</w:t>
      </w:r>
    </w:p>
    <w:bookmarkEnd w:id="61"/>
    <w:bookmarkStart w:id="63"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
          <w:iCs/>
        </w:rPr>
        <w:t xml:space="preserve">Global Ecology and Biogeography</w:t>
      </w:r>
      <w:r>
        <w:t xml:space="preserve"> </w:t>
      </w:r>
      <w:r>
        <w:t xml:space="preserve">33 (4): e13807.</w:t>
      </w:r>
      <w:r>
        <w:t xml:space="preserve"> </w:t>
      </w:r>
      <w:hyperlink r:id="rId62">
        <w:r>
          <w:rPr>
            <w:rStyle w:val="Hyperlink"/>
          </w:rPr>
          <w:t xml:space="preserve">https://doi.org/10.1111/geb.13807</w:t>
        </w:r>
      </w:hyperlink>
      <w:r>
        <w:t xml:space="preserve">.</w:t>
      </w:r>
    </w:p>
    <w:bookmarkEnd w:id="63"/>
    <w:bookmarkStart w:id="65"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64">
        <w:r>
          <w:rPr>
            <w:rStyle w:val="Hyperlink"/>
          </w:rPr>
          <w:t xml:space="preserve">https://doi.org/10.1111/ele.13966</w:t>
        </w:r>
      </w:hyperlink>
      <w:r>
        <w:t xml:space="preserve">.</w:t>
      </w:r>
    </w:p>
    <w:bookmarkEnd w:id="65"/>
    <w:bookmarkStart w:id="67"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66">
        <w:r>
          <w:rPr>
            <w:rStyle w:val="Hyperlink"/>
          </w:rPr>
          <w:t xml:space="preserve">https://doi.org/10.1038/nature02327</w:t>
        </w:r>
      </w:hyperlink>
      <w:r>
        <w:t xml:space="preserve">.</w:t>
      </w:r>
    </w:p>
    <w:bookmarkEnd w:id="67"/>
    <w:bookmarkStart w:id="69"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68">
        <w:r>
          <w:rPr>
            <w:rStyle w:val="Hyperlink"/>
          </w:rPr>
          <w:t xml:space="preserve">https://doi.org/10.1111/2041-210X.13180</w:t>
        </w:r>
      </w:hyperlink>
      <w:r>
        <w:t xml:space="preserve">.</w:t>
      </w:r>
    </w:p>
    <w:bookmarkEnd w:id="69"/>
    <w:bookmarkStart w:id="70"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70"/>
    <w:bookmarkStart w:id="72"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71">
        <w:r>
          <w:rPr>
            <w:rStyle w:val="Hyperlink"/>
          </w:rPr>
          <w:t xml:space="preserve">https://doi.org/10.1098/rspb.1985.0042</w:t>
        </w:r>
      </w:hyperlink>
      <w:r>
        <w:t xml:space="preserve">.</w:t>
      </w:r>
    </w:p>
    <w:bookmarkEnd w:id="72"/>
    <w:bookmarkStart w:id="74"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73">
        <w:r>
          <w:rPr>
            <w:rStyle w:val="Hyperlink"/>
          </w:rPr>
          <w:t xml:space="preserve">https://doi.org/10.2307/1936298</w:t>
        </w:r>
      </w:hyperlink>
      <w:r>
        <w:t xml:space="preserve">.</w:t>
      </w:r>
    </w:p>
    <w:bookmarkEnd w:id="74"/>
    <w:bookmarkStart w:id="76"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75">
        <w:r>
          <w:rPr>
            <w:rStyle w:val="Hyperlink"/>
          </w:rPr>
          <w:t xml:space="preserve">https://doi.org/10.7717/peerj.3644</w:t>
        </w:r>
      </w:hyperlink>
      <w:r>
        <w:t xml:space="preserve">.</w:t>
      </w:r>
    </w:p>
    <w:bookmarkEnd w:id="76"/>
    <w:bookmarkStart w:id="77"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77"/>
    <w:bookmarkStart w:id="79"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78">
        <w:r>
          <w:rPr>
            <w:rStyle w:val="Hyperlink"/>
          </w:rPr>
          <w:t xml:space="preserve">https://doi.org/10.1371/journal.pbio.0060102</w:t>
        </w:r>
      </w:hyperlink>
      <w:r>
        <w:t xml:space="preserve">.</w:t>
      </w:r>
    </w:p>
    <w:bookmarkEnd w:id="79"/>
    <w:bookmarkStart w:id="81"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80">
        <w:r>
          <w:rPr>
            <w:rStyle w:val="Hyperlink"/>
          </w:rPr>
          <w:t xml:space="preserve">https://doi.org/10.1111/2041-210X.12062</w:t>
        </w:r>
      </w:hyperlink>
      <w:r>
        <w:t xml:space="preserve">.</w:t>
      </w:r>
    </w:p>
    <w:bookmarkEnd w:id="81"/>
    <w:bookmarkStart w:id="83" w:name="ref-erdosRandomGraphs1959"/>
    <w:p>
      <w:pPr>
        <w:pStyle w:val="Bibliography"/>
      </w:pPr>
      <w:r>
        <w:t xml:space="preserve">Erdős, Paul, and Alfréd Rényi. 1959.</w:t>
      </w:r>
      <w:r>
        <w:t xml:space="preserve"> </w:t>
      </w:r>
      <w:r>
        <w:t xml:space="preserve">“On</w:t>
      </w:r>
      <w:r>
        <w:t xml:space="preserve"> </w:t>
      </w:r>
      <w:r>
        <w:t xml:space="preserve">Random Graphs I</w:t>
      </w:r>
      <w:r>
        <w:t xml:space="preserve">.”</w:t>
      </w:r>
      <w:r>
        <w:t xml:space="preserve"> </w:t>
      </w:r>
      <w:r>
        <w:rPr>
          <w:i/>
          <w:iCs/>
        </w:rPr>
        <w:t xml:space="preserve">Publicationes Mathematicae</w:t>
      </w:r>
      <w:r>
        <w:t xml:space="preserve">.</w:t>
      </w:r>
      <w:r>
        <w:t xml:space="preserve"> </w:t>
      </w:r>
      <w:hyperlink r:id="rId82">
        <w:r>
          <w:rPr>
            <w:rStyle w:val="Hyperlink"/>
          </w:rPr>
          <w:t xml:space="preserve">https://doi.org/10.5486/PMD.1959.6.3-4.12</w:t>
        </w:r>
      </w:hyperlink>
      <w:r>
        <w:t xml:space="preserve">.</w:t>
      </w:r>
    </w:p>
    <w:bookmarkEnd w:id="83"/>
    <w:bookmarkStart w:id="85"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84">
        <w:r>
          <w:rPr>
            <w:rStyle w:val="Hyperlink"/>
          </w:rPr>
          <w:t xml:space="preserve">https://doi.org/10.1111/j.1461-0248.2005.00868.x</w:t>
        </w:r>
      </w:hyperlink>
      <w:r>
        <w:t xml:space="preserve">.</w:t>
      </w:r>
    </w:p>
    <w:bookmarkEnd w:id="85"/>
    <w:bookmarkStart w:id="87"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86">
        <w:r>
          <w:rPr>
            <w:rStyle w:val="Hyperlink"/>
          </w:rPr>
          <w:t xml:space="preserve">https://doi.org/10.1111/2041-210X.12103</w:t>
        </w:r>
      </w:hyperlink>
      <w:r>
        <w:t xml:space="preserve">.</w:t>
      </w:r>
    </w:p>
    <w:bookmarkEnd w:id="87"/>
    <w:bookmarkStart w:id="89"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
          <w:iCs/>
        </w:rPr>
        <w:t xml:space="preserve">Scientific Data</w:t>
      </w:r>
      <w:r>
        <w:t xml:space="preserve"> </w:t>
      </w:r>
      <w:r>
        <w:t xml:space="preserve">9 (1): 265.</w:t>
      </w:r>
      <w:r>
        <w:t xml:space="preserve"> </w:t>
      </w:r>
      <w:hyperlink r:id="rId88">
        <w:r>
          <w:rPr>
            <w:rStyle w:val="Hyperlink"/>
          </w:rPr>
          <w:t xml:space="preserve">https://doi.org/10.1038/s41597-022-01364-9</w:t>
        </w:r>
      </w:hyperlink>
      <w:r>
        <w:t xml:space="preserve">.</w:t>
      </w:r>
    </w:p>
    <w:bookmarkEnd w:id="89"/>
    <w:bookmarkStart w:id="91"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
          <w:iCs/>
        </w:rPr>
        <w:t xml:space="preserve">Ecology</w:t>
      </w:r>
      <w:r>
        <w:t xml:space="preserve"> </w:t>
      </w:r>
      <w:r>
        <w:t xml:space="preserve">90 (9): 2648–48.</w:t>
      </w:r>
      <w:r>
        <w:t xml:space="preserve"> </w:t>
      </w:r>
      <w:hyperlink r:id="rId90">
        <w:r>
          <w:rPr>
            <w:rStyle w:val="Hyperlink"/>
          </w:rPr>
          <w:t xml:space="preserve">https://doi.org/10.1890/08-1494.1</w:t>
        </w:r>
      </w:hyperlink>
      <w:r>
        <w:t xml:space="preserve">.</w:t>
      </w:r>
    </w:p>
    <w:bookmarkEnd w:id="91"/>
    <w:bookmarkStart w:id="93"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92">
        <w:r>
          <w:rPr>
            <w:rStyle w:val="Hyperlink"/>
          </w:rPr>
          <w:t xml:space="preserve">https://doi.org/10.1371/journal.pbio.1002559</w:t>
        </w:r>
      </w:hyperlink>
      <w:r>
        <w:t xml:space="preserve">.</w:t>
      </w:r>
    </w:p>
    <w:bookmarkEnd w:id="93"/>
    <w:bookmarkStart w:id="95"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94">
        <w:r>
          <w:rPr>
            <w:rStyle w:val="Hyperlink"/>
          </w:rPr>
          <w:t xml:space="preserve">https://doi.org/10.1111/1365-2435.12763</w:t>
        </w:r>
      </w:hyperlink>
      <w:r>
        <w:t xml:space="preserve">.</w:t>
      </w:r>
    </w:p>
    <w:bookmarkEnd w:id="95"/>
    <w:bookmarkStart w:id="97"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96">
        <w:r>
          <w:rPr>
            <w:rStyle w:val="Hyperlink"/>
          </w:rPr>
          <w:t xml:space="preserve">https://doi.org/10.1111/ecog.06619</w:t>
        </w:r>
      </w:hyperlink>
      <w:r>
        <w:t xml:space="preserve">.</w:t>
      </w:r>
    </w:p>
    <w:bookmarkEnd w:id="97"/>
    <w:bookmarkStart w:id="99"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98">
        <w:r>
          <w:rPr>
            <w:rStyle w:val="Hyperlink"/>
          </w:rPr>
          <w:t xml:space="preserve">https://doi.org/10.1111/geb.13138</w:t>
        </w:r>
      </w:hyperlink>
      <w:r>
        <w:t xml:space="preserve">.</w:t>
      </w:r>
    </w:p>
    <w:bookmarkEnd w:id="99"/>
    <w:bookmarkStart w:id="101"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00">
        <w:r>
          <w:rPr>
            <w:rStyle w:val="Hyperlink"/>
          </w:rPr>
          <w:t xml:space="preserve">https://doi.org/10.1016/j.tree.2015.03.014</w:t>
        </w:r>
      </w:hyperlink>
      <w:r>
        <w:t xml:space="preserve">.</w:t>
      </w:r>
    </w:p>
    <w:bookmarkEnd w:id="101"/>
    <w:bookmarkStart w:id="102" w:name="ref-newmanNetworksIntroduction2010"/>
    <w:p>
      <w:pPr>
        <w:pStyle w:val="Bibliography"/>
      </w:pPr>
      <w:r>
        <w:t xml:space="preserve">Newman, Mark E. J. 2010.</w:t>
      </w:r>
      <w:r>
        <w:t xml:space="preserve"> </w:t>
      </w:r>
      <w:r>
        <w:rPr>
          <w:i/>
          <w:iCs/>
        </w:rPr>
        <w:t xml:space="preserve">Networks.</w:t>
      </w:r>
      <w:r>
        <w:rPr>
          <w:i/>
          <w:iCs/>
        </w:rPr>
        <w:t xml:space="preserve"> </w:t>
      </w:r>
      <w:r>
        <w:rPr>
          <w:i/>
          <w:iCs/>
        </w:rPr>
        <w:t xml:space="preserve">An</w:t>
      </w:r>
      <w:r>
        <w:rPr>
          <w:i/>
          <w:iCs/>
        </w:rPr>
        <w:t xml:space="preserve"> </w:t>
      </w:r>
      <w:r>
        <w:rPr>
          <w:i/>
          <w:iCs/>
        </w:rPr>
        <w:t xml:space="preserve">Introduction</w:t>
      </w:r>
      <w:r>
        <w:t xml:space="preserve">. New York, NY: Oxford University Press.</w:t>
      </w:r>
    </w:p>
    <w:bookmarkEnd w:id="102"/>
    <w:bookmarkStart w:id="104"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03">
        <w:r>
          <w:rPr>
            <w:rStyle w:val="Hyperlink"/>
          </w:rPr>
          <w:t xml:space="preserve">https://doi.org/10.1073/pnas.0710672105</w:t>
        </w:r>
      </w:hyperlink>
      <w:r>
        <w:t xml:space="preserve">.</w:t>
      </w:r>
    </w:p>
    <w:bookmarkEnd w:id="104"/>
    <w:bookmarkStart w:id="106"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05">
        <w:r>
          <w:rPr>
            <w:rStyle w:val="Hyperlink"/>
          </w:rPr>
          <w:t xml:space="preserve">https://doi.org/10.1016/j.jtbi.2011.03.019</w:t>
        </w:r>
      </w:hyperlink>
      <w:r>
        <w:t xml:space="preserve">.</w:t>
      </w:r>
    </w:p>
    <w:bookmarkEnd w:id="106"/>
    <w:bookmarkStart w:id="108"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07">
        <w:r>
          <w:rPr>
            <w:rStyle w:val="Hyperlink"/>
          </w:rPr>
          <w:t xml:space="preserve">https://doi.org/10.1111/2041-210X.14071</w:t>
        </w:r>
      </w:hyperlink>
      <w:r>
        <w:t xml:space="preserve">.</w:t>
      </w:r>
    </w:p>
    <w:bookmarkEnd w:id="108"/>
    <w:bookmarkStart w:id="110"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09">
        <w:r>
          <w:rPr>
            <w:rStyle w:val="Hyperlink"/>
          </w:rPr>
          <w:t xml:space="preserve">https://doi.org/10.1111/jbi.14127</w:t>
        </w:r>
      </w:hyperlink>
      <w:r>
        <w:t xml:space="preserve">.</w:t>
      </w:r>
    </w:p>
    <w:bookmarkEnd w:id="110"/>
    <w:bookmarkStart w:id="112"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11">
        <w:r>
          <w:rPr>
            <w:rStyle w:val="Hyperlink"/>
          </w:rPr>
          <w:t xml:space="preserve">https://doi.org/10.1111/oik.01719</w:t>
        </w:r>
      </w:hyperlink>
      <w:r>
        <w:t xml:space="preserve">.</w:t>
      </w:r>
    </w:p>
    <w:bookmarkEnd w:id="112"/>
    <w:bookmarkStart w:id="114"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13">
        <w:r>
          <w:rPr>
            <w:rStyle w:val="Hyperlink"/>
          </w:rPr>
          <w:t xml:space="preserve">https://doi.org/10.1111/2041-210X.13125</w:t>
        </w:r>
      </w:hyperlink>
      <w:r>
        <w:t xml:space="preserve">.</w:t>
      </w:r>
    </w:p>
    <w:bookmarkEnd w:id="114"/>
    <w:bookmarkStart w:id="116"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15">
        <w:r>
          <w:rPr>
            <w:rStyle w:val="Hyperlink"/>
          </w:rPr>
          <w:t xml:space="preserve">https://doi.org/10.1086/653667</w:t>
        </w:r>
      </w:hyperlink>
      <w:r>
        <w:t xml:space="preserve">.</w:t>
      </w:r>
    </w:p>
    <w:bookmarkEnd w:id="116"/>
    <w:bookmarkStart w:id="118"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17">
        <w:r>
          <w:rPr>
            <w:rStyle w:val="Hyperlink"/>
          </w:rPr>
          <w:t xml:space="preserve">https://doi.org/10.1101/2024.01.30.578036</w:t>
        </w:r>
      </w:hyperlink>
      <w:r>
        <w:t xml:space="preserve">.</w:t>
      </w:r>
    </w:p>
    <w:bookmarkEnd w:id="118"/>
    <w:bookmarkStart w:id="120"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19">
        <w:r>
          <w:rPr>
            <w:rStyle w:val="Hyperlink"/>
          </w:rPr>
          <w:t xml:space="preserve">https://doi.org/10.1111/2041-210X.13835</w:t>
        </w:r>
      </w:hyperlink>
      <w:r>
        <w:t xml:space="preserve">.</w:t>
      </w:r>
    </w:p>
    <w:bookmarkEnd w:id="120"/>
    <w:bookmarkStart w:id="122"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21">
        <w:r>
          <w:rPr>
            <w:rStyle w:val="Hyperlink"/>
          </w:rPr>
          <w:t xml:space="preserve">https://doi.org/10.1111/2041-210X.14228</w:t>
        </w:r>
      </w:hyperlink>
      <w:r>
        <w:t xml:space="preserve">.</w:t>
      </w:r>
    </w:p>
    <w:bookmarkEnd w:id="122"/>
    <w:bookmarkStart w:id="124"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23">
        <w:r>
          <w:rPr>
            <w:rStyle w:val="Hyperlink"/>
          </w:rPr>
          <w:t xml:space="preserve">https://doi.org/10.1098/rstb.2021.0063</w:t>
        </w:r>
      </w:hyperlink>
      <w:r>
        <w:t xml:space="preserve">.</w:t>
      </w:r>
    </w:p>
    <w:bookmarkEnd w:id="124"/>
    <w:bookmarkStart w:id="126"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
          <w:iCs/>
        </w:rPr>
        <w:t xml:space="preserve">Frontiers in Ecology and Evolution</w:t>
      </w:r>
      <w:r>
        <w:t xml:space="preserve"> </w:t>
      </w:r>
      <w:r>
        <w:t xml:space="preserve">9.</w:t>
      </w:r>
      <w:r>
        <w:t xml:space="preserve"> </w:t>
      </w:r>
      <w:hyperlink r:id="rId125">
        <w:r>
          <w:rPr>
            <w:rStyle w:val="Hyperlink"/>
          </w:rPr>
          <w:t xml:space="preserve">https://doi.org/10.3389/fevo.2021.623141</w:t>
        </w:r>
      </w:hyperlink>
      <w:r>
        <w:t xml:space="preserve">.</w:t>
      </w:r>
    </w:p>
    <w:bookmarkEnd w:id="126"/>
    <w:bookmarkStart w:id="128"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
          <w:iCs/>
        </w:rPr>
        <w:t xml:space="preserve">PLOS Biology</w:t>
      </w:r>
      <w:r>
        <w:t xml:space="preserve"> </w:t>
      </w:r>
      <w:r>
        <w:t xml:space="preserve">17 (12): e3000494.</w:t>
      </w:r>
      <w:r>
        <w:t xml:space="preserve"> </w:t>
      </w:r>
      <w:hyperlink r:id="rId127">
        <w:r>
          <w:rPr>
            <w:rStyle w:val="Hyperlink"/>
          </w:rPr>
          <w:t xml:space="preserve">https://doi.org/10.1371/journal.pbio.3000494</w:t>
        </w:r>
      </w:hyperlink>
      <w:r>
        <w:t xml:space="preserve">.</w:t>
      </w:r>
    </w:p>
    <w:bookmarkEnd w:id="128"/>
    <w:bookmarkStart w:id="130"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
          <w:iCs/>
        </w:rPr>
        <w:t xml:space="preserve">Trends in Ecology &amp; Evolution</w:t>
      </w:r>
      <w:r>
        <w:t xml:space="preserve"> </w:t>
      </w:r>
      <w:r>
        <w:t xml:space="preserve">38 (3): 301–12.</w:t>
      </w:r>
      <w:r>
        <w:t xml:space="preserve"> </w:t>
      </w:r>
      <w:hyperlink r:id="rId129">
        <w:r>
          <w:rPr>
            <w:rStyle w:val="Hyperlink"/>
          </w:rPr>
          <w:t xml:space="preserve">https://doi.org/10.1016/j.tree.2022.11.004</w:t>
        </w:r>
      </w:hyperlink>
      <w:r>
        <w:t xml:space="preserve">.</w:t>
      </w:r>
    </w:p>
    <w:bookmarkEnd w:id="130"/>
    <w:bookmarkStart w:id="132"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31">
        <w:r>
          <w:rPr>
            <w:rStyle w:val="Hyperlink"/>
          </w:rPr>
          <w:t xml:space="preserve">https://www.ncbi.nlm.nih.gov/pubmed/19294932</w:t>
        </w:r>
      </w:hyperlink>
      <w:r>
        <w:t xml:space="preserve">.</w:t>
      </w:r>
    </w:p>
    <w:bookmarkEnd w:id="132"/>
    <w:bookmarkStart w:id="134" w:name="ref-williamsProbabilisticNicheModel2010"/>
    <w:p>
      <w:pPr>
        <w:pStyle w:val="Bibliography"/>
      </w:pPr>
      <w:r>
        <w:t xml:space="preserve">Williams, Richard J., Ananthi Anandanadesan, and Drew Purves. 2010.</w:t>
      </w:r>
      <w:r>
        <w:t xml:space="preserve"> </w:t>
      </w:r>
      <w:r>
        <w:t xml:space="preserve">“The</w:t>
      </w:r>
      <w:r>
        <w:t xml:space="preserve"> </w:t>
      </w:r>
      <w:r>
        <w:t xml:space="preserve">Probabilistic Niche Model Reveals</w:t>
      </w:r>
      <w:r>
        <w:t xml:space="preserve"> </w:t>
      </w:r>
      <w:r>
        <w:t xml:space="preserve">the</w:t>
      </w:r>
      <w:r>
        <w:t xml:space="preserve"> </w:t>
      </w:r>
      <w:r>
        <w:t xml:space="preserve">Niche Structure</w:t>
      </w:r>
      <w:r>
        <w:t xml:space="preserve"> </w:t>
      </w:r>
      <w:r>
        <w:t xml:space="preserve">and</w:t>
      </w:r>
      <w:r>
        <w:t xml:space="preserve"> </w:t>
      </w:r>
      <w:r>
        <w:t xml:space="preserve">Role</w:t>
      </w:r>
      <w:r>
        <w:t xml:space="preserve"> </w:t>
      </w:r>
      <w:r>
        <w:t xml:space="preserve">of</w:t>
      </w:r>
      <w:r>
        <w:t xml:space="preserve"> </w:t>
      </w:r>
      <w:r>
        <w:t xml:space="preserve">Body Size</w:t>
      </w:r>
      <w:r>
        <w:t xml:space="preserve"> </w:t>
      </w:r>
      <w:r>
        <w:t xml:space="preserve">in a</w:t>
      </w:r>
      <w:r>
        <w:t xml:space="preserve"> </w:t>
      </w:r>
      <w:r>
        <w:t xml:space="preserve">Complex Food Web</w:t>
      </w:r>
      <w:r>
        <w:t xml:space="preserve">.”</w:t>
      </w:r>
      <w:r>
        <w:t xml:space="preserve"> </w:t>
      </w:r>
      <w:r>
        <w:rPr>
          <w:i/>
          <w:iCs/>
        </w:rPr>
        <w:t xml:space="preserve">PLOS ONE</w:t>
      </w:r>
      <w:r>
        <w:t xml:space="preserve"> </w:t>
      </w:r>
      <w:r>
        <w:t xml:space="preserve">5 (8): e12092.</w:t>
      </w:r>
      <w:r>
        <w:t xml:space="preserve"> </w:t>
      </w:r>
      <w:hyperlink r:id="rId133">
        <w:r>
          <w:rPr>
            <w:rStyle w:val="Hyperlink"/>
          </w:rPr>
          <w:t xml:space="preserve">https://doi.org/10.1371/journal.pone.0012092</w:t>
        </w:r>
      </w:hyperlink>
      <w:r>
        <w:t xml:space="preserve">.</w:t>
      </w:r>
    </w:p>
    <w:bookmarkEnd w:id="134"/>
    <w:bookmarkStart w:id="136"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35">
        <w:r>
          <w:rPr>
            <w:rStyle w:val="Hyperlink"/>
          </w:rPr>
          <w:t xml:space="preserve">https://doi.org/10.1038/35004572</w:t>
        </w:r>
      </w:hyperlink>
      <w:r>
        <w:t xml:space="preserve">.</w:t>
      </w:r>
    </w:p>
    <w:bookmarkEnd w:id="136"/>
    <w:bookmarkStart w:id="138"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37">
        <w:r>
          <w:rPr>
            <w:rStyle w:val="Hyperlink"/>
          </w:rPr>
          <w:t xml:space="preserve">https://doi.org/10.1111/j.1365-2656.2008.01362.x</w:t>
        </w:r>
      </w:hyperlink>
      <w:r>
        <w:t xml:space="preserve">.</w:t>
      </w:r>
    </w:p>
    <w:bookmarkEnd w:id="138"/>
    <w:bookmarkStart w:id="140"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
          <w:iCs/>
        </w:rPr>
        <w:t xml:space="preserve">Ecology</w:t>
      </w:r>
      <w:r>
        <w:t xml:space="preserve"> </w:t>
      </w:r>
      <w:r>
        <w:t xml:space="preserve">95 (7): 2027–27.</w:t>
      </w:r>
      <w:r>
        <w:t xml:space="preserve"> </w:t>
      </w:r>
      <w:hyperlink r:id="rId139">
        <w:r>
          <w:rPr>
            <w:rStyle w:val="Hyperlink"/>
          </w:rPr>
          <w:t xml:space="preserve">https://doi.org/10.1890/13-1917.1</w:t>
        </w:r>
      </w:hyperlink>
      <w:r>
        <w:t xml:space="preserve">.</w:t>
      </w:r>
    </w:p>
    <w:bookmarkEnd w:id="140"/>
    <w:bookmarkStart w:id="142"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41">
        <w:r>
          <w:rPr>
            <w:rStyle w:val="Hyperlink"/>
          </w:rPr>
          <w:t xml:space="preserve">https://doi.org/10.1038/s41598-017-05585-6</w:t>
        </w:r>
      </w:hyperlink>
      <w:r>
        <w:t xml:space="preserve">.</w:t>
      </w:r>
    </w:p>
    <w:bookmarkEnd w:id="142"/>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hyperlink" Id="rId46" Target="https://BecksLab.github.io/ms_t_is_for_topology/index.qmd.html" TargetMode="External" /><Relationship Type="http://schemas.openxmlformats.org/officeDocument/2006/relationships/hyperlink" Id="rId105" Target="https://doi.org/10.1016/j.jtbi.2011.03.019" TargetMode="External" /><Relationship Type="http://schemas.openxmlformats.org/officeDocument/2006/relationships/hyperlink" Id="rId100" Target="https://doi.org/10.1016/j.tree.2015.03.014" TargetMode="External" /><Relationship Type="http://schemas.openxmlformats.org/officeDocument/2006/relationships/hyperlink" Id="rId129" Target="https://doi.org/10.1016/j.tree.2022.11.004" TargetMode="External" /><Relationship Type="http://schemas.openxmlformats.org/officeDocument/2006/relationships/hyperlink" Id="rId135"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88" Target="https://doi.org/10.1038/s41597-022-01364-9" TargetMode="External" /><Relationship Type="http://schemas.openxmlformats.org/officeDocument/2006/relationships/hyperlink" Id="rId141"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3"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5"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3" Target="https://doi.org/10.1098/rstb.2021.0063" TargetMode="External" /><Relationship Type="http://schemas.openxmlformats.org/officeDocument/2006/relationships/hyperlink" Id="rId117" Target="https://doi.org/10.1101/2024.01.30.578036" TargetMode="External" /><Relationship Type="http://schemas.openxmlformats.org/officeDocument/2006/relationships/hyperlink" Id="rId94"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3"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19" Target="https://doi.org/10.1111/2041-210X.13835" TargetMode="External" /><Relationship Type="http://schemas.openxmlformats.org/officeDocument/2006/relationships/hyperlink" Id="rId107" Target="https://doi.org/10.1111/2041-210X.14071" TargetMode="External" /><Relationship Type="http://schemas.openxmlformats.org/officeDocument/2006/relationships/hyperlink" Id="rId121" Target="https://doi.org/10.1111/2041-210X.14228" TargetMode="External" /><Relationship Type="http://schemas.openxmlformats.org/officeDocument/2006/relationships/hyperlink" Id="rId96"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98"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37"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52" Target="https://doi.org/10.1111/j.1475-4983.2006.00611.x" TargetMode="External" /><Relationship Type="http://schemas.openxmlformats.org/officeDocument/2006/relationships/hyperlink" Id="rId109" Target="https://doi.org/10.1111/jbi.14127" TargetMode="External" /><Relationship Type="http://schemas.openxmlformats.org/officeDocument/2006/relationships/hyperlink" Id="rId111"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2" Target="https://doi.org/10.1371/journal.pbio.1002559" TargetMode="External" /><Relationship Type="http://schemas.openxmlformats.org/officeDocument/2006/relationships/hyperlink" Id="rId127"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33" Target="https://doi.org/10.1371/journal.pone.0012092" TargetMode="External" /><Relationship Type="http://schemas.openxmlformats.org/officeDocument/2006/relationships/hyperlink" Id="rId90" Target="https://doi.org/10.1890/08-1494.1" TargetMode="External" /><Relationship Type="http://schemas.openxmlformats.org/officeDocument/2006/relationships/hyperlink" Id="rId139"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25"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1"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6" Target="https://BecksLab.github.io/ms_t_is_for_topology/index.qmd.html" TargetMode="External" /><Relationship Type="http://schemas.openxmlformats.org/officeDocument/2006/relationships/hyperlink" Id="rId105" Target="https://doi.org/10.1016/j.jtbi.2011.03.019" TargetMode="External" /><Relationship Type="http://schemas.openxmlformats.org/officeDocument/2006/relationships/hyperlink" Id="rId100" Target="https://doi.org/10.1016/j.tree.2015.03.014" TargetMode="External" /><Relationship Type="http://schemas.openxmlformats.org/officeDocument/2006/relationships/hyperlink" Id="rId129" Target="https://doi.org/10.1016/j.tree.2022.11.004" TargetMode="External" /><Relationship Type="http://schemas.openxmlformats.org/officeDocument/2006/relationships/hyperlink" Id="rId135"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88" Target="https://doi.org/10.1038/s41597-022-01364-9" TargetMode="External" /><Relationship Type="http://schemas.openxmlformats.org/officeDocument/2006/relationships/hyperlink" Id="rId141"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3"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5"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3" Target="https://doi.org/10.1098/rstb.2021.0063" TargetMode="External" /><Relationship Type="http://schemas.openxmlformats.org/officeDocument/2006/relationships/hyperlink" Id="rId117" Target="https://doi.org/10.1101/2024.01.30.578036" TargetMode="External" /><Relationship Type="http://schemas.openxmlformats.org/officeDocument/2006/relationships/hyperlink" Id="rId94"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3"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19" Target="https://doi.org/10.1111/2041-210X.13835" TargetMode="External" /><Relationship Type="http://schemas.openxmlformats.org/officeDocument/2006/relationships/hyperlink" Id="rId107" Target="https://doi.org/10.1111/2041-210X.14071" TargetMode="External" /><Relationship Type="http://schemas.openxmlformats.org/officeDocument/2006/relationships/hyperlink" Id="rId121" Target="https://doi.org/10.1111/2041-210X.14228" TargetMode="External" /><Relationship Type="http://schemas.openxmlformats.org/officeDocument/2006/relationships/hyperlink" Id="rId96"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98"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37"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52" Target="https://doi.org/10.1111/j.1475-4983.2006.00611.x" TargetMode="External" /><Relationship Type="http://schemas.openxmlformats.org/officeDocument/2006/relationships/hyperlink" Id="rId109" Target="https://doi.org/10.1111/jbi.14127" TargetMode="External" /><Relationship Type="http://schemas.openxmlformats.org/officeDocument/2006/relationships/hyperlink" Id="rId111"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2" Target="https://doi.org/10.1371/journal.pbio.1002559" TargetMode="External" /><Relationship Type="http://schemas.openxmlformats.org/officeDocument/2006/relationships/hyperlink" Id="rId127"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33" Target="https://doi.org/10.1371/journal.pone.0012092" TargetMode="External" /><Relationship Type="http://schemas.openxmlformats.org/officeDocument/2006/relationships/hyperlink" Id="rId90" Target="https://doi.org/10.1890/08-1494.1" TargetMode="External" /><Relationship Type="http://schemas.openxmlformats.org/officeDocument/2006/relationships/hyperlink" Id="rId139"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25"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1"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Timothée Poisot; Andrew P. Beckerman</dc:creator>
  <cp:keywords>food web, network construction</cp:keywords>
  <dcterms:created xsi:type="dcterms:W3CDTF">2024-03-28T14:41:15Z</dcterms:created>
  <dcterms:modified xsi:type="dcterms:W3CDTF">2024-03-28T14:41:15Z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2024-03-28</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