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2025-10-22</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The motivation to leverage network ecology in conservation ecology, environmental risk assessment and natural resource managment stems from a shift away from species/population specific measures of the effects of stress and distrubrance to community level metrics of these impacts. These metrics, such as resilience and more generally stability, ecosystem function and biodiversity</w:t>
      </w:r>
      <w:r>
        <w:t xml:space="preserve"> </w:t>
      </w:r>
      <w:r>
        <w:rPr>
          <w:i/>
          <w:iCs/>
        </w:rPr>
        <w:t xml:space="preserve">per se</w:t>
      </w:r>
      <w:r>
        <w:t xml:space="preserve">, are natural properties of networks. This suggests that modern conservation, risk assessment and resource management requires robust network tools to support decision making.</w:t>
      </w:r>
    </w:p>
    <w:p>
      <w:pPr>
        <w:pStyle w:val="BodyText"/>
      </w:pPr>
      <w:r>
        <w:t xml:space="preserve">This is also true in the disciplines of ecology and environmental science and their focus on abundance, distribution, functions and services that biodiversity provides</w:t>
      </w:r>
      <w:r>
        <w:t xml:space="preserve"> </w:t>
      </w:r>
      <w:r>
        <w:t xml:space="preserve">[1]</w:t>
      </w:r>
      <w:r>
        <w:t xml:space="preserve">. Major questions remain, for example, about stability-diversity-productivity relationships, the impacts of exintctions and invasions and the impacts of multiple stressors operating at multiple ecological scales. A network approach to answering these types of questions specifically allows us to evaluate how environmental gradients and anthropogenic stress map through direct and indirect effects among species in a complex community and reveal fundamental patterns and understanding of processes in the natural world.</w:t>
      </w:r>
    </w:p>
    <w:p>
      <w:pPr>
        <w:pStyle w:val="BodyText"/>
      </w:pPr>
      <w:r>
        <w:t xml:space="preserve">In order to effectively use networks to aid us in answering questions about conservation/risk assessment/management and core ecological theory, 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the process captured by a specific network representation</w:t>
      </w:r>
      <w:r>
        <w:t xml:space="preserve"> </w:t>
      </w:r>
      <w:hyperlink w:anchor="sec-process-feasibility">
        <w:r>
          <w:rPr>
            <w:rStyle w:val="Hyperlink"/>
          </w:rPr>
          <w:t xml:space="preserve">Section 2.1</w:t>
        </w:r>
      </w:hyperlink>
      <w:r>
        <w:t xml:space="preserve">, the underlying data that is used to construct it</w:t>
      </w:r>
      <w:r>
        <w:t xml:space="preserve"> </w:t>
      </w:r>
      <w:hyperlink w:anchor="sec-construct">
        <w:r>
          <w:rPr>
            <w:rStyle w:val="Hyperlink"/>
          </w:rPr>
          <w:t xml:space="preserve">Section 3</w:t>
        </w:r>
      </w:hyperlink>
      <w:r>
        <w:t xml:space="preserve"> </w:t>
      </w:r>
      <w:r>
        <w:t xml:space="preserve">or both of these factors.</w:t>
      </w:r>
    </w:p>
    <w:p>
      <w:pPr>
        <w:pStyle w:val="BodyText"/>
      </w:pPr>
      <w:r>
        <w:t xml:space="preserve">Here we discuss and map the different network representations shown in</w:t>
      </w:r>
      <w:r>
        <w:t xml:space="preserve"> </w:t>
      </w:r>
      <w:hyperlink w:anchor="fig-process">
        <w:r>
          <w:rPr>
            <w:rStyle w:val="Hyperlink"/>
          </w:rPr>
          <w:t xml:space="preserve">Figure 1</w:t>
        </w:r>
      </w:hyperlink>
      <w:r>
        <w:t xml:space="preserve"> </w:t>
      </w:r>
      <w:r>
        <w:t xml:space="preserve">to</w:t>
      </w:r>
      <w:r>
        <w:t xml:space="preserve"> </w:t>
      </w:r>
      <w:r>
        <w:t xml:space="preserve">‘appropriate’</w:t>
      </w:r>
      <w:r>
        <w:t xml:space="preserve"> </w:t>
      </w:r>
      <w:r>
        <w:t xml:space="preserve">research questions and agendas [see also</w:t>
      </w:r>
      <w:r>
        <w:t xml:space="preserve"> </w:t>
      </w:r>
      <w:hyperlink w:anchor="tbl-questions">
        <w:r>
          <w:rPr>
            <w:rStyle w:val="Hyperlink"/>
          </w:rPr>
          <w:t xml:space="preserve">Table 1</w:t>
        </w:r>
      </w:hyperlink>
      <w:r>
        <w:t xml:space="preserve">]. We also highlight some of the key methodological challenges that currently limit our conceptualisation of a</w:t>
      </w:r>
      <w:r>
        <w:t xml:space="preserve"> </w:t>
      </w:r>
      <w:r>
        <w:t xml:space="preserve">‘network’</w:t>
      </w:r>
      <w:r>
        <w:t xml:space="preserve"> </w:t>
      </w:r>
      <w:r>
        <w:t xml:space="preserve">and thus impact their effective practical application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Example Research Question</w:t>
                  </w:r>
                </w:p>
              </w:tc>
            </w:tr>
            <w:tr>
              <w:tc>
                <w:tcPr/>
                <w:p>
                  <w:pPr>
                    <w:pStyle w:val="Compact"/>
                    <w:jc w:val="center"/>
                  </w:pPr>
                  <w:r>
                    <w:t xml:space="preserve">Global Metaweb</w:t>
                  </w:r>
                </w:p>
              </w:tc>
              <w:tc>
                <w:tcPr/>
                <w:p>
                  <w:pPr>
                    <w:pStyle w:val="Compact"/>
                    <w:jc w:val="center"/>
                  </w:pPr>
                  <w:r>
                    <w:t xml:space="preserve">How will novel communities respond to</w:t>
                  </w:r>
                  <w:r>
                    <w:t xml:space="preserve"> </w:t>
                  </w:r>
                  <w:r>
                    <w:rPr>
                      <w:i/>
                      <w:iCs/>
                    </w:rPr>
                    <w:t xml:space="preserve">e.g.</w:t>
                  </w:r>
                  <w:r>
                    <w:t xml:space="preserve"> </w:t>
                  </w:r>
                  <w:r>
                    <w:t xml:space="preserve">extinction, turnover, invasion and rewilding</w:t>
                  </w:r>
                </w:p>
              </w:tc>
            </w:tr>
            <w:tr>
              <w:tc>
                <w:tcPr/>
                <w:p>
                  <w:pPr>
                    <w:pStyle w:val="Compact"/>
                  </w:pPr>
                </w:p>
              </w:tc>
              <w:tc>
                <w:tcPr/>
                <w:p>
                  <w:pPr>
                    <w:pStyle w:val="Compact"/>
                    <w:jc w:val="center"/>
                  </w:pPr>
                  <w:r>
                    <w:t xml:space="preserve">Diet/Trait-based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Refinement/Extension of species distribution models</w:t>
                  </w:r>
                </w:p>
              </w:tc>
            </w:tr>
            <w:tr>
              <w:tc>
                <w:tcPr/>
                <w:p>
                  <w:pPr>
                    <w:pStyle w:val="Compact"/>
                    <w:jc w:val="center"/>
                  </w:pPr>
                  <w:r>
                    <w:t xml:space="preserve">Realised webs</w:t>
                  </w:r>
                </w:p>
              </w:tc>
              <w:tc>
                <w:tcPr/>
                <w:p>
                  <w:pPr>
                    <w:pStyle w:val="Compact"/>
                    <w:jc w:val="center"/>
                  </w:pPr>
                  <w:r>
                    <w:t xml:space="preserve">How do we allocate multiple stressors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harvesting/invasion/extinction</w:t>
                  </w:r>
                </w:p>
              </w:tc>
            </w:tr>
            <w:tr>
              <w:tc>
                <w:tcPr/>
                <w:p>
                  <w:pPr>
                    <w:pStyle w:val="Compact"/>
                  </w:pPr>
                </w:p>
              </w:tc>
              <w:tc>
                <w:tcPr/>
                <w:p>
                  <w:pPr>
                    <w:pStyle w:val="Compact"/>
                    <w:jc w:val="center"/>
                  </w:pPr>
                  <w:r>
                    <w:t xml:space="preserve">Stability-diversity-productivity-function</w:t>
                  </w:r>
                </w:p>
              </w:tc>
            </w:tr>
            <w:tr>
              <w:tc>
                <w:tcPr/>
                <w:p>
                  <w:pPr>
                    <w:pStyle w:val="Compact"/>
                  </w:pPr>
                </w:p>
              </w:tc>
              <w:tc>
                <w:tcPr/>
                <w:p>
                  <w:pPr>
                    <w:pStyle w:val="Compact"/>
                    <w:jc w:val="center"/>
                  </w:pPr>
                  <w:r>
                    <w:t xml:space="preserve">Ecosystem level processes</w:t>
                  </w:r>
                </w:p>
              </w:tc>
            </w:tr>
            <w:tr>
              <w:tc>
                <w:tcPr/>
                <w:p>
                  <w:pPr>
                    <w:pStyle w:val="Compact"/>
                  </w:pPr>
                </w:p>
              </w:tc>
              <w:tc>
                <w:tcPr/>
                <w:p>
                  <w:pPr>
                    <w:pStyle w:val="Compact"/>
                    <w:jc w:val="center"/>
                  </w:pPr>
                  <w:r>
                    <w:t xml:space="preserve">Meta communitites and the idea of meta-network-communities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The interactions in global metawebs are not constrained by the realisation of specific community assemblages (or species co-occurrence). These networks provide a platform for answering quesstions that assume interactions</w:t>
      </w:r>
      <w:r>
        <w:t xml:space="preserve"> </w:t>
      </w:r>
      <w:r>
        <w:rPr>
          <w:i/>
          <w:iCs/>
        </w:rPr>
        <w:t xml:space="preserve">could</w:t>
      </w:r>
      <w:r>
        <w:t xml:space="preserve"> </w:t>
      </w:r>
      <w:r>
        <w:t xml:space="preserve">occur between species (feasibility) or where the potential diet breadth of species is required. Examples of appropriate research questions at this scale includes those about</w:t>
      </w:r>
      <w:r>
        <w:t xml:space="preserve"> </w:t>
      </w:r>
      <w:r>
        <w:rPr>
          <w:i/>
          <w:iCs/>
        </w:rPr>
        <w:t xml:space="preserve">hypothetical</w:t>
      </w:r>
      <w:r>
        <w:t xml:space="preserve"> </w:t>
      </w:r>
      <w:r>
        <w:t xml:space="preserve">or</w:t>
      </w:r>
      <w:r>
        <w:t xml:space="preserve"> </w:t>
      </w:r>
      <w:r>
        <w:rPr>
          <w:i/>
          <w:iCs/>
        </w:rPr>
        <w:t xml:space="preserve">novel</w:t>
      </w:r>
      <w:r>
        <w:t xml:space="preserve"> </w:t>
      </w:r>
      <w:r>
        <w:t xml:space="preserve">communities and interactions under future climate change scenarios, or the potential</w:t>
      </w:r>
      <w:r>
        <w:t xml:space="preserve"> </w:t>
      </w:r>
      <w:r>
        <w:t xml:space="preserve">‘position’</w:t>
      </w:r>
      <w:r>
        <w:t xml:space="preserve"> </w:t>
      </w:r>
      <w:r>
        <w:t xml:space="preserve">of an invasive (or re-introduced) species within a network</w:t>
      </w:r>
      <w:r>
        <w:t xml:space="preserve"> </w:t>
      </w:r>
      <w:r>
        <w:t xml:space="preserve">[107]</w:t>
      </w:r>
      <w:r>
        <w:t xml:space="preserve">. This scale is also appropriate for a partciularly class of questions related to the potential (eco-evolutionary) rewiring capacity of species, and how this may help inform on the opportunities for persistence of species within new community assemblages</w:t>
      </w:r>
      <w:r>
        <w:t xml:space="preserve"> </w:t>
      </w:r>
      <w:r>
        <w:t xml:space="preserve">[108]</w:t>
      </w:r>
      <w:r>
        <w:t xml:space="preserve">. The implicit focus on feasibility in these examples highlights that global metawebs are linked to strong proxies for targets and mechanisms of evolutionary change. This offers a network scale for modelling ecological-evolutionary dynamics and the role that both the evolutionary history, natural selection and phenotypic plasticity shapes the diet breadth of species.</w:t>
      </w:r>
    </w:p>
    <w:bookmarkEnd w:id="39"/>
    <w:bookmarkStart w:id="40" w:name="regional-metawebs"/>
    <w:p>
      <w:pPr>
        <w:pStyle w:val="Heading3"/>
      </w:pPr>
      <w:r>
        <w:t xml:space="preserve">4.1.2 Regional Metawebs</w:t>
      </w:r>
    </w:p>
    <w:p>
      <w:pPr>
        <w:pStyle w:val="FirstParagraph"/>
      </w:pPr>
      <w:r>
        <w:t xml:space="preserve">Regional metawebs are conceptually a spatially constrained global metaweb. The make explicit co-occurence. Against this backdrop, they are conceptually aligned with similar questions to those posed above, with the added focus on a community facing real challenge. Additionally, regional metawebs can and have been used to refine and constrain species distribution model predictions,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w:t>
      </w:r>
    </w:p>
    <w:p>
      <w:pPr>
        <w:pStyle w:val="BodyText"/>
      </w:pPr>
      <w:r>
        <w:t xml:space="preserve">However we must exercise a high degree of caution when comparing structures among regional metwebs, wither discrete collections or along environmental gradients. At this scale, where the network embeds the assumptions of feasibility, it is vital to disentangle structural change per se from multiple processes that might determine species turnover (e.g. </w:t>
      </w:r>
      <w:r>
        <w:t xml:space="preserve">- diversity) because link distributions can be driven by both environmental filtering and this turnover [NOT SURE THIS IS CORRECT; needs refinement and references].</w:t>
      </w:r>
    </w:p>
    <w:bookmarkEnd w:id="40"/>
    <w:bookmarkStart w:id="41" w:name="X4b7bf62cfb8a32de5e289fd3208039286a00d5a"/>
    <w:p>
      <w:pPr>
        <w:pStyle w:val="Heading3"/>
      </w:pPr>
      <w:r>
        <w:t xml:space="preserve">4.1.3 Realised networks [</w:t>
      </w:r>
      <w:r>
        <w:rPr>
          <w:i/>
          <w:iCs/>
        </w:rPr>
        <w:t xml:space="preserve">not totally convinced we’ve done</w:t>
      </w:r>
      <w:r>
        <w:rPr>
          <w:i/>
          <w:iCs/>
        </w:rPr>
        <w:t xml:space="preserve"> </w:t>
      </w:r>
      <w:r>
        <w:rPr>
          <w:i/>
          <w:iCs/>
        </w:rPr>
        <w:t xml:space="preserve">‘justice’</w:t>
      </w:r>
      <w:r>
        <w:rPr>
          <w:i/>
          <w:iCs/>
        </w:rPr>
        <w:t xml:space="preserve"> </w:t>
      </w:r>
      <w:r>
        <w:rPr>
          <w:i/>
          <w:iCs/>
        </w:rPr>
        <w:t xml:space="preserve">here. This was the type that has the most questions in our brainstorm…. i feel like it needs to take that list and create three groups of example questions</w:t>
      </w:r>
      <w:r>
        <w:t xml:space="preserve">]</w:t>
      </w:r>
    </w:p>
    <w:p>
      <w:pPr>
        <w:pStyle w:val="FirstParagraph"/>
      </w:pPr>
      <w:r>
        <w:t xml:space="preserve">Realised network are the most representative of what comes to mind when people think of networks, and more specifically how we can use them to help inform on larger biogeographic processes</w:t>
      </w:r>
      <w:r>
        <w:t xml:space="preserve"> </w:t>
      </w:r>
      <w:r>
        <w:t xml:space="preserve">[110]</w:t>
      </w:r>
      <w:r>
        <w:t xml:space="preserve">. This is partially because of the popularity and profile of generative network models like the Cascade and Niche model which produce realised network representations, and because they represent a shift in the</w:t>
      </w:r>
      <w:r>
        <w:t xml:space="preserve"> </w:t>
      </w:r>
      <w:r>
        <w:t xml:space="preserve">‘currency’</w:t>
      </w:r>
      <w:r>
        <w:t xml:space="preserve"> </w:t>
      </w:r>
      <w:r>
        <w:t xml:space="preserve">which determine interactions and that is constrained by a broader community and environmental context. This change in currency and context allows us the opportunity to ask questions that revolve around major ecological theory - e.g. community stability and resilience, biodiversity dynamics, ecosystem function, structure-function relationships - and around major conservation and climate change global challenges - e.g. temperature change, extinction dynamics, invasion impacts and reintroductions/rewilding.</w:t>
      </w:r>
    </w:p>
    <w:p>
      <w:pPr>
        <w:pStyle w:val="BodyText"/>
      </w:pPr>
      <w:r>
        <w:t xml:space="preserve">These network representations embody an explicit focus on the link between network structure to ecosystem function.</w:t>
      </w:r>
      <w:r>
        <w:t xml:space="preserve"> </w:t>
      </w:r>
      <w:r>
        <w:rPr>
          <w:b/>
          <w:bCs/>
        </w:rPr>
        <w:t xml:space="preserve">[DON’T LOVE THIS -&gt; dynamic is the wrong word as we are still talking topologies; is it that turnover processes are isolated from structure?]</w:t>
      </w:r>
      <w:r>
        <w:t xml:space="preserve">The dynamic nature of realised webs mean that they allow us to think about the propagation of change (across both time and space) which allow us to ask questions about the persistence of communities and how they respond to perturbations or stressors (at both the level of the node as well as modification of links).</w:t>
      </w:r>
    </w:p>
    <w:p>
      <w:pPr>
        <w:pStyle w:val="BodyText"/>
      </w:pPr>
      <w:r>
        <w:t xml:space="preserve">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t xml:space="preserve">As noted above, the three types of networks help highlight longstanding methodological challenges that affect our abiloty to increase both precision and accuracy of inference derived from the questions we highlight above. Here we review some of these challenges and opportunities that are arising to mitigate them.</w:t>
      </w:r>
    </w:p>
    <w:p>
      <w:pPr>
        <w:pStyle w:val="BodyText"/>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w:t>
      </w:r>
      <w:r>
        <w:t xml:space="preserve"> </w:t>
      </w:r>
      <w:r>
        <w:t xml:space="preserve">[82]</w:t>
      </w:r>
      <w:r>
        <w:t xml:space="preserve"> </w:t>
      </w:r>
      <w:r>
        <w:t xml:space="preserve">and</w:t>
      </w:r>
      <w:r>
        <w:t xml:space="preserve"> </w:t>
      </w:r>
      <w:r>
        <w:t xml:space="preserve">[45]</w:t>
      </w:r>
      <w:r>
        <w:t xml:space="preserve"> </w:t>
      </w:r>
      <w:r>
        <w:t xml:space="preserve">have added traits to more )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w:t>
      </w:r>
    </w:p>
    <w:p>
      <w:pPr>
        <w:pStyle w:val="BodyText"/>
      </w:pPr>
      <w:r>
        <w:t xml:space="preserve">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i/>
          <w:iCs/>
        </w:rPr>
        <w:t xml:space="preserve">What about the eco-evolutionary space? What does Louille and Loreau’s model represent?</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i/>
          <w:iCs/>
        </w:rPr>
        <w:t xml:space="preserve">Is this a problem for meta and realised? I think it is? Expand to include two aspects: getting the network properties right and getting the links correct…. two problems?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 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p>
      <w:pPr>
        <w:pStyle w:val="BodyText"/>
      </w:pPr>
      <w:r>
        <w:rPr>
          <w:b/>
          <w:bCs/>
        </w:rPr>
        <w:t xml:space="preserve">Understanding what emperical data represents:</w:t>
      </w:r>
      <w:r>
        <w:t xml:space="preserve"> </w:t>
      </w:r>
      <w:r>
        <w:t xml:space="preserve">What does it mean when we</w:t>
      </w:r>
      <w:r>
        <w:t xml:space="preserve"> </w:t>
      </w:r>
      <w:r>
        <w:t xml:space="preserve">‘observe’</w:t>
      </w:r>
      <w:r>
        <w:t xml:space="preserve"> </w:t>
      </w:r>
      <w:r>
        <w:t xml:space="preserve">an interaction be that directly (predator actively feeding on prey) or indirectly</w:t>
      </w:r>
      <w:r>
        <w:t xml:space="preserve"> </w:t>
      </w:r>
      <w:r>
        <w:rPr>
          <w:i/>
          <w:iCs/>
        </w:rPr>
        <w:t xml:space="preserve">e.g.,</w:t>
      </w:r>
      <w:r>
        <w:t xml:space="preserve"> </w:t>
      </w:r>
      <w:r>
        <w:t xml:space="preserve">gut or isotope analysis. A netwrok constructued with emperical data will most liekley still represents an</w:t>
      </w:r>
      <w:r>
        <w:t xml:space="preserve"> </w:t>
      </w:r>
      <w:r>
        <w:t xml:space="preserve">‘accumulation’</w:t>
      </w:r>
      <w:r>
        <w:t xml:space="preserve"> </w:t>
      </w:r>
      <w:r>
        <w:t xml:space="preserve">of feeding data and this is conceptually more closely aligned with idea of a metaweb. Something about how this is a challenge if we want to use empirical networks to test or ask questions in the realised space.</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2025-10-22T12:41:19Z</dcterms:created>
  <dcterms:modified xsi:type="dcterms:W3CDTF">2025-10-22T12:41:19Z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