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2024-06-20</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
          <w:bCs/>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
          <w:bCs/>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
          <w:iCs/>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
                <w:bCs/>
              </w:rPr>
              <w:t xml:space="preserve">A</w:t>
            </w:r>
            <w:r>
              <w:t xml:space="preserve"> </w:t>
            </w:r>
            <w:r>
              <w:t xml:space="preserve">shows the many ways in which a food web can be defined and described at the node, edge, and even network level. Panel</w:t>
            </w:r>
            <w:r>
              <w:t xml:space="preserve"> </w:t>
            </w:r>
            <w:r>
              <w:rPr>
                <w:b/>
                <w:bCs/>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
                <w:iCs/>
              </w:rPr>
              <w:t xml:space="preserve">i.e.,</w:t>
            </w:r>
            <w:r>
              <w:t xml:space="preserve"> </w:t>
            </w:r>
            <w:r>
              <w:t xml:space="preserve">its anatomy. (</w:t>
            </w:r>
            <w:r>
              <w:rPr>
                <w:i/>
                <w:iCs/>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rPr>
          <w:b/>
          <w:bCs/>
        </w:rPr>
        <w:t xml:space="preserve">potential</w:t>
      </w:r>
      <w:r>
        <w:t xml:space="preserve"> </w:t>
      </w:r>
      <w:r>
        <w:t xml:space="preserve">or</w:t>
      </w:r>
      <w:r>
        <w:t xml:space="preserve"> </w:t>
      </w:r>
      <w:r>
        <w:rPr>
          <w:b/>
          <w:bCs/>
        </w:rPr>
        <w:t xml:space="preserve">realised feeding links</w:t>
      </w:r>
      <w:r>
        <w:t xml:space="preserve">), the magnitude of the edges (</w:t>
      </w:r>
      <w:r>
        <w:rPr>
          <w:i/>
          <w:iCs/>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
          <w:iCs/>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
          <w:iCs/>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
          <w:iCs/>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
          <w:iCs/>
        </w:rPr>
        <w:t xml:space="preserve">potential</w:t>
      </w:r>
      <w:r>
        <w:t xml:space="preserve"> </w:t>
      </w:r>
      <w:r>
        <w:t xml:space="preserve">feeding links between species will be meaningless if you are interested in understanding</w:t>
      </w:r>
      <w:r>
        <w:t xml:space="preserve"> </w:t>
      </w:r>
      <w:r>
        <w:rPr>
          <w:i/>
          <w:iCs/>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
          <w:iCs/>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
          <w:iCs/>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
          <w:iCs/>
        </w:rPr>
        <w:t xml:space="preserve">e.g.,</w:t>
      </w:r>
      <w:r>
        <w:t xml:space="preserve"> </w:t>
      </w:r>
      <w:r>
        <w:t xml:space="preserve">stability), and potentially the function of communities (</w:t>
      </w:r>
      <w:r>
        <w:rPr>
          <w:i/>
          <w:iCs/>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1 - Moving between the feasibility and reality of interactions</w:t>
            </w:r>
          </w:p>
        </w:tc>
      </w:tr>
      <w:tr>
        <w:trPr>
          <w:cantSplit/>
        </w:trPr>
        <w:tc>
          <w:tcPr>
            <w:tcMar>
              <w:top w:w="108" w:type="dxa"/>
              <w:bottom w:w="108" w:type="dxa"/>
            </w:tcMar>
          </w:tcPr>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versus realisation of an interaction and how these are determined (and defined by) different</w:t>
            </w:r>
            <w:r>
              <w:t xml:space="preserve"> </w:t>
            </w:r>
            <w:r>
              <w:t xml:space="preserve">‘</w:t>
            </w:r>
            <w:r>
              <w:t xml:space="preserve">rules</w:t>
            </w:r>
            <w:r>
              <w:t xml:space="preserve">’</w:t>
            </w:r>
            <w:r>
              <w:t xml:space="preserve">/mechanisms. If we look at this feasibility-reality continuum (</w:t>
            </w:r>
            <w:hyperlink w:anchor="fig-feasibility">
              <w:r>
                <w:rPr>
                  <w:rStyle w:val="Hyperlink"/>
                </w:rPr>
                <w:t xml:space="preserve">Figure 2</w:t>
              </w:r>
            </w:hyperlink>
            <w:r>
              <w:t xml:space="preserve">) it is clear how the different predictive approaches (methods) tend to fall within one of the broader categories identified (distinguished) in the triangle.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takes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tbl>
            <w:tblPr>
              <w:tblStyle w:val="Table"/>
              <w:tblW w:type="pct" w:w="5000"/>
              <w:tblLayout w:type="fixed"/>
              <w:tblLook w:firstRow="0" w:lastRow="0" w:firstColumn="0" w:lastColumn="0" w:noHBand="0" w:noVBand="0" w:val="0000"/>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
                      <w:iCs/>
                    </w:rPr>
                    <w:t xml:space="preserve">possibility</w:t>
                  </w:r>
                  <w:r>
                    <w:t xml:space="preserve"> </w:t>
                  </w:r>
                  <w:r>
                    <w:t xml:space="preserve">of an interaction occurring between two species to the quantification of</w:t>
                  </w:r>
                  <w:r>
                    <w:t xml:space="preserve"> </w:t>
                  </w:r>
                  <w:r>
                    <w:rPr>
                      <w:i/>
                      <w:iCs/>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w:t>
            </w:r>
            <w:r>
              <w:t xml:space="preserve"> </w:t>
            </w:r>
            <w:r>
              <w:t xml:space="preserve">‘</w:t>
            </w:r>
            <w:r>
              <w:t xml:space="preserve">assembly mechanisms</w:t>
            </w:r>
            <w:r>
              <w:t xml:space="preserve">’</w:t>
            </w:r>
            <w:r>
              <w:t xml:space="preserve"> </w:t>
            </w:r>
            <w:r>
              <w:t xml:space="preserve">per se (e.g. species must co-occur, then they must meet, then we can determine if the interaction will happen) but it makes modelling sense? IDK… anyway we can shuffle things around</w:t>
            </w:r>
          </w:p>
          <w:bookmarkStart w:id="33" w:name="mechanisms"/>
          <w:p>
            <w:pPr>
              <w:pStyle w:val="Heading3"/>
            </w:pPr>
            <w:r>
              <w:t xml:space="preserve">‘</w:t>
            </w:r>
            <w:r>
              <w:t xml:space="preserve">Mechanisms</w:t>
            </w:r>
            <w:r>
              <w:t xml:space="preserve">’</w:t>
            </w:r>
          </w:p>
          <w:p>
            <w:pPr>
              <w:pStyle w:val="FirstParagraph"/>
            </w:pPr>
            <w:r>
              <w:rPr>
                <w:b/>
                <w:bCs/>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
                <w:iCs/>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to.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
                <w:iCs/>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
                <w:iCs/>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 (</w:t>
            </w:r>
            <w:r>
              <w:rPr>
                <w:i/>
                <w:iCs/>
              </w:rPr>
              <w:t xml:space="preserve">sensu</w:t>
            </w:r>
            <w:r>
              <w:t xml:space="preserve"> </w:t>
            </w:r>
            <w:r>
              <w:t xml:space="preserve">Banville, in prep).</w:t>
            </w:r>
          </w:p>
          <w:p>
            <w:pPr>
              <w:pStyle w:val="BodyText"/>
            </w:pPr>
            <w:r>
              <w:rPr>
                <w:b/>
                <w:bCs/>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(at least in terms of feeding links) if they are not co-occurring in time and space. An example of this would be</w:t>
            </w:r>
            <w:r>
              <w:t xml:space="preserve"> </w:t>
            </w:r>
            <w:r>
              <w:t xml:space="preserve">[30]</w:t>
            </w:r>
            <w:r>
              <w:t xml:space="preserve"> </w:t>
            </w:r>
            <w:r>
              <w:t xml:space="preserve">where the metaweb is downsampled into smaller realisations based on better data/knowledge as to which species are occurring at a specific location - however arguably these are still firmly in the space of feasible interactions for the specific location but are approaching a better approximation of</w:t>
            </w:r>
            <w:r>
              <w:t xml:space="preserve"> </w:t>
            </w:r>
            <w:r>
              <w:t xml:space="preserve">‘</w:t>
            </w:r>
            <w:r>
              <w:t xml:space="preserve">reality</w:t>
            </w:r>
            <w:r>
              <w:t xml:space="preserve">’</w:t>
            </w:r>
            <w:r>
              <w:t xml:space="preserve">…</w:t>
            </w:r>
          </w:p>
          <w:p>
            <w:pPr>
              <w:pStyle w:val="BodyText"/>
            </w:pPr>
            <w:r>
              <w:rPr>
                <w:b/>
                <w:bCs/>
              </w:rPr>
              <w:t xml:space="preserve">3. Mass effect interactions</w:t>
            </w:r>
          </w:p>
          <w:p>
            <w:pPr>
              <w:pStyle w:val="BodyText"/>
            </w:pPr>
            <w:r>
              <w:t xml:space="preserve">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prediction and more so a data parameter one needs…</w:t>
            </w:r>
          </w:p>
          <w:p>
            <w:pPr>
              <w:pStyle w:val="BodyText"/>
            </w:pPr>
            <w:r>
              <w:t xml:space="preserve">This is probably the point where we start to shift from a</w:t>
            </w:r>
            <w:r>
              <w:t xml:space="preserve"> </w:t>
            </w:r>
            <w:r>
              <w:rPr>
                <w:i/>
                <w:iCs/>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not</w:t>
            </w:r>
            <w:r>
              <w:t xml:space="preserve"> </w:t>
            </w:r>
            <w:r>
              <w:t xml:space="preserve">‘</w:t>
            </w:r>
            <w:r>
              <w:t xml:space="preserve">reality</w:t>
            </w:r>
            <w:r>
              <w:t xml:space="preserve">’</w:t>
            </w:r>
            <w:r>
              <w:t xml:space="preserve"> </w:t>
            </w:r>
            <w:r>
              <w:t xml:space="preserve">side of the spectrum… (maybe, past Tanya seemed to think so)</w:t>
            </w:r>
          </w:p>
          <w:p>
            <w:pPr>
              <w:pStyle w:val="BodyText"/>
            </w:pPr>
            <w:r>
              <w:rPr>
                <w:b/>
                <w:bCs/>
              </w:rPr>
              <w:t xml:space="preserve">4. Consumer–resource interactions</w:t>
            </w:r>
          </w:p>
          <w:p>
            <w:pPr>
              <w:pStyle w:val="BodyText"/>
            </w:pPr>
            <w:r>
              <w:t xml:space="preserve">This is where we begin to move into the foraging ecology space - specifically consumption rate and how that pertains to energy acquisition. In the loosest sense I think this is the</w:t>
            </w:r>
            <w:r>
              <w:t xml:space="preserve"> </w:t>
            </w:r>
            <w:r>
              <w:t xml:space="preserve">‘</w:t>
            </w:r>
            <w:r>
              <w:t xml:space="preserve">prey choice</w:t>
            </w:r>
            <w:r>
              <w:t xml:space="preserve">’</w:t>
            </w:r>
            <w:r>
              <w:t xml:space="preserve"> </w:t>
            </w:r>
            <w:r>
              <w:t xml:space="preserve">space - but specifically in the context of how prey choice is informed by energetic cost (not just purely based on</w:t>
            </w:r>
            <w:r>
              <w:t xml:space="preserve"> </w:t>
            </w:r>
            <w:r>
              <w:rPr>
                <w:i/>
                <w:iCs/>
              </w:rPr>
              <w:t xml:space="preserve">e.g.,</w:t>
            </w:r>
            <w:r>
              <w:t xml:space="preserve"> </w:t>
            </w:r>
            <w:r>
              <w:t xml:space="preserve">the most abundant species). If we think about ways that people have approached this there are the diet models of</w:t>
            </w:r>
            <w:r>
              <w:t xml:space="preserve"> </w:t>
            </w:r>
            <w:r>
              <w:t xml:space="preserve">[31]</w:t>
            </w:r>
            <w:r>
              <w:t xml:space="preserve"> </w:t>
            </w:r>
            <w:r>
              <w:t xml:space="preserve">and</w:t>
            </w:r>
            <w:r>
              <w:t xml:space="preserve"> </w:t>
            </w:r>
            <w:r>
              <w:t xml:space="preserve">[10]</w:t>
            </w:r>
            <w:r>
              <w:t xml:space="preserve"> </w:t>
            </w:r>
            <w:r>
              <w:t xml:space="preserve">that tike a high-level (imo) approach to accounting for energy acquisition, then you get the</w:t>
            </w:r>
            <w:r>
              <w:t xml:space="preserve"> </w:t>
            </w:r>
            <w:r>
              <w:t xml:space="preserve">‘</w:t>
            </w:r>
            <w:r>
              <w:t xml:space="preserve">trait</w:t>
            </w:r>
            <w:r>
              <w:t xml:space="preserve">’</w:t>
            </w:r>
            <w:r>
              <w:t xml:space="preserve"> </w:t>
            </w:r>
            <w:r>
              <w:t xml:space="preserve">framework developed by</w:t>
            </w:r>
            <w:r>
              <w:t xml:space="preserve"> </w:t>
            </w:r>
            <w:r>
              <w:t xml:space="preserve">[32]</w:t>
            </w:r>
            <w:r>
              <w:t xml:space="preserve"> </w:t>
            </w:r>
            <w:r>
              <w:t xml:space="preserve">that moves the</w:t>
            </w:r>
            <w:r>
              <w:t xml:space="preserve"> </w:t>
            </w:r>
            <w:r>
              <w:t xml:space="preserve">‘</w:t>
            </w:r>
            <w:r>
              <w:t xml:space="preserve">energy</w:t>
            </w:r>
            <w:r>
              <w:t xml:space="preserve">’</w:t>
            </w:r>
            <w:r>
              <w:t xml:space="preserve"> </w:t>
            </w:r>
            <w:r>
              <w:t xml:space="preserve">into different</w:t>
            </w:r>
            <w:r>
              <w:t xml:space="preserve"> </w:t>
            </w:r>
            <w:r>
              <w:t xml:space="preserve">‘</w:t>
            </w:r>
            <w:r>
              <w:t xml:space="preserve">modules</w:t>
            </w:r>
            <w:r>
              <w:t xml:space="preserve">’</w:t>
            </w:r>
            <w:r>
              <w:t xml:space="preserve"> </w:t>
            </w:r>
            <w:r>
              <w:t xml:space="preserve">related to the process of the consumer acquiring energy from the resource (however there is a disregard for the</w:t>
            </w:r>
            <w:r>
              <w:t xml:space="preserve"> </w:t>
            </w:r>
            <w:r>
              <w:t xml:space="preserve">‘</w:t>
            </w:r>
            <w:r>
              <w:t xml:space="preserve">Rule 1</w:t>
            </w:r>
            <w:r>
              <w:t xml:space="preserve">’</w:t>
            </w:r>
            <w:r>
              <w:t xml:space="preserve"> </w:t>
            </w:r>
            <w:r>
              <w:t xml:space="preserve">requirement of forbidden links, again not bad just pointing it out). The idea of the consumer search space developed by</w:t>
            </w:r>
            <w:r>
              <w:t xml:space="preserve"> </w:t>
            </w:r>
            <w:r>
              <w:t xml:space="preserve">[33]</w:t>
            </w:r>
            <w:r>
              <w:t xml:space="preserve"> </w:t>
            </w:r>
            <w:r>
              <w:t xml:space="preserve">is also an interesting consideration.</w:t>
            </w:r>
          </w:p>
          <w:p>
            <w:pPr>
              <w:pStyle w:val="BodyText"/>
            </w:pPr>
            <w:r>
              <w:rPr>
                <w:b/>
                <w:bCs/>
              </w:rPr>
              <w:t xml:space="preserve">5.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[34]</w:t>
            </w:r>
            <w:r>
              <w:t xml:space="preserve">, which is essentially a take on movement ecology? What it boils down to is being able to quantify the cost of movement</w:t>
            </w:r>
            <w:r>
              <w:t xml:space="preserve"> </w:t>
            </w:r>
            <w:r>
              <w:rPr>
                <w:i/>
                <w:iCs/>
              </w:rPr>
              <w:t xml:space="preserve">i.e.,</w:t>
            </w:r>
            <w:r>
              <w:t xml:space="preserve"> </w:t>
            </w:r>
            <w:r>
              <w:t xml:space="preserve">the physical constraints that the environment imposes on a species… Maybe we can also think of it more in terms of metabolic rate?</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Rule 5</w:t>
            </w:r>
            <w:r>
              <w:t xml:space="preserve">’</w:t>
            </w:r>
            <w:r>
              <w:t xml:space="preserve"> </w:t>
            </w:r>
            <w:r>
              <w:t xml:space="preserve">level 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
                <w:iCs/>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
          <w:iCs/>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
          <w:iCs/>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
          <w:iCs/>
        </w:rPr>
        <w:t xml:space="preserve">i.e.,</w:t>
      </w:r>
      <w:r>
        <w:t xml:space="preserve"> </w:t>
      </w:r>
      <w:r>
        <w:t xml:space="preserve">creating a network that, when taken in aggregate, the distribution of links (interactions) between nodes (species) are ecologically plausible) to a need for specificity (</w:t>
      </w:r>
      <w:r>
        <w:rPr>
          <w:i/>
          <w:iCs/>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
          <w:iCs/>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[35,36]</w:t>
      </w:r>
      <w:r>
        <w:t xml:space="preserve">, using pairwise interactions to understand species distributions</w:t>
      </w:r>
      <w:r>
        <w:t xml:space="preserve"> </w:t>
      </w:r>
      <w:r>
        <w:t xml:space="preserve">[37]</w:t>
      </w:r>
      <w:r>
        <w:t xml:space="preserve"> </w:t>
      </w:r>
      <w:r>
        <w:t xml:space="preserve">or even co-extinction risk</w:t>
      </w:r>
      <w:r>
        <w:t xml:space="preserve"> </w:t>
      </w:r>
      <w:r>
        <w:t xml:space="preserve">[38]</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
          <w:iCs/>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
          <w:bCs/>
        </w:rPr>
        <w:t xml:space="preserve">topology generators</w:t>
      </w:r>
      <w:r>
        <w:t xml:space="preserve"> </w:t>
      </w:r>
      <w:r>
        <w:t xml:space="preserve">and models developed to infer the interactions for a given species pool as</w:t>
      </w:r>
      <w:r>
        <w:t xml:space="preserve"> </w:t>
      </w:r>
      <w:r>
        <w:rPr>
          <w:b/>
          <w:bCs/>
        </w:rPr>
        <w:t xml:space="preserve">interaction predictors</w:t>
      </w:r>
      <w:r>
        <w:t xml:space="preserve">. It is meaningful to make this distinction because although it is possible to construct a food web given using an</w:t>
      </w:r>
      <w:r>
        <w:t xml:space="preserve"> </w:t>
      </w:r>
      <w:r>
        <w:rPr>
          <w:i/>
          <w:iCs/>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[39]</w:t>
      </w:r>
      <w:r>
        <w:t xml:space="preserve">. This is primarily because</w:t>
      </w:r>
      <w:r>
        <w:t xml:space="preserve"> </w:t>
      </w:r>
      <w:r>
        <w:rPr>
          <w:i/>
          <w:iCs/>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[40]</w:t>
      </w:r>
      <w:r>
        <w:t xml:space="preserve"> </w:t>
      </w:r>
      <w:r>
        <w:t xml:space="preserve">were developed with the intent of being used to understand the</w:t>
      </w:r>
      <w:r>
        <w:t xml:space="preserve"> </w:t>
      </w:r>
      <w:r>
        <w:rPr>
          <w:i/>
          <w:iCs/>
        </w:rPr>
        <w:t xml:space="preserve">structural</w:t>
      </w:r>
      <w:r>
        <w:t xml:space="preserve"> </w:t>
      </w:r>
      <w:r>
        <w:t xml:space="preserve">aspects of food webs, specifically how links are distributed amongst species in the community, whereas bayesian</w:t>
      </w:r>
      <w:r>
        <w:t xml:space="preserve"> </w:t>
      </w:r>
      <w:r>
        <w:t xml:space="preserve">[41]</w:t>
      </w:r>
      <w:r>
        <w:t xml:space="preserve"> </w:t>
      </w:r>
      <w:r>
        <w:t xml:space="preserve">or trait hierarchy</w:t>
      </w:r>
      <w:r>
        <w:t xml:space="preserve"> </w:t>
      </w:r>
      <w:r>
        <w:t xml:space="preserve">[42]</w:t>
      </w:r>
      <w:r>
        <w:t xml:space="preserve"> </w:t>
      </w:r>
      <w:r>
        <w:t xml:space="preserve">models have been developed on the basis that the traits of a species are the underlying mechanism in determining the feasibility of interactions (</w:t>
      </w:r>
      <w:r>
        <w:rPr>
          <w:i/>
          <w:iCs/>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43]</w:t>
      </w:r>
      <w:r>
        <w:t xml:space="preserve">.</w:t>
      </w:r>
    </w:p>
    <w:p>
      <w:pPr>
        <w:pStyle w:val="BlockText"/>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[44]</w:t>
                  </w:r>
                  <w:r>
                    <w:t xml:space="preserve"> </w:t>
                  </w:r>
                  <w:r>
                    <w:t xml:space="preserve">(although more plant-plant</w:t>
                  </w:r>
                  <w:r>
                    <w:t xml:space="preserve"> </w:t>
                  </w:r>
                  <w:r>
                    <w:rPr>
                      <w:i/>
                      <w:iCs/>
                    </w:rPr>
                    <w:t xml:space="preserve">i.e.</w:t>
                  </w:r>
                  <w:r>
                    <w:t xml:space="preserve"> </w:t>
                  </w:r>
                  <w:r>
                    <w:t xml:space="preserve">non-trophic…)</w:t>
                  </w:r>
                </w:p>
              </w:tc>
            </w:tr>
          </w:tbl>
          <w:bookmarkEnd w:id="40"/>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Box 2 - Assessing model outputs</w:t>
            </w:r>
          </w:p>
        </w:tc>
      </w:tr>
      <w:tr>
        <w:trPr>
          <w:cantSplit/>
        </w:trPr>
        <w:tc>
          <w:tcPr>
            <w:tcMar>
              <w:top w:w="108" w:type="dxa"/>
              <w:bottom w:w="108" w:type="dxa"/>
            </w:tcMar>
          </w:tcPr>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
                <w:bCs/>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[45]</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[46]</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[47]</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
                <w:bCs/>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
                <w:iCs/>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
                <w:bCs/>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
                <w:iCs/>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
                <w:bCs/>
              </w:rPr>
              <w:t xml:space="preserve">metaweb</w:t>
            </w:r>
            <w:r>
              <w:t xml:space="preserve"> </w:t>
            </w:r>
            <w:r>
              <w:t xml:space="preserve">(</w:t>
            </w:r>
            <w:r>
              <w:rPr>
                <w:i/>
                <w:iCs/>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[43]</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
                <w:iCs/>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pStyle w:val="Compact"/>
        <w:numPr>
          <w:ilvl w:val="1"/>
          <w:numId w:val="1002"/>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3"/>
        </w:numPr>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[20,48]</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[48]</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[49]</w:t>
      </w:r>
      <w:r>
        <w:t xml:space="preserve"> </w:t>
      </w:r>
      <w:r>
        <w:t xml:space="preserve">but maybe not exactly in this context but vaguely adjacent.</w:t>
      </w:r>
    </w:p>
    <w:p>
      <w:pPr>
        <w:pStyle w:val="Compact"/>
        <w:numPr>
          <w:ilvl w:val="1"/>
          <w:numId w:val="1006"/>
        </w:numPr>
      </w:pPr>
      <w:r>
        <w:t xml:space="preserve">I think this is sort of the crux of the argument presented in</w:t>
      </w:r>
      <w:r>
        <w:t xml:space="preserve"> </w:t>
      </w:r>
      <w:r>
        <w:t xml:space="preserve">[50]</w:t>
      </w:r>
      <w:r>
        <w:t xml:space="preserve"> </w:t>
      </w:r>
      <w:r>
        <w:t xml:space="preserve">as well.</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[46]</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[51]</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pStyle w:val="Compact"/>
        <w:numPr>
          <w:ilvl w:val="1"/>
          <w:numId w:val="1009"/>
        </w:numPr>
      </w:pPr>
      <w:r>
        <w:t xml:space="preserve">The</w:t>
      </w:r>
      <w:r>
        <w:t xml:space="preserve"> </w:t>
      </w:r>
      <w:r>
        <w:t xml:space="preserve">[52]</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[53]</w:t>
      </w:r>
      <w:r>
        <w:t xml:space="preserve"> </w:t>
      </w:r>
      <w:r>
        <w:t xml:space="preserve">and that we should also start thinking about the interplay of time and space</w:t>
      </w:r>
      <w:r>
        <w:t xml:space="preserve"> </w:t>
      </w:r>
      <w:r>
        <w:t xml:space="preserve">[54]</w:t>
      </w:r>
      <w:r>
        <w:t xml:space="preserve">. Although deciding exactly what measure might actually be driving differences between local networks and the regional metaweb might not be that simple</w:t>
      </w:r>
      <w:r>
        <w:t xml:space="preserve"> </w:t>
      </w:r>
      <w:r>
        <w:t xml:space="preserve">[55]</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p>
      <w:pPr>
        <w:pStyle w:val="BodyText"/>
      </w:pPr>
      <w:r>
        <w:t xml:space="preserve">Another time perspective question is when do we determine a link to be</w:t>
      </w:r>
      <w:r>
        <w:t xml:space="preserve"> </w:t>
      </w:r>
      <w:r>
        <w:t xml:space="preserve">‘</w:t>
      </w:r>
      <w:r>
        <w:t xml:space="preserve">real</w:t>
      </w:r>
      <w:r>
        <w:t xml:space="preserve">’</w:t>
      </w:r>
      <w:r>
        <w:t xml:space="preserve">… In the context of feasible networks this is perhaps clearer - all things equal would the predator be bale to consume the prey. However in the realised space there is also the question of the long term</w:t>
      </w:r>
      <w:r>
        <w:t xml:space="preserve"> </w:t>
      </w:r>
      <w:r>
        <w:t xml:space="preserve">‘</w:t>
      </w:r>
      <w:r>
        <w:t xml:space="preserve">energetic feasibility</w:t>
      </w:r>
      <w:r>
        <w:t xml:space="preserve">’</w:t>
      </w:r>
      <w:r>
        <w:t xml:space="preserve"> </w:t>
      </w:r>
      <w:r>
        <w:t xml:space="preserve">of an interaction - just because an interaction is possible in the now is it able to sustain a population in the long term. And what is the scale for that long term - are we thinking at the generational scale? Because ultimately when we are constructing a network we are aggregating not only across space but also across time.</w:t>
      </w:r>
    </w:p>
    <w:bookmarkEnd w:id="55"/>
    <w:bookmarkEnd w:id="56"/>
    <w:bookmarkStart w:id="57" w:name="glossary"/>
    <w:p>
      <w:pPr>
        <w:pStyle w:val="Heading2"/>
      </w:pPr>
      <w:r>
        <w:t xml:space="preserve">Glossary</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
                <w:iCs/>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
                <w:iCs/>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
                <w:iCs/>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5" w:name="references"/>
    <w:p>
      <w:pPr>
        <w:pStyle w:val="Heading2"/>
      </w:pPr>
      <w:r>
        <w:t xml:space="preserve">References</w:t>
      </w:r>
    </w:p>
    <w:bookmarkStart w:id="164"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
          <w:iCs/>
        </w:rPr>
        <w:t xml:space="preserve">Defining</w:t>
      </w:r>
      <w:r>
        <w:rPr>
          <w:i/>
          <w:iCs/>
        </w:rPr>
        <w:t xml:space="preserve"> </w:t>
      </w:r>
      <w:r>
        <w:rPr>
          <w:i/>
          <w:iCs/>
        </w:rPr>
        <w:t xml:space="preserve">Agroecology</w:t>
      </w:r>
      <w:r>
        <w:rPr>
          <w:i/>
          <w:iCs/>
        </w:rPr>
        <w:t xml:space="preserve"> </w:t>
      </w:r>
      <w:r>
        <w:rPr>
          <w:i/>
          <w:iCs/>
        </w:rPr>
        <w:t xml:space="preserve">–</w:t>
      </w:r>
      <w:r>
        <w:rPr>
          <w:i/>
          <w:iCs/>
        </w:rPr>
        <w:t xml:space="preserve"> </w:t>
      </w:r>
      <w:r>
        <w:rPr>
          <w:i/>
          <w:iCs/>
        </w:rPr>
        <w:t xml:space="preserve">A Festschrift</w:t>
      </w:r>
      <w:r>
        <w:rPr>
          <w:i/>
          <w:iCs/>
        </w:rPr>
        <w:t xml:space="preserve"> </w:t>
      </w:r>
      <w:r>
        <w:rPr>
          <w:i/>
          <w:iCs/>
        </w:rPr>
        <w:t xml:space="preserve">for</w:t>
      </w:r>
      <w:r>
        <w:rPr>
          <w:i/>
          <w:iCs/>
        </w:rPr>
        <w:t xml:space="preserve"> </w:t>
      </w:r>
      <w:r>
        <w:rPr>
          <w:i/>
          <w:iCs/>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
          <w:iCs/>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
          <w:iCs/>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
          <w:iCs/>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
          <w:iCs/>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
          <w:iCs/>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
          <w:iCs/>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
          <w:iCs/>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
          <w:iCs/>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
          <w:iCs/>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
          <w:iCs/>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
          <w:iCs/>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
          <w:iCs/>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
          <w:iCs/>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
          <w:iCs/>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
          <w:iCs/>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
          <w:iCs/>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
          <w:iCs/>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
          <w:iCs/>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
          <w:iCs/>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
          <w:iCs/>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
          <w:iCs/>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
          <w:iCs/>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
          <w:iCs/>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
          <w:iCs/>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
          <w:iCs/>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
          <w:iCs/>
        </w:rPr>
        <w:t xml:space="preserve">Unsolved</w:t>
      </w:r>
      <w:r>
        <w:rPr>
          <w:i/>
          <w:iCs/>
        </w:rPr>
        <w:t xml:space="preserve"> </w:t>
      </w:r>
      <w:r>
        <w:rPr>
          <w:i/>
          <w:iCs/>
        </w:rPr>
        <w:t xml:space="preserve">Problems</w:t>
      </w:r>
      <w:r>
        <w:rPr>
          <w:i/>
          <w:iCs/>
        </w:rPr>
        <w:t xml:space="preserve"> </w:t>
      </w:r>
      <w:r>
        <w:rPr>
          <w:i/>
          <w:iCs/>
        </w:rPr>
        <w:t xml:space="preserve">in</w:t>
      </w:r>
      <w:r>
        <w:rPr>
          <w:i/>
          <w:iCs/>
        </w:rPr>
        <w:t xml:space="preserve"> </w:t>
      </w:r>
      <w:r>
        <w:rPr>
          <w:i/>
          <w:iCs/>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
          <w:iCs/>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
          <w:iCs/>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
          <w:iCs/>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
          <w:iCs/>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
          <w:iCs/>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
          <w:iCs/>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
          <w:iCs/>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
          <w:iCs/>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
          <w:iCs/>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
          <w:iCs/>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
          <w:iCs/>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
          <w:iCs/>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
          <w:iCs/>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
          <w:iCs/>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
          <w:iCs/>
        </w:rPr>
        <w:t xml:space="preserve">Proceedings of the National Academy of Sciences</w:t>
      </w:r>
      <w:r>
        <w:t xml:space="preserve"> </w:t>
      </w:r>
      <w:r>
        <w:t xml:space="preserve">103, 13745–13749</w:t>
      </w:r>
    </w:p>
    <w:bookmarkEnd w:id="117"/>
    <w:bookmarkStart w:id="119" w:name="ref-woottonModularTheoryTrophic2023"/>
    <w:p>
      <w:pPr>
        <w:pStyle w:val="Bibliography"/>
      </w:pPr>
      <w:r>
        <w:t xml:space="preserve">32.</w:t>
      </w:r>
      <w:r>
        <w:t xml:space="preserve"> </w:t>
      </w:r>
      <w:r>
        <w:t xml:space="preserve">	</w:t>
      </w:r>
      <w:r>
        <w:t xml:space="preserve">Wootton, K.L.</w:t>
      </w:r>
      <w:r>
        <w:t xml:space="preserve"> </w:t>
      </w:r>
      <w:r>
        <w:rPr>
          <w:i/>
          <w:iCs/>
        </w:rPr>
        <w:t xml:space="preserve">et al.</w:t>
      </w:r>
      <w:r>
        <w:t xml:space="preserve"> </w:t>
      </w:r>
      <w:r>
        <w:t xml:space="preserve">(2023)</w:t>
      </w:r>
      <w:r>
        <w:t xml:space="preserve"> </w:t>
      </w:r>
      <w:hyperlink r:id="rId118">
        <w:r>
          <w:rPr>
            <w:rStyle w:val="Hyperlink"/>
          </w:rPr>
          <w:t xml:space="preserve">Towards a modular theory of trophic interactions</w:t>
        </w:r>
      </w:hyperlink>
      <w:r>
        <w:t xml:space="preserve">.</w:t>
      </w:r>
      <w:r>
        <w:t xml:space="preserve"> </w:t>
      </w:r>
      <w:r>
        <w:rPr>
          <w:i/>
          <w:iCs/>
        </w:rPr>
        <w:t xml:space="preserve">Functional Ecology</w:t>
      </w:r>
      <w:r>
        <w:t xml:space="preserve"> </w:t>
      </w:r>
      <w:r>
        <w:t xml:space="preserve">37, 26–43</w:t>
      </w:r>
    </w:p>
    <w:bookmarkEnd w:id="119"/>
    <w:bookmarkStart w:id="121" w:name="X0c2a588d4c668aa5d8efe715af4b32a452d7f80"/>
    <w:p>
      <w:pPr>
        <w:pStyle w:val="Bibliography"/>
      </w:pPr>
      <w:r>
        <w:t xml:space="preserve">33.</w:t>
      </w:r>
      <w:r>
        <w:t xml:space="preserve"> </w:t>
      </w:r>
      <w:r>
        <w:t xml:space="preserve">	</w:t>
      </w:r>
      <w:r>
        <w:t xml:space="preserve">Pawar, S.</w:t>
      </w:r>
      <w:r>
        <w:t xml:space="preserve"> </w:t>
      </w:r>
      <w:r>
        <w:rPr>
          <w:i/>
          <w:iCs/>
        </w:rPr>
        <w:t xml:space="preserve">et al.</w:t>
      </w:r>
      <w:r>
        <w:t xml:space="preserve"> </w:t>
      </w:r>
      <w:r>
        <w:t xml:space="preserve">(2012)</w:t>
      </w:r>
      <w:r>
        <w:t xml:space="preserve"> </w:t>
      </w:r>
      <w:hyperlink r:id="rId120">
        <w:r>
          <w:rPr>
            <w:rStyle w:val="Hyperlink"/>
          </w:rPr>
          <w:t xml:space="preserve">Dimensionality of consumer search space drives trophic interaction strengths</w:t>
        </w:r>
      </w:hyperlink>
      <w:r>
        <w:t xml:space="preserve">.</w:t>
      </w:r>
      <w:r>
        <w:t xml:space="preserve"> </w:t>
      </w:r>
      <w:r>
        <w:rPr>
          <w:i/>
          <w:iCs/>
        </w:rPr>
        <w:t xml:space="preserve">Nature</w:t>
      </w:r>
      <w:r>
        <w:t xml:space="preserve"> </w:t>
      </w:r>
      <w:r>
        <w:t xml:space="preserve">486, 485–489</w:t>
      </w:r>
    </w:p>
    <w:bookmarkEnd w:id="121"/>
    <w:bookmarkStart w:id="123" w:name="ref-cherifEnvironmentRescueCan2024"/>
    <w:p>
      <w:pPr>
        <w:pStyle w:val="Bibliography"/>
      </w:pPr>
      <w:r>
        <w:t xml:space="preserve">34.</w:t>
      </w:r>
      <w:r>
        <w:t xml:space="preserve"> </w:t>
      </w:r>
      <w:r>
        <w:t xml:space="preserve">	</w:t>
      </w:r>
      <w:r>
        <w:t xml:space="preserve">Cherif, M.</w:t>
      </w:r>
      <w:r>
        <w:t xml:space="preserve"> </w:t>
      </w:r>
      <w:r>
        <w:rPr>
          <w:i/>
          <w:iCs/>
        </w:rPr>
        <w:t xml:space="preserve">et al.</w:t>
      </w:r>
      <w:r>
        <w:t xml:space="preserve"> </w:t>
      </w:r>
      <w:r>
        <w:t xml:space="preserve">(2024)</w:t>
      </w:r>
      <w:r>
        <w:t xml:space="preserve"> </w:t>
      </w:r>
      <w:hyperlink r:id="rId122">
        <w:r>
          <w:rPr>
            <w:rStyle w:val="Hyperlink"/>
          </w:rPr>
          <w:t xml:space="preserve">The environment to the rescue: Can physics help predict predator–prey interactions?</w:t>
        </w:r>
      </w:hyperlink>
      <w:r>
        <w:t xml:space="preserve"> </w:t>
      </w:r>
      <w:r>
        <w:rPr>
          <w:i/>
          <w:iCs/>
        </w:rPr>
        <w:t xml:space="preserve">Biological Reviews</w:t>
      </w:r>
      <w:r>
        <w:t xml:space="preserve"> </w:t>
      </w:r>
      <w:r>
        <w:t xml:space="preserve">n/a</w:t>
      </w:r>
    </w:p>
    <w:bookmarkEnd w:id="123"/>
    <w:bookmarkStart w:id="125" w:name="ref-dunneCompilationNetworkAnalyses2008"/>
    <w:p>
      <w:pPr>
        <w:pStyle w:val="Bibliography"/>
      </w:pPr>
      <w:r>
        <w:t xml:space="preserve">35.</w:t>
      </w:r>
      <w:r>
        <w:t xml:space="preserve"> </w:t>
      </w:r>
      <w:r>
        <w:t xml:space="preserve">	</w:t>
      </w:r>
      <w:r>
        <w:t xml:space="preserve">Dunne, J.A.</w:t>
      </w:r>
      <w:r>
        <w:t xml:space="preserve"> </w:t>
      </w:r>
      <w:r>
        <w:rPr>
          <w:i/>
          <w:iCs/>
        </w:rPr>
        <w:t xml:space="preserve">et al.</w:t>
      </w:r>
      <w:r>
        <w:t xml:space="preserve"> </w:t>
      </w:r>
      <w:r>
        <w:t xml:space="preserve">(2008)</w:t>
      </w:r>
      <w:r>
        <w:t xml:space="preserve"> </w:t>
      </w:r>
      <w:hyperlink r:id="rId124">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
          <w:iCs/>
        </w:rPr>
        <w:t xml:space="preserve">PLOS Biology</w:t>
      </w:r>
      <w:r>
        <w:t xml:space="preserve"> </w:t>
      </w:r>
      <w:r>
        <w:t xml:space="preserve">6, e102</w:t>
      </w:r>
    </w:p>
    <w:bookmarkEnd w:id="125"/>
    <w:bookmarkStart w:id="127" w:name="ref-yeakelCollapseEcologicalNetwork2014"/>
    <w:p>
      <w:pPr>
        <w:pStyle w:val="Bibliography"/>
      </w:pPr>
      <w:r>
        <w:t xml:space="preserve">36.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126">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
          <w:iCs/>
        </w:rPr>
        <w:t xml:space="preserve">PNAS</w:t>
      </w:r>
      <w:r>
        <w:t xml:space="preserve"> </w:t>
      </w:r>
      <w:r>
        <w:t xml:space="preserve">111, 14472–14477</w:t>
      </w:r>
    </w:p>
    <w:bookmarkEnd w:id="127"/>
    <w:bookmarkStart w:id="129" w:name="X8f3d1de04516835fd1376e2647a281b763af4fc"/>
    <w:p>
      <w:pPr>
        <w:pStyle w:val="Bibliography"/>
      </w:pPr>
      <w:r>
        <w:t xml:space="preserve">37.</w:t>
      </w:r>
      <w:r>
        <w:t xml:space="preserve"> </w:t>
      </w:r>
      <w:r>
        <w:t xml:space="preserve">	</w:t>
      </w:r>
      <w:r>
        <w:t xml:space="preserve">Pollock, L.J.</w:t>
      </w:r>
      <w:r>
        <w:t xml:space="preserve"> </w:t>
      </w:r>
      <w:r>
        <w:rPr>
          <w:i/>
          <w:iCs/>
        </w:rPr>
        <w:t xml:space="preserve">et al.</w:t>
      </w:r>
      <w:r>
        <w:t xml:space="preserve"> </w:t>
      </w:r>
      <w:r>
        <w:t xml:space="preserve">(2014)</w:t>
      </w:r>
      <w:r>
        <w:t xml:space="preserve"> </w:t>
      </w:r>
      <w:hyperlink r:id="rId128">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
          <w:iCs/>
        </w:rPr>
        <w:t xml:space="preserve">Methods in Ecology and Evolution</w:t>
      </w:r>
      <w:r>
        <w:t xml:space="preserve"> </w:t>
      </w:r>
      <w:r>
        <w:t xml:space="preserve">5, 397–406</w:t>
      </w:r>
    </w:p>
    <w:bookmarkEnd w:id="129"/>
    <w:bookmarkStart w:id="131" w:name="ref-dunnSixthMassCoextinction2009"/>
    <w:p>
      <w:pPr>
        <w:pStyle w:val="Bibliography"/>
      </w:pPr>
      <w:r>
        <w:t xml:space="preserve">38.</w:t>
      </w:r>
      <w:r>
        <w:t xml:space="preserve"> </w:t>
      </w:r>
      <w:r>
        <w:t xml:space="preserve">	</w:t>
      </w:r>
      <w:r>
        <w:t xml:space="preserve">Dunn, R.R.</w:t>
      </w:r>
      <w:r>
        <w:t xml:space="preserve"> </w:t>
      </w:r>
      <w:r>
        <w:rPr>
          <w:i/>
          <w:iCs/>
        </w:rPr>
        <w:t xml:space="preserve">et al.</w:t>
      </w:r>
      <w:r>
        <w:t xml:space="preserve"> </w:t>
      </w:r>
      <w:r>
        <w:t xml:space="preserve">(2009)</w:t>
      </w:r>
      <w:r>
        <w:t xml:space="preserve"> </w:t>
      </w:r>
      <w:hyperlink r:id="rId130">
        <w:r>
          <w:rPr>
            <w:rStyle w:val="Hyperlink"/>
          </w:rPr>
          <w:t xml:space="preserve">The sixth mass coextinction: Are most endangered species parasites and mutualists?</w:t>
        </w:r>
      </w:hyperlink>
      <w:r>
        <w:t xml:space="preserve"> </w:t>
      </w:r>
      <w:r>
        <w:rPr>
          <w:i/>
          <w:iCs/>
        </w:rPr>
        <w:t xml:space="preserve">Proceedings. Biological Sciences</w:t>
      </w:r>
      <w:r>
        <w:t xml:space="preserve"> </w:t>
      </w:r>
      <w:r>
        <w:t xml:space="preserve">276, 3037–3045</w:t>
      </w:r>
    </w:p>
    <w:bookmarkEnd w:id="131"/>
    <w:bookmarkStart w:id="133" w:name="ref-caronTraitmatchingModelsPredict2024"/>
    <w:p>
      <w:pPr>
        <w:pStyle w:val="Bibliography"/>
      </w:pPr>
      <w:r>
        <w:t xml:space="preserve">39.</w:t>
      </w:r>
      <w:r>
        <w:t xml:space="preserve"> </w:t>
      </w:r>
      <w:r>
        <w:t xml:space="preserve">	</w:t>
      </w:r>
      <w:r>
        <w:t xml:space="preserve">Caron, D.</w:t>
      </w:r>
      <w:r>
        <w:t xml:space="preserve"> </w:t>
      </w:r>
      <w:r>
        <w:rPr>
          <w:i/>
          <w:iCs/>
        </w:rPr>
        <w:t xml:space="preserve">et al.</w:t>
      </w:r>
      <w:r>
        <w:t xml:space="preserve"> </w:t>
      </w:r>
      <w:r>
        <w:t xml:space="preserve">(2024)</w:t>
      </w:r>
      <w:r>
        <w:t xml:space="preserve"> </w:t>
      </w:r>
      <w:hyperlink r:id="rId132">
        <w:r>
          <w:rPr>
            <w:rStyle w:val="Hyperlink"/>
          </w:rPr>
          <w:t xml:space="preserve">Trait-matching models predict pairwise interactions across regions, not food web properties</w:t>
        </w:r>
      </w:hyperlink>
      <w:r>
        <w:t xml:space="preserve">.</w:t>
      </w:r>
      <w:r>
        <w:t xml:space="preserve"> </w:t>
      </w:r>
      <w:r>
        <w:rPr>
          <w:i/>
          <w:iCs/>
        </w:rPr>
        <w:t xml:space="preserve">Global Ecology and Biogeography</w:t>
      </w:r>
      <w:r>
        <w:t xml:space="preserve"> </w:t>
      </w:r>
      <w:r>
        <w:t xml:space="preserve">33, e13807</w:t>
      </w:r>
    </w:p>
    <w:bookmarkEnd w:id="133"/>
    <w:bookmarkStart w:id="134" w:name="ref-cohenCommunityFoodWebs1990"/>
    <w:p>
      <w:pPr>
        <w:pStyle w:val="Bibliography"/>
      </w:pPr>
      <w:r>
        <w:t xml:space="preserve">40.</w:t>
      </w:r>
      <w:r>
        <w:t xml:space="preserve"> </w:t>
      </w:r>
      <w:r>
        <w:t xml:space="preserve">	</w:t>
      </w:r>
      <w:r>
        <w:t xml:space="preserve">Cohen, J.E.</w:t>
      </w:r>
      <w:r>
        <w:t xml:space="preserve"> </w:t>
      </w:r>
      <w:r>
        <w:rPr>
          <w:i/>
          <w:iCs/>
        </w:rPr>
        <w:t xml:space="preserve">et al.</w:t>
      </w:r>
      <w:r>
        <w:t xml:space="preserve"> </w:t>
      </w:r>
      <w:r>
        <w:t xml:space="preserve">(1990)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Springer-Verlag</w:t>
      </w:r>
    </w:p>
    <w:bookmarkEnd w:id="134"/>
    <w:bookmarkStart w:id="136" w:name="Xb1d8b6b275822be1886d160023287af73cce966"/>
    <w:p>
      <w:pPr>
        <w:pStyle w:val="Bibliography"/>
      </w:pPr>
      <w:r>
        <w:t xml:space="preserve">41.</w:t>
      </w:r>
      <w:r>
        <w:t xml:space="preserve"> </w:t>
      </w:r>
      <w:r>
        <w:t xml:space="preserve">	</w:t>
      </w:r>
      <w:r>
        <w:t xml:space="preserve">Cirtwill, A.R.</w:t>
      </w:r>
      <w:r>
        <w:t xml:space="preserve"> </w:t>
      </w:r>
      <w:r>
        <w:rPr>
          <w:i/>
          <w:iCs/>
        </w:rPr>
        <w:t xml:space="preserve">et al.</w:t>
      </w:r>
      <w:r>
        <w:t xml:space="preserve"> </w:t>
      </w:r>
      <w:r>
        <w:t xml:space="preserve">(2019)</w:t>
      </w:r>
      <w:r>
        <w:t xml:space="preserve"> </w:t>
      </w:r>
      <w:hyperlink r:id="rId135">
        <w:r>
          <w:rPr>
            <w:rStyle w:val="Hyperlink"/>
          </w:rPr>
          <w:t xml:space="preserve">A quantitative framework for investigating the reliability of empirical network construction</w:t>
        </w:r>
      </w:hyperlink>
      <w:r>
        <w:t xml:space="preserve">.</w:t>
      </w:r>
      <w:r>
        <w:t xml:space="preserve"> </w:t>
      </w:r>
      <w:r>
        <w:rPr>
          <w:i/>
          <w:iCs/>
        </w:rPr>
        <w:t xml:space="preserve">Methods in Ecology and Evolution</w:t>
      </w:r>
      <w:r>
        <w:t xml:space="preserve"> </w:t>
      </w:r>
      <w:r>
        <w:t xml:space="preserve">10, 902–911</w:t>
      </w:r>
    </w:p>
    <w:bookmarkEnd w:id="136"/>
    <w:bookmarkStart w:id="138" w:name="X0fb50f1746fa9d2b24f89ed5bfe6ae1a2f58cc2"/>
    <w:p>
      <w:pPr>
        <w:pStyle w:val="Bibliography"/>
      </w:pPr>
      <w:r>
        <w:t xml:space="preserve">42.</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137">
        <w:r>
          <w:rPr>
            <w:rStyle w:val="Hyperlink"/>
          </w:rPr>
          <w:t xml:space="preserve">A framework for reconstructing ancient food webs using functional trait data</w:t>
        </w:r>
      </w:hyperlink>
      <w:r>
        <w:t xml:space="preserve">bioRxiv, 2024.01.30.578036</w:t>
      </w:r>
    </w:p>
    <w:bookmarkEnd w:id="138"/>
    <w:bookmarkStart w:id="140" w:name="ref-poisotSpeciesWhyEcological2015"/>
    <w:p>
      <w:pPr>
        <w:pStyle w:val="Bibliography"/>
      </w:pPr>
      <w:r>
        <w:t xml:space="preserve">43.</w:t>
      </w:r>
      <w:r>
        <w:t xml:space="preserve"> </w:t>
      </w:r>
      <w:r>
        <w:t xml:space="preserve">	</w:t>
      </w:r>
      <w:r>
        <w:t xml:space="preserve">Poisot, T.</w:t>
      </w:r>
      <w:r>
        <w:t xml:space="preserve"> </w:t>
      </w:r>
      <w:r>
        <w:rPr>
          <w:i/>
          <w:iCs/>
        </w:rPr>
        <w:t xml:space="preserve">et al.</w:t>
      </w:r>
      <w:r>
        <w:t xml:space="preserve"> </w:t>
      </w:r>
      <w:r>
        <w:t xml:space="preserve">(2015)</w:t>
      </w:r>
      <w:r>
        <w:t xml:space="preserve"> </w:t>
      </w:r>
      <w:hyperlink r:id="rId139">
        <w:r>
          <w:rPr>
            <w:rStyle w:val="Hyperlink"/>
          </w:rPr>
          <w:t xml:space="preserve">Beyond species: Why ecological interaction networks vary through space and time</w:t>
        </w:r>
      </w:hyperlink>
      <w:r>
        <w:t xml:space="preserve">.</w:t>
      </w:r>
      <w:r>
        <w:t xml:space="preserve"> </w:t>
      </w:r>
      <w:r>
        <w:rPr>
          <w:i/>
          <w:iCs/>
        </w:rPr>
        <w:t xml:space="preserve">Oikos</w:t>
      </w:r>
      <w:r>
        <w:t xml:space="preserve"> </w:t>
      </w:r>
      <w:r>
        <w:t xml:space="preserve">124, 243–251</w:t>
      </w:r>
    </w:p>
    <w:bookmarkEnd w:id="140"/>
    <w:bookmarkStart w:id="142" w:name="ref-kuschEcologicalNetworkInference2023"/>
    <w:p>
      <w:pPr>
        <w:pStyle w:val="Bibliography"/>
      </w:pPr>
      <w:r>
        <w:t xml:space="preserve">44.</w:t>
      </w:r>
      <w:r>
        <w:t xml:space="preserve"> </w:t>
      </w:r>
      <w:r>
        <w:t xml:space="preserve">	</w:t>
      </w:r>
      <w:r>
        <w:t xml:space="preserve">Kusch, E.</w:t>
      </w:r>
      <w:r>
        <w:t xml:space="preserve"> </w:t>
      </w:r>
      <w:r>
        <w:rPr>
          <w:i/>
          <w:iCs/>
        </w:rPr>
        <w:t xml:space="preserve">et al.</w:t>
      </w:r>
      <w:r>
        <w:t xml:space="preserve"> </w:t>
      </w:r>
      <w:r>
        <w:t xml:space="preserve">(2023)</w:t>
      </w:r>
      <w:r>
        <w:t xml:space="preserve"> </w:t>
      </w:r>
      <w:hyperlink r:id="rId141">
        <w:r>
          <w:rPr>
            <w:rStyle w:val="Hyperlink"/>
          </w:rPr>
          <w:t xml:space="preserve">Ecological network inference is not consistent across scales or approaches</w:t>
        </w:r>
      </w:hyperlink>
      <w:r>
        <w:t xml:space="preserve">bioRxiv, 2023.07.13.548816</w:t>
      </w:r>
    </w:p>
    <w:bookmarkEnd w:id="142"/>
    <w:bookmarkStart w:id="144" w:name="ref-allesinaGeneralModelFood2008"/>
    <w:p>
      <w:pPr>
        <w:pStyle w:val="Bibliography"/>
      </w:pPr>
      <w:r>
        <w:t xml:space="preserve">45.</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43">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
          <w:iCs/>
        </w:rPr>
        <w:t xml:space="preserve">Science</w:t>
      </w:r>
      <w:r>
        <w:t xml:space="preserve"> </w:t>
      </w:r>
      <w:r>
        <w:t xml:space="preserve">320, 658–661</w:t>
      </w:r>
    </w:p>
    <w:bookmarkEnd w:id="144"/>
    <w:bookmarkStart w:id="146" w:name="X023758d2a089016cd8f0c9d2421079cf7d062ff"/>
    <w:p>
      <w:pPr>
        <w:pStyle w:val="Bibliography"/>
      </w:pPr>
      <w:r>
        <w:t xml:space="preserve">46.</w:t>
      </w:r>
      <w:r>
        <w:t xml:space="preserve"> </w:t>
      </w:r>
      <w:r>
        <w:t xml:space="preserve">	</w:t>
      </w:r>
      <w:r>
        <w:t xml:space="preserve">Poisot, T. (2023)</w:t>
      </w:r>
      <w:r>
        <w:t xml:space="preserve"> </w:t>
      </w:r>
      <w:hyperlink r:id="rId145">
        <w:r>
          <w:rPr>
            <w:rStyle w:val="Hyperlink"/>
          </w:rPr>
          <w:t xml:space="preserve">Guidelines for the prediction of species interactions through binary classification</w:t>
        </w:r>
      </w:hyperlink>
      <w:r>
        <w:t xml:space="preserve">.</w:t>
      </w:r>
      <w:r>
        <w:t xml:space="preserve"> </w:t>
      </w:r>
      <w:r>
        <w:rPr>
          <w:i/>
          <w:iCs/>
        </w:rPr>
        <w:t xml:space="preserve">Methods in Ecology and Evolution</w:t>
      </w:r>
      <w:r>
        <w:t xml:space="preserve"> </w:t>
      </w:r>
      <w:r>
        <w:t xml:space="preserve">14, 1333–1345</w:t>
      </w:r>
    </w:p>
    <w:bookmarkEnd w:id="146"/>
    <w:bookmarkStart w:id="148" w:name="ref-stoufferEvidenceExistenceRobust2007"/>
    <w:p>
      <w:pPr>
        <w:pStyle w:val="Bibliography"/>
      </w:pPr>
      <w:r>
        <w:t xml:space="preserve">47.</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4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48"/>
    <w:bookmarkStart w:id="150" w:name="ref-pringleResolvingFoodWebStructure2020"/>
    <w:p>
      <w:pPr>
        <w:pStyle w:val="Bibliography"/>
      </w:pPr>
      <w:r>
        <w:t xml:space="preserve">48.</w:t>
      </w:r>
      <w:r>
        <w:t xml:space="preserve"> </w:t>
      </w:r>
      <w:r>
        <w:t xml:space="preserve">	</w:t>
      </w:r>
      <w:r>
        <w:t xml:space="preserve">Pringle, R.M. and Hutchinson, M.C. (2020)</w:t>
      </w:r>
      <w:r>
        <w:t xml:space="preserve"> </w:t>
      </w:r>
      <w:hyperlink r:id="rId149">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
          <w:iCs/>
        </w:rPr>
        <w:t xml:space="preserve">Annual Review of Ecology, Evolution and Systematics</w:t>
      </w:r>
      <w:r>
        <w:t xml:space="preserve"> </w:t>
      </w:r>
      <w:r>
        <w:t xml:space="preserve">51, 55–80</w:t>
      </w:r>
    </w:p>
    <w:bookmarkEnd w:id="150"/>
    <w:bookmarkStart w:id="152" w:name="ref-berlowGoldilocksFactorFood2008"/>
    <w:p>
      <w:pPr>
        <w:pStyle w:val="Bibliography"/>
      </w:pPr>
      <w:r>
        <w:t xml:space="preserve">49.</w:t>
      </w:r>
      <w:r>
        <w:t xml:space="preserve"> </w:t>
      </w:r>
      <w:r>
        <w:t xml:space="preserve">	</w:t>
      </w:r>
      <w:r>
        <w:t xml:space="preserve">Berlow, E.L.</w:t>
      </w:r>
      <w:r>
        <w:t xml:space="preserve"> </w:t>
      </w:r>
      <w:r>
        <w:rPr>
          <w:i/>
          <w:iCs/>
        </w:rPr>
        <w:t xml:space="preserve">et al.</w:t>
      </w:r>
      <w:r>
        <w:t xml:space="preserve"> </w:t>
      </w:r>
      <w:r>
        <w:t xml:space="preserve">(2008)</w:t>
      </w:r>
      <w:r>
        <w:t xml:space="preserve"> </w:t>
      </w:r>
      <w:hyperlink r:id="rId151">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
          <w:iCs/>
        </w:rPr>
        <w:t xml:space="preserve">Proceedings of the National Academy of Sciences</w:t>
      </w:r>
      <w:r>
        <w:t xml:space="preserve"> </w:t>
      </w:r>
      <w:r>
        <w:t xml:space="preserve">105, 4079–4080</w:t>
      </w:r>
    </w:p>
    <w:bookmarkEnd w:id="152"/>
    <w:bookmarkStart w:id="154" w:name="ref-brimacombeApplyingMethodIts2024"/>
    <w:p>
      <w:pPr>
        <w:pStyle w:val="Bibliography"/>
      </w:pPr>
      <w:r>
        <w:t xml:space="preserve">50.</w:t>
      </w:r>
      <w:r>
        <w:t xml:space="preserve"> </w:t>
      </w:r>
      <w:r>
        <w:t xml:space="preserve">	</w:t>
      </w:r>
      <w:r>
        <w:t xml:space="preserve">Brimacombe, C.</w:t>
      </w:r>
      <w:r>
        <w:t xml:space="preserve"> </w:t>
      </w:r>
      <w:r>
        <w:rPr>
          <w:i/>
          <w:iCs/>
        </w:rPr>
        <w:t xml:space="preserve">et al.</w:t>
      </w:r>
      <w:r>
        <w:t xml:space="preserve"> </w:t>
      </w:r>
      <w:r>
        <w:t xml:space="preserve">(2024)</w:t>
      </w:r>
      <w:r>
        <w:t xml:space="preserve"> </w:t>
      </w:r>
      <w:hyperlink r:id="rId153">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4"/>
    <w:bookmarkStart w:id="156" w:name="ref-beckerOptimisingPredictiveModels2022"/>
    <w:p>
      <w:pPr>
        <w:pStyle w:val="Bibliography"/>
      </w:pPr>
      <w:r>
        <w:t xml:space="preserve">51.</w:t>
      </w:r>
      <w:r>
        <w:t xml:space="preserve"> </w:t>
      </w:r>
      <w:r>
        <w:t xml:space="preserve">	</w:t>
      </w:r>
      <w:r>
        <w:t xml:space="preserve">Becker, D.J.</w:t>
      </w:r>
      <w:r>
        <w:t xml:space="preserve"> </w:t>
      </w:r>
      <w:r>
        <w:rPr>
          <w:i/>
          <w:iCs/>
        </w:rPr>
        <w:t xml:space="preserve">et al.</w:t>
      </w:r>
      <w:r>
        <w:t xml:space="preserve"> </w:t>
      </w:r>
      <w:r>
        <w:t xml:space="preserve">(2022)</w:t>
      </w:r>
      <w:r>
        <w:t xml:space="preserve"> </w:t>
      </w:r>
      <w:hyperlink r:id="rId155">
        <w:r>
          <w:rPr>
            <w:rStyle w:val="Hyperlink"/>
          </w:rPr>
          <w:t xml:space="preserve">Optimising predictive models to prioritise viral discovery in zoonotic reservoirs</w:t>
        </w:r>
      </w:hyperlink>
      <w:r>
        <w:t xml:space="preserve">.</w:t>
      </w:r>
      <w:r>
        <w:t xml:space="preserve"> </w:t>
      </w:r>
      <w:r>
        <w:rPr>
          <w:i/>
          <w:iCs/>
        </w:rPr>
        <w:t xml:space="preserve">The Lancet Microbe</w:t>
      </w:r>
      <w:r>
        <w:t xml:space="preserve"> </w:t>
      </w:r>
      <w:r>
        <w:t xml:space="preserve">3, e625–e637</w:t>
      </w:r>
    </w:p>
    <w:bookmarkEnd w:id="156"/>
    <w:bookmarkStart w:id="158" w:name="ref-terryFindingMissingLinks2020"/>
    <w:p>
      <w:pPr>
        <w:pStyle w:val="Bibliography"/>
      </w:pPr>
      <w:r>
        <w:t xml:space="preserve">52.</w:t>
      </w:r>
      <w:r>
        <w:t xml:space="preserve"> </w:t>
      </w:r>
      <w:r>
        <w:t xml:space="preserve">	</w:t>
      </w:r>
      <w:r>
        <w:t xml:space="preserve">Terry, J.C.D. and Lewis, O.T. (2020)</w:t>
      </w:r>
      <w:r>
        <w:t xml:space="preserve"> </w:t>
      </w:r>
      <w:hyperlink r:id="rId157">
        <w:r>
          <w:rPr>
            <w:rStyle w:val="Hyperlink"/>
          </w:rPr>
          <w:t xml:space="preserve">Finding missing links in interaction networks</w:t>
        </w:r>
      </w:hyperlink>
      <w:r>
        <w:t xml:space="preserve">.</w:t>
      </w:r>
      <w:r>
        <w:t xml:space="preserve"> </w:t>
      </w:r>
      <w:r>
        <w:rPr>
          <w:i/>
          <w:iCs/>
        </w:rPr>
        <w:t xml:space="preserve">Ecology</w:t>
      </w:r>
      <w:r>
        <w:t xml:space="preserve"> </w:t>
      </w:r>
      <w:r>
        <w:t xml:space="preserve">101, e03047</w:t>
      </w:r>
    </w:p>
    <w:bookmarkEnd w:id="158"/>
    <w:bookmarkStart w:id="160" w:name="ref-fortinNetworkEcologyDynamic2021"/>
    <w:p>
      <w:pPr>
        <w:pStyle w:val="Bibliography"/>
      </w:pPr>
      <w:r>
        <w:t xml:space="preserve">53.</w:t>
      </w:r>
      <w:r>
        <w:t xml:space="preserve"> </w:t>
      </w:r>
      <w:r>
        <w:t xml:space="preserve">	</w:t>
      </w:r>
      <w:r>
        <w:t xml:space="preserve">Fortin, M.-J.</w:t>
      </w:r>
      <w:r>
        <w:t xml:space="preserve"> </w:t>
      </w:r>
      <w:r>
        <w:rPr>
          <w:i/>
          <w:iCs/>
        </w:rPr>
        <w:t xml:space="preserve">et al.</w:t>
      </w:r>
      <w:r>
        <w:t xml:space="preserve"> </w:t>
      </w:r>
      <w:r>
        <w:t xml:space="preserve">(2021)</w:t>
      </w:r>
      <w:r>
        <w:t xml:space="preserve"> </w:t>
      </w:r>
      <w:hyperlink r:id="rId159">
        <w:r>
          <w:rPr>
            <w:rStyle w:val="Hyperlink"/>
          </w:rPr>
          <w:t xml:space="preserve">Network ecology in dynamic landscapes</w:t>
        </w:r>
      </w:hyperlink>
      <w:r>
        <w:t xml:space="preserve">.</w:t>
      </w:r>
      <w:r>
        <w:t xml:space="preserve"> </w:t>
      </w:r>
      <w:r>
        <w:rPr>
          <w:i/>
          <w:iCs/>
        </w:rPr>
        <w:t xml:space="preserve">Proceedings of the Royal Society B: Biological Sciences</w:t>
      </w:r>
      <w:r>
        <w:t xml:space="preserve"> </w:t>
      </w:r>
      <w:r>
        <w:t xml:space="preserve">288, rspb.2020.1889, 20201889</w:t>
      </w:r>
    </w:p>
    <w:bookmarkEnd w:id="160"/>
    <w:bookmarkStart w:id="161" w:name="ref-estayEditorialPatternsProcesses2023"/>
    <w:p>
      <w:pPr>
        <w:pStyle w:val="Bibliography"/>
      </w:pPr>
      <w:r>
        <w:t xml:space="preserve">54.</w:t>
      </w:r>
      <w:r>
        <w:t xml:space="preserve"> </w:t>
      </w:r>
      <w:r>
        <w:t xml:space="preserve">	</w:t>
      </w:r>
      <w:r>
        <w:t xml:space="preserve">Estay, S.A.</w:t>
      </w:r>
      <w:r>
        <w:t xml:space="preserve"> </w:t>
      </w:r>
      <w:r>
        <w:rPr>
          <w:i/>
          <w:iCs/>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
          <w:iCs/>
        </w:rPr>
        <w:t xml:space="preserve">Frontiers in Ecology and Evolution</w:t>
      </w:r>
      <w:r>
        <w:t xml:space="preserve"> </w:t>
      </w:r>
      <w:r>
        <w:t xml:space="preserve">11</w:t>
      </w:r>
    </w:p>
    <w:bookmarkEnd w:id="161"/>
    <w:bookmarkStart w:id="163" w:name="ref-saraviaEcologicalNetworkAssembly2022"/>
    <w:p>
      <w:pPr>
        <w:pStyle w:val="Bibliography"/>
      </w:pPr>
      <w:r>
        <w:t xml:space="preserve">55.</w:t>
      </w:r>
      <w:r>
        <w:t xml:space="preserve"> </w:t>
      </w:r>
      <w:r>
        <w:t xml:space="preserve">	</w:t>
      </w:r>
      <w:r>
        <w:t xml:space="preserve">Saravia, L.A.</w:t>
      </w:r>
      <w:r>
        <w:t xml:space="preserve"> </w:t>
      </w:r>
      <w:r>
        <w:rPr>
          <w:i/>
          <w:iCs/>
        </w:rPr>
        <w:t xml:space="preserve">et al.</w:t>
      </w:r>
      <w:r>
        <w:t xml:space="preserve"> </w:t>
      </w:r>
      <w:r>
        <w:t xml:space="preserve">(2022)</w:t>
      </w:r>
      <w:r>
        <w:t xml:space="preserve"> </w:t>
      </w:r>
      <w:hyperlink r:id="rId162">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
          <w:iCs/>
        </w:rPr>
        <w:t xml:space="preserve">Journal of Animal Ecology</w:t>
      </w:r>
      <w:r>
        <w:t xml:space="preserve"> </w:t>
      </w:r>
      <w:r>
        <w:t xml:space="preserve">91, 630–642</w:t>
      </w:r>
    </w:p>
    <w:bookmarkEnd w:id="163"/>
    <w:bookmarkEnd w:id="164"/>
    <w:bookmarkEnd w:id="16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7" Target="https://doi.org/10.1002/ecy.3047" TargetMode="External" /><Relationship Type="http://schemas.openxmlformats.org/officeDocument/2006/relationships/hyperlink" Id="rId155"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20"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51" Target="https://doi.org/10.1073/pnas.0800967105" TargetMode="External" /><Relationship Type="http://schemas.openxmlformats.org/officeDocument/2006/relationships/hyperlink" Id="rId126" Target="https://doi.org/10.1073/pnas.1408471111" TargetMode="External" /><Relationship Type="http://schemas.openxmlformats.org/officeDocument/2006/relationships/hyperlink" Id="rId147" Target="https://doi.org/10.1098/rspb.2007.0571" TargetMode="External" /><Relationship Type="http://schemas.openxmlformats.org/officeDocument/2006/relationships/hyperlink" Id="rId130" Target="https://doi.org/10.1098/rspb.2009.0413" TargetMode="External" /><Relationship Type="http://schemas.openxmlformats.org/officeDocument/2006/relationships/hyperlink" Id="rId159"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41" Target="https://doi.org/10.1101/2023.07.13.548816" TargetMode="External" /><Relationship Type="http://schemas.openxmlformats.org/officeDocument/2006/relationships/hyperlink" Id="rId137"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18" Target="https://doi.org/10.1111/1365-2435.13954" TargetMode="External" /><Relationship Type="http://schemas.openxmlformats.org/officeDocument/2006/relationships/hyperlink" Id="rId162" Target="https://doi.org/10.1111/1365-2656.13652" TargetMode="External" /><Relationship Type="http://schemas.openxmlformats.org/officeDocument/2006/relationships/hyperlink" Id="rId128" Target="https://doi.org/10.1111/2041-210X.12180" TargetMode="External" /><Relationship Type="http://schemas.openxmlformats.org/officeDocument/2006/relationships/hyperlink" Id="rId135"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5"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2"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2"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9" Target="https://doi.org/10.1111/oik.01719" TargetMode="External" /><Relationship Type="http://schemas.openxmlformats.org/officeDocument/2006/relationships/hyperlink" Id="rId143" Target="https://doi.org/10.1126/science.1156269" TargetMode="External" /><Relationship Type="http://schemas.openxmlformats.org/officeDocument/2006/relationships/hyperlink" Id="rId149"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3" Target="https://doi.org/10.13140/RG.2.2.22076.65927" TargetMode="External" /><Relationship Type="http://schemas.openxmlformats.org/officeDocument/2006/relationships/hyperlink" Id="rId124"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2024-06-20T10:07:16Z</dcterms:created>
  <dcterms:modified xsi:type="dcterms:W3CDTF">2024-06-20T10:07:16Z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