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2024-05-13</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
          <w:bCs/>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highlight and review these different model families as a whole (not only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[15]</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w:t>
      </w:r>
      <w:r>
        <w:t xml:space="preserve"> </w:t>
      </w:r>
      <w:hyperlink w:anchor="sec-network-anatomy">
        <w:r>
          <w:rPr>
            <w:rStyle w:val="Hyperlink"/>
          </w:rPr>
          <w:t xml:space="preserve">Section 1</w:t>
        </w:r>
      </w:hyperlink>
      <w:r>
        <w:t xml:space="preserve">, a clear understanding of why one wants to predict a food web</w:t>
      </w:r>
      <w:r>
        <w:t xml:space="preserve">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w:t>
      </w:r>
      <w:r>
        <w:t xml:space="preserve"> </w:t>
      </w:r>
      <w:hyperlink w:anchor="sec-network-build">
        <w:r>
          <w:rPr>
            <w:rStyle w:val="Hyperlink"/>
          </w:rPr>
          <w:t xml:space="preserve">Section 3</w:t>
        </w:r>
      </w:hyperlink>
      <w:r>
        <w:t xml:space="preserve">. This body of work sets out to highlight and discuss these three specific points.</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
                <w:bCs/>
              </w:rPr>
              <w:t xml:space="preserve">A</w:t>
            </w:r>
            <w:r>
              <w:t xml:space="preserve"> </w:t>
            </w:r>
            <w:r>
              <w:t xml:space="preserve">shows the many ways in which a food web can be defined and described at the node, edge, and even network level. Panel</w:t>
            </w:r>
            <w:r>
              <w:t xml:space="preserve"> </w:t>
            </w:r>
            <w:r>
              <w:rPr>
                <w:b/>
                <w:bCs/>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
                <w:iCs/>
              </w:rPr>
              <w:t xml:space="preserve">i.e.,</w:t>
            </w:r>
            <w:r>
              <w:t xml:space="preserve"> </w:t>
            </w:r>
            <w:r>
              <w:t xml:space="preserve">its anatomy. (</w:t>
            </w:r>
            <w:r>
              <w:rPr>
                <w:i/>
                <w:iCs/>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[16]</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[17]</w:t>
      </w:r>
      <w:r>
        <w:t xml:space="preserve"> </w:t>
      </w:r>
      <w:r>
        <w:t xml:space="preserve">or potential</w:t>
      </w:r>
      <w:r>
        <w:t xml:space="preserve"> </w:t>
      </w:r>
      <w:r>
        <w:t xml:space="preserve">[18]</w:t>
      </w:r>
      <w:r>
        <w:t xml:space="preserve"> </w:t>
      </w:r>
      <w:r>
        <w:t xml:space="preserve">feeding links, or energy transfer and material flow</w:t>
      </w:r>
      <w:r>
        <w:t xml:space="preserve"> </w:t>
      </w:r>
      <w:r>
        <w:t xml:space="preserve">[19]</w:t>
      </w:r>
      <w:r>
        <w:t xml:space="preserve">. How we quantify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20]</w:t>
      </w:r>
      <w:r>
        <w:t xml:space="preserve"> </w:t>
      </w:r>
      <w:r>
        <w:t xml:space="preserve">or continuous measurements</w:t>
      </w:r>
      <w:r>
        <w:t xml:space="preserve"> </w:t>
      </w:r>
      <w:r>
        <w:t xml:space="preserve">[which quantifies the effect of one species on another, 21]</w:t>
      </w:r>
      <w:r>
        <w:t xml:space="preserve">. Although there is a clear argument for moving away from a purely binary way of representing interactions (Banville, in prep) this of course also means that there is an additional layer to the interpretation these links.</w:t>
      </w:r>
    </w:p>
    <w:bookmarkEnd w:id="25"/>
    <w:bookmarkStart w:id="29" w:name="Xd2b304d41a6d0e9195260e2c4114d0b234683e7"/>
    <w:p>
      <w:pPr>
        <w:pStyle w:val="Heading3"/>
      </w:pPr>
      <w:r>
        <w:t xml:space="preserve">1.3 Putting the parts together; what does it mean?</w:t>
      </w:r>
    </w:p>
    <w:p>
      <w:pPr>
        <w:pStyle w:val="FirstParagraph"/>
      </w:pPr>
      <w:r>
        <w:t xml:space="preserve">The reality is that feeding interactions between species are the result of the combination of many potential mechanisms (see Box 1 - Mechanisms that determine feeding links) and the way one chooses to represent a food web is a way of capturing one (or a few) of these mechanisms. It is thus beneficial to keep in mind that simply the process of</w:t>
      </w:r>
      <w:r>
        <w:t xml:space="preserve"> </w:t>
      </w:r>
      <w:r>
        <w:t xml:space="preserve">‘</w:t>
      </w:r>
      <w:r>
        <w:t xml:space="preserve">codifying</w:t>
      </w:r>
      <w:r>
        <w:t xml:space="preserve">’</w:t>
      </w:r>
      <w:r>
        <w:t xml:space="preserve"> </w:t>
      </w:r>
      <w:r>
        <w:t xml:space="preserve">a network one is in sense already embedding some sort of hypothesis as to the nature of the feeding links between species</w:t>
      </w:r>
      <w:r>
        <w:t xml:space="preserve"> </w:t>
      </w:r>
      <w:r>
        <w:t xml:space="preserve">[22,23]</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rPr>
                <w:b/>
                <w:bCs/>
              </w:rPr>
              <w:t xml:space="preserve">Proximity</w:t>
            </w:r>
          </w:p>
          <w:p>
            <w:pPr>
              <w:pStyle w:val="BodyText"/>
            </w:pPr>
            <w:r>
              <w:t xml:space="preserve">We are co-occurring in space and in time and thus we can interact</w:t>
            </w:r>
          </w:p>
          <w:p>
            <w:pPr>
              <w:pStyle w:val="BodyText"/>
            </w:pPr>
            <w:r>
              <w:rPr>
                <w:b/>
                <w:bCs/>
              </w:rPr>
              <w:t xml:space="preserve">Mass-effect</w:t>
            </w:r>
          </w:p>
          <w:p>
            <w:pPr>
              <w:pStyle w:val="BodyText"/>
            </w:pPr>
            <w:r>
              <w:t xml:space="preserve">Our (respective and instantaneous) abundance in that time and space is going to influence how we interact.</w:t>
            </w:r>
            <w:r>
              <w:t xml:space="preserve"> </w:t>
            </w:r>
            <w:r>
              <w:rPr>
                <w:i/>
                <w:iCs/>
              </w:rPr>
              <w:t xml:space="preserve">Sensu</w:t>
            </w:r>
            <w:r>
              <w:t xml:space="preserve"> </w:t>
            </w:r>
            <w:r>
              <w:t xml:space="preserve">[24]</w:t>
            </w:r>
            <w:r>
              <w:t xml:space="preserve"> </w:t>
            </w:r>
            <w:r>
              <w:t xml:space="preserve">Neutral Theory</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
                <w:iCs/>
              </w:rPr>
              <w:t xml:space="preserve">sensu</w:t>
            </w:r>
            <w:r>
              <w:t xml:space="preserve"> </w:t>
            </w:r>
            <w:r>
              <w:t xml:space="preserve">forbidden links 5]</w:t>
            </w:r>
          </w:p>
          <w:p>
            <w:pPr>
              <w:pStyle w:val="Compact"/>
              <w:numPr>
                <w:ilvl w:val="0"/>
                <w:numId w:val="1001"/>
              </w:numPr>
            </w:pPr>
            <w:r>
              <w:t xml:space="preserve">As predator and prey we have been co-occurring for a long time and I have found ways to eat you (trying to capture the idea of evolutionary time)</w:t>
            </w:r>
          </w:p>
          <w:p>
            <w:pPr>
              <w:pStyle w:val="FirstParagraph"/>
            </w:pPr>
            <w:r>
              <w:rPr>
                <w:b/>
                <w:bCs/>
              </w:rPr>
              <w:t xml:space="preserve">‘</w:t>
            </w:r>
            <w:r>
              <w:rPr>
                <w:b/>
                <w:bCs/>
              </w:rPr>
              <w:t xml:space="preserve">Structural</w:t>
            </w:r>
            <w:r>
              <w:rPr>
                <w:b/>
                <w:bCs/>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
                <w:bCs/>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namely an interest in generating a set of ecologically plausible networks (</w:t>
      </w:r>
      <w:r>
        <w:rPr>
          <w:i/>
          <w:iCs/>
        </w:rPr>
        <w:t xml:space="preserve">i.e.,</w:t>
      </w:r>
      <w:r>
        <w:t xml:space="preserve"> </w:t>
      </w:r>
      <w:r>
        <w:t xml:space="preserve">being able to describe networks using a model) or being able to construct a network that has location specific,</w:t>
      </w:r>
      <w:r>
        <w:t xml:space="preserve"> </w:t>
      </w:r>
      <w:r>
        <w:t xml:space="preserve">‘</w:t>
      </w:r>
      <w:r>
        <w:t xml:space="preserve">realised</w:t>
      </w:r>
      <w:r>
        <w:t xml:space="preserve">’</w:t>
      </w:r>
      <w:r>
        <w:t xml:space="preserve"> </w:t>
      </w:r>
      <w:r>
        <w:t xml:space="preserve">interactions for a specific species community (</w:t>
      </w:r>
      <w:r>
        <w:rPr>
          <w:i/>
          <w:iCs/>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
          <w:iCs/>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[25,26]</w:t>
      </w:r>
      <w:r>
        <w:t xml:space="preserve">, using pairwise interactions to understand species distributions</w:t>
      </w:r>
      <w:r>
        <w:t xml:space="preserve"> </w:t>
      </w:r>
      <w:r>
        <w:t xml:space="preserve">[27]</w:t>
      </w:r>
      <w:r>
        <w:t xml:space="preserve"> </w:t>
      </w:r>
      <w:r>
        <w:t xml:space="preserve">or even co-extinction risk</w:t>
      </w:r>
      <w:r>
        <w:t xml:space="preserve"> </w:t>
      </w:r>
      <w:r>
        <w:t xml:space="preserve">[28]</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6"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one is interested in predicting, and what data are available. As shown in panel B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(a</w:t>
      </w:r>
      <w:r>
        <w:t xml:space="preserve"> </w:t>
      </w:r>
      <w:r>
        <w:rPr>
          <w:b/>
          <w:bCs/>
        </w:rPr>
        <w:t xml:space="preserve">topology generator</w:t>
      </w:r>
      <w:r>
        <w:t xml:space="preserve">) or the interactions for a given species pool (an</w:t>
      </w:r>
      <w:r>
        <w:t xml:space="preserve"> </w:t>
      </w:r>
      <w:r>
        <w:rPr>
          <w:b/>
          <w:bCs/>
        </w:rPr>
        <w:t xml:space="preserve">interaction predictor</w:t>
      </w:r>
      <w:r>
        <w:t xml:space="preserve">). Although it is possible to construct a food web given a set of interactions interaction predictors themselves lack any sort of parametrisation of the network structure and so the resulting network is a poor reflection of the actual network structure</w:t>
      </w:r>
      <w:r>
        <w:t xml:space="preserve"> </w:t>
      </w:r>
      <w:r>
        <w:t xml:space="preserve">[29]</w:t>
      </w:r>
      <w:r>
        <w:t xml:space="preserve">. These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[30]</w:t>
      </w:r>
      <w:r>
        <w:t xml:space="preserve"> </w:t>
      </w:r>
      <w:r>
        <w:t xml:space="preserve">or cascade</w:t>
      </w:r>
      <w:r>
        <w:t xml:space="preserve"> </w:t>
      </w:r>
      <w:r>
        <w:t xml:space="preserve">[31]</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[32]</w:t>
      </w:r>
      <w:r>
        <w:t xml:space="preserve"> </w:t>
      </w:r>
      <w:r>
        <w:t xml:space="preserve">or trait hierarchy</w:t>
      </w:r>
      <w:r>
        <w:t xml:space="preserve"> </w:t>
      </w:r>
      <w:r>
        <w:t xml:space="preserve">[33]</w:t>
      </w:r>
      <w:r>
        <w:t xml:space="preserve"> </w:t>
      </w:r>
      <w:r>
        <w:t xml:space="preserve">models have been developed on the basis that the traits of a species are the underlying mechanism in determining the feasibility of interactions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34]</w:t>
      </w:r>
      <w:r>
        <w:t xml:space="preserve">.</w:t>
      </w:r>
    </w:p>
    <w:bookmarkStart w:id="45"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[35]</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[36]</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[37]</w:t>
            </w:r>
            <w:r>
              <w:t xml:space="preserve">.</w:t>
            </w:r>
          </w:p>
          <w:tbl>
            <w:tblPr>
              <w:tblStyle w:val="Table"/>
              <w:tblW w:type="pct" w:w="5000"/>
              <w:tblLayout w:type="fixed"/>
              <w:tblLook w:firstRow="0" w:lastRow="0" w:firstColumn="0" w:lastColumn="0" w:noHBand="0" w:noVBand="0" w:val="0000"/>
            </w:tblPr>
            <w:tblGrid>
              <w:gridCol w:w="7920"/>
            </w:tblGrid>
            <w:tr>
              <w:tc>
                <w:tcPr/>
                <w:bookmarkStart w:id="44" w:name="fig-topology"/>
                <w:p>
                  <w:pPr>
                    <w:pStyle w:val="Compact"/>
                    <w:jc w:val="center"/>
                  </w:pPr>
                  <w:r>
                    <w:drawing>
                      <wp:inline>
                        <wp:extent cx="5334000" cy="3809273"/>
                        <wp:effectExtent b="0" l="0" r="0" t="0"/>
                        <wp:docPr descr="" title="" id="42" name="Picture"/>
                        <a:graphic>
                          <a:graphicData uri="http://schemas.openxmlformats.org/drawingml/2006/picture">
                            <pic:pic>
                              <pic:nvPicPr>
                                <pic:cNvPr descr="images/topology.png" id="43" name="Picture"/>
                                <pic:cNvPicPr>
                                  <a:picLocks noChangeArrowheads="1" noChangeAspect="1"/>
                                </pic:cNvPicPr>
                              </pic:nvPicPr>
                              <pic:blipFill>
                                <a:blip r:embed="rId41"/>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[38]</w:t>
                  </w:r>
                  <w:r>
                    <w:t xml:space="preserve"> </w:t>
                  </w:r>
                  <w:r>
                    <w:t xml:space="preserve">which are S1: Number of linear chains, S2: Number of omnivory motifs, S4: Number of apparent competition motifs, and S5: Number of direct competition motifs</w:t>
                  </w:r>
                </w:p>
                <w:bookmarkEnd w:id="44"/>
              </w:tc>
            </w:tr>
          </w:tbl>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
                <w:bCs/>
              </w:rPr>
              <w:t xml:space="preserve">metaweb</w:t>
            </w:r>
            <w:r>
              <w:t xml:space="preserve"> </w:t>
            </w:r>
            <w:r>
              <w:t xml:space="preserve">(</w:t>
            </w:r>
            <w:r>
              <w:rPr>
                <w:i/>
                <w:iCs/>
              </w:rPr>
              <w:t xml:space="preserve">sensu</w:t>
            </w:r>
            <w:r>
              <w:t xml:space="preserve"> </w:t>
            </w:r>
            <w:r>
              <w:t xml:space="preserve">[18]</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[34]</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5"/>
    <w:bookmarkEnd w:id="46"/>
    <w:bookmarkStart w:id="49" w:name="concluding-remarks"/>
    <w:p>
      <w:pPr>
        <w:pStyle w:val="Heading2"/>
      </w:pPr>
      <w:r>
        <w:t xml:space="preserve">4 Concluding remarks</w:t>
      </w:r>
    </w:p>
    <w:p>
      <w:pPr>
        <w:numPr>
          <w:ilvl w:val="0"/>
          <w:numId w:val="1002"/>
        </w:numPr>
      </w:pPr>
      <w:r>
        <w:t xml:space="preserve">As we can see in</w:t>
      </w:r>
      <w:r>
        <w:t xml:space="preserve"> </w:t>
      </w:r>
      <w:hyperlink w:anchor="fig-topology">
        <w:r>
          <w:rPr>
            <w:rStyle w:val="Hyperlink"/>
          </w:rPr>
          <w:t xml:space="preserve">Figure 3</w:t>
        </w:r>
      </w:hyperlink>
      <w:r>
        <w:t xml:space="preserve"> </w:t>
      </w:r>
      <w:r>
        <w:t xml:space="preserve">different models clearly do well in different things… For ,ore detailed methods refer to</w:t>
      </w:r>
      <w:r>
        <w:t xml:space="preserve"> </w:t>
      </w:r>
      <w:hyperlink r:id="rId47">
        <w:r>
          <w:rPr>
            <w:rStyle w:val="Hyperlink"/>
          </w:rPr>
          <w:t xml:space="preserve">SuppMat 3</w:t>
        </w:r>
      </w:hyperlink>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[17,39]</w:t>
      </w:r>
      <w:r>
        <w:t xml:space="preserv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pStyle w:val="Compact"/>
        <w:numPr>
          <w:ilvl w:val="1"/>
          <w:numId w:val="1003"/>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[11]</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[39]</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(thanks Andrew). I feel like I need to look at</w:t>
      </w:r>
      <w:r>
        <w:t xml:space="preserve"> </w:t>
      </w:r>
      <w:r>
        <w:t xml:space="preserve">[40]</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5"/>
        </w:numPr>
      </w:pPr>
      <w:r>
        <w:t xml:space="preserve">I think this is sort of the crux of the argument presented in</w:t>
      </w:r>
      <w:r>
        <w:t xml:space="preserve"> </w:t>
      </w:r>
      <w:r>
        <w:t xml:space="preserve">[41]</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[37]</w:t>
      </w:r>
    </w:p>
    <w:p>
      <w:pPr>
        <w:numPr>
          <w:ilvl w:val="0"/>
          <w:numId w:val="1006"/>
        </w:numPr>
      </w:pPr>
      <w:r>
        <w:rPr>
          <w:i/>
          <w:iCs/>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7"/>
        </w:numPr>
      </w:pPr>
      <w:r>
        <w:t xml:space="preserve">Aligning (dove-tailing) with this the idea of ensemble modelling as presented by</w:t>
      </w:r>
      <w:r>
        <w:t xml:space="preserve"> </w:t>
      </w:r>
      <w:r>
        <w:t xml:space="preserve">[42]</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numPr>
          <w:ilvl w:val="0"/>
          <w:numId w:val="1008"/>
        </w:numPr>
      </w:pPr>
      <w:r>
        <w:t xml:space="preserve">[43]</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[44]</w:t>
      </w:r>
      <w:r>
        <w:t xml:space="preserve"> </w:t>
      </w:r>
      <w:r>
        <w:t xml:space="preserve">and that we should also start thinking about the interplay of time and space</w:t>
      </w:r>
      <w:r>
        <w:t xml:space="preserve"> </w:t>
      </w:r>
      <w:r>
        <w:t xml:space="preserve">[45]</w:t>
      </w:r>
      <w:r>
        <w:t xml:space="preserve">. Although deciding exactly what measure might actually be driving differences between local networks and the regional metaweb might not be that simple</w:t>
      </w:r>
      <w:r>
        <w:t xml:space="preserve"> </w:t>
      </w:r>
      <w:r>
        <w:t xml:space="preserve">[46]</w:t>
      </w:r>
      <w:r>
        <w:t xml:space="preserve">.</w:t>
      </w:r>
      <w:r>
        <w:t xml:space="preserve">”</w:t>
      </w:r>
    </w:p>
    <w:bookmarkEnd w:id="48"/>
    <w:bookmarkEnd w:id="49"/>
    <w:bookmarkStart w:id="50"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51"/>
    <w:bookmarkStart w:id="140" w:name="references"/>
    <w:p>
      <w:pPr>
        <w:pStyle w:val="Heading2"/>
      </w:pPr>
      <w:r>
        <w:t xml:space="preserve">References</w:t>
      </w:r>
    </w:p>
    <w:bookmarkStart w:id="139"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
          <w:iCs/>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80"/>
    <w:bookmarkStart w:id="82" w:name="ref-poisotDescribeUnderstandPredict2016"/>
    <w:p>
      <w:pPr>
        <w:pStyle w:val="Bibliography"/>
      </w:pPr>
      <w:r>
        <w:t xml:space="preserve">16.</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1">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82"/>
    <w:bookmarkStart w:id="84" w:name="ref-pringleUntanglingFoodWebs2020"/>
    <w:p>
      <w:pPr>
        <w:pStyle w:val="Bibliography"/>
      </w:pPr>
      <w:r>
        <w:t xml:space="preserve">17.</w:t>
      </w:r>
      <w:r>
        <w:t xml:space="preserve"> </w:t>
      </w:r>
      <w:r>
        <w:t xml:space="preserve">	</w:t>
      </w:r>
      <w:r>
        <w:t xml:space="preserve">Pringle, R.M. (2020)</w:t>
      </w:r>
      <w:r>
        <w:t xml:space="preserve"> </w:t>
      </w:r>
      <w:hyperlink r:id="rId83">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Unsolved</w:t>
      </w:r>
      <w:r>
        <w:rPr>
          <w:i/>
          <w:iCs/>
        </w:rPr>
        <w:t xml:space="preserve"> </w:t>
      </w:r>
      <w:r>
        <w:rPr>
          <w:i/>
          <w:iCs/>
        </w:rPr>
        <w:t xml:space="preserve">Problems</w:t>
      </w:r>
      <w:r>
        <w:rPr>
          <w:i/>
          <w:iCs/>
        </w:rPr>
        <w:t xml:space="preserve"> </w:t>
      </w:r>
      <w:r>
        <w:rPr>
          <w:i/>
          <w:iCs/>
        </w:rPr>
        <w:t xml:space="preserve">in</w:t>
      </w:r>
      <w:r>
        <w:rPr>
          <w:i/>
          <w:iCs/>
        </w:rPr>
        <w:t xml:space="preserve"> </w:t>
      </w:r>
      <w:r>
        <w:rPr>
          <w:i/>
          <w:iCs/>
        </w:rPr>
        <w:t xml:space="preserve">Ecology</w:t>
      </w:r>
      <w:r>
        <w:t xml:space="preserve">, pp. 225–238, Princeton University Press</w:t>
      </w:r>
    </w:p>
    <w:bookmarkEnd w:id="84"/>
    <w:bookmarkStart w:id="85" w:name="ref-dunneNetworkStructureFood2006"/>
    <w:p>
      <w:pPr>
        <w:pStyle w:val="Bibliography"/>
      </w:pPr>
      <w:r>
        <w:t xml:space="preserve">18.</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5"/>
    <w:bookmarkStart w:id="87" w:name="Xe227781537312aad81566d289906b7942bbcf13"/>
    <w:p>
      <w:pPr>
        <w:pStyle w:val="Bibliography"/>
      </w:pPr>
      <w:r>
        <w:t xml:space="preserve">19.</w:t>
      </w:r>
      <w:r>
        <w:t xml:space="preserve"> </w:t>
      </w:r>
      <w:r>
        <w:t xml:space="preserve">	</w:t>
      </w:r>
      <w:r>
        <w:t xml:space="preserve">Lindeman, R.L. (1942)</w:t>
      </w:r>
      <w:r>
        <w:t xml:space="preserve"> </w:t>
      </w:r>
      <w:hyperlink r:id="rId86">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7"/>
    <w:bookmarkStart w:id="89" w:name="Xaad5d089781464e09d30bec824bd68c468804d7"/>
    <w:p>
      <w:pPr>
        <w:pStyle w:val="Bibliography"/>
      </w:pPr>
      <w:r>
        <w:t xml:space="preserve">20.</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8">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89"/>
    <w:bookmarkStart w:id="91" w:name="ref-berlowInteractionStrengthsFood2004"/>
    <w:p>
      <w:pPr>
        <w:pStyle w:val="Bibliography"/>
      </w:pPr>
      <w:r>
        <w:t xml:space="preserve">21.</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0">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1"/>
    <w:bookmarkStart w:id="93" w:name="ref-proulxNetworkThinkingEcology2005"/>
    <w:p>
      <w:pPr>
        <w:pStyle w:val="Bibliography"/>
      </w:pPr>
      <w:r>
        <w:t xml:space="preserve">22.</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92">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93"/>
    <w:bookmarkStart w:id="95" w:name="X539896ce86e228708f5963ceeaf0e82711f0c07"/>
    <w:p>
      <w:pPr>
        <w:pStyle w:val="Bibliography"/>
      </w:pPr>
      <w:r>
        <w:t xml:space="preserve">23.</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94">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95"/>
    <w:bookmarkStart w:id="97" w:name="ref-hubbellUnifiedNeutralTheory2001"/>
    <w:p>
      <w:pPr>
        <w:pStyle w:val="Bibliography"/>
      </w:pPr>
      <w:r>
        <w:t xml:space="preserve">24.</w:t>
      </w:r>
      <w:r>
        <w:t xml:space="preserve"> </w:t>
      </w:r>
      <w:r>
        <w:t xml:space="preserve">	</w:t>
      </w:r>
      <w:r>
        <w:t xml:space="preserve">Hubbell, S.P. (2001)</w:t>
      </w:r>
      <w:r>
        <w:t xml:space="preserve"> </w:t>
      </w:r>
      <w:hyperlink r:id="rId96">
        <w:r>
          <w:rPr>
            <w:rStyle w:val="Hyperlink"/>
            <w:i/>
            <w:iCs/>
          </w:rPr>
          <w:t xml:space="preserve">The</w:t>
        </w:r>
        <w:r>
          <w:rPr>
            <w:rStyle w:val="Hyperlink"/>
            <w:i/>
            <w:iCs/>
          </w:rPr>
          <w:t xml:space="preserve"> </w:t>
        </w:r>
        <w:r>
          <w:rPr>
            <w:rStyle w:val="Hyperlink"/>
            <w:i/>
            <w:iCs/>
          </w:rPr>
          <w:t xml:space="preserve">Unified Neutral Theory</w:t>
        </w:r>
        <w:r>
          <w:rPr>
            <w:rStyle w:val="Hyperlink"/>
            <w:i/>
            <w:iCs/>
          </w:rPr>
          <w:t xml:space="preserve"> </w:t>
        </w:r>
        <w:r>
          <w:rPr>
            <w:rStyle w:val="Hyperlink"/>
            <w:i/>
            <w:iCs/>
          </w:rPr>
          <w:t xml:space="preserve">of</w:t>
        </w:r>
        <w:r>
          <w:rPr>
            <w:rStyle w:val="Hyperlink"/>
            <w:i/>
            <w:iCs/>
          </w:rPr>
          <w:t xml:space="preserve"> </w:t>
        </w:r>
        <w:r>
          <w:rPr>
            <w:rStyle w:val="Hyperlink"/>
            <w:i/>
            <w:iCs/>
          </w:rPr>
          <w:t xml:space="preserve">Biodiversity</w:t>
        </w:r>
        <w:r>
          <w:rPr>
            <w:rStyle w:val="Hyperlink"/>
            <w:i/>
            <w:iCs/>
          </w:rPr>
          <w:t xml:space="preserve"> </w:t>
        </w:r>
        <w:r>
          <w:rPr>
            <w:rStyle w:val="Hyperlink"/>
            <w:i/>
            <w:iCs/>
          </w:rPr>
          <w:t xml:space="preserve">and</w:t>
        </w:r>
        <w:r>
          <w:rPr>
            <w:rStyle w:val="Hyperlink"/>
            <w:i/>
            <w:iCs/>
          </w:rPr>
          <w:t xml:space="preserve"> </w:t>
        </w:r>
        <w:r>
          <w:rPr>
            <w:rStyle w:val="Hyperlink"/>
            <w:i/>
            <w:iCs/>
          </w:rPr>
          <w:t xml:space="preserve">Biogeography</w:t>
        </w:r>
        <w:r>
          <w:rPr>
            <w:rStyle w:val="Hyperlink"/>
            <w:i/>
            <w:iCs/>
          </w:rPr>
          <w:t xml:space="preserve"> </w:t>
        </w:r>
        <w:r>
          <w:rPr>
            <w:rStyle w:val="Hyperlink"/>
            <w:i/>
            <w:iCs/>
          </w:rPr>
          <w:t xml:space="preserve">(</w:t>
        </w:r>
        <w:r>
          <w:rPr>
            <w:rStyle w:val="Hyperlink"/>
            <w:i/>
            <w:iCs/>
          </w:rPr>
          <w:t xml:space="preserve">MPB-32</w:t>
        </w:r>
        <w:r>
          <w:rPr>
            <w:rStyle w:val="Hyperlink"/>
            <w:i/>
            <w:iCs/>
          </w:rPr>
          <w:t xml:space="preserve">)</w:t>
        </w:r>
      </w:hyperlink>
      <w:r>
        <w:t xml:space="preserve">, Princeton University Press</w:t>
      </w:r>
    </w:p>
    <w:bookmarkEnd w:id="97"/>
    <w:bookmarkStart w:id="99" w:name="ref-dunneCompilationNetworkAnalyses2008"/>
    <w:p>
      <w:pPr>
        <w:pStyle w:val="Bibliography"/>
      </w:pPr>
      <w:r>
        <w:t xml:space="preserve">25.</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98">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99"/>
    <w:bookmarkStart w:id="101" w:name="ref-yeakelCollapseEcologicalNetwork2014"/>
    <w:p>
      <w:pPr>
        <w:pStyle w:val="Bibliography"/>
      </w:pPr>
      <w:r>
        <w:t xml:space="preserve">26.</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100">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101"/>
    <w:bookmarkStart w:id="103" w:name="X8f3d1de04516835fd1376e2647a281b763af4fc"/>
    <w:p>
      <w:pPr>
        <w:pStyle w:val="Bibliography"/>
      </w:pPr>
      <w:r>
        <w:t xml:space="preserve">27.</w:t>
      </w:r>
      <w:r>
        <w:t xml:space="preserve"> </w:t>
      </w:r>
      <w:r>
        <w:t xml:space="preserve">	</w:t>
      </w:r>
      <w:r>
        <w:t xml:space="preserve">Pollock, L.J.</w:t>
      </w:r>
      <w:r>
        <w:t xml:space="preserve"> </w:t>
      </w:r>
      <w:r>
        <w:rPr>
          <w:i/>
          <w:iCs/>
        </w:rPr>
        <w:t xml:space="preserve">et al.</w:t>
      </w:r>
      <w:r>
        <w:t xml:space="preserve"> </w:t>
      </w:r>
      <w:r>
        <w:t xml:space="preserve">(2014)</w:t>
      </w:r>
      <w:r>
        <w:t xml:space="preserve"> </w:t>
      </w:r>
      <w:hyperlink r:id="rId102">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
          <w:iCs/>
        </w:rPr>
        <w:t xml:space="preserve">Methods in Ecology and Evolution</w:t>
      </w:r>
      <w:r>
        <w:t xml:space="preserve"> </w:t>
      </w:r>
      <w:r>
        <w:t xml:space="preserve">5, 397–406</w:t>
      </w:r>
    </w:p>
    <w:bookmarkEnd w:id="103"/>
    <w:bookmarkStart w:id="105" w:name="ref-dunnSixthMassCoextinction2009"/>
    <w:p>
      <w:pPr>
        <w:pStyle w:val="Bibliography"/>
      </w:pPr>
      <w:r>
        <w:t xml:space="preserve">28.</w:t>
      </w:r>
      <w:r>
        <w:t xml:space="preserve"> </w:t>
      </w:r>
      <w:r>
        <w:t xml:space="preserve">	</w:t>
      </w:r>
      <w:r>
        <w:t xml:space="preserve">Dunn, R.R.</w:t>
      </w:r>
      <w:r>
        <w:t xml:space="preserve"> </w:t>
      </w:r>
      <w:r>
        <w:rPr>
          <w:i/>
          <w:iCs/>
        </w:rPr>
        <w:t xml:space="preserve">et al.</w:t>
      </w:r>
      <w:r>
        <w:t xml:space="preserve"> </w:t>
      </w:r>
      <w:r>
        <w:t xml:space="preserve">(2009)</w:t>
      </w:r>
      <w:r>
        <w:t xml:space="preserve"> </w:t>
      </w:r>
      <w:hyperlink r:id="rId104">
        <w:r>
          <w:rPr>
            <w:rStyle w:val="Hyperlink"/>
          </w:rPr>
          <w:t xml:space="preserve">The sixth mass coextinction: Are most endangered species parasites and mutualists?</w:t>
        </w:r>
      </w:hyperlink>
      <w:r>
        <w:t xml:space="preserve"> </w:t>
      </w:r>
      <w:r>
        <w:rPr>
          <w:i/>
          <w:iCs/>
        </w:rPr>
        <w:t xml:space="preserve">Proceedings. Biological Sciences</w:t>
      </w:r>
      <w:r>
        <w:t xml:space="preserve"> </w:t>
      </w:r>
      <w:r>
        <w:t xml:space="preserve">276, 3037–3045</w:t>
      </w:r>
    </w:p>
    <w:bookmarkEnd w:id="105"/>
    <w:bookmarkStart w:id="107" w:name="ref-caronTraitmatchingModelsPredict2024"/>
    <w:p>
      <w:pPr>
        <w:pStyle w:val="Bibliography"/>
      </w:pPr>
      <w:r>
        <w:t xml:space="preserve">29.</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06">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07"/>
    <w:bookmarkStart w:id="109" w:name="ref-williamsSimpleRulesYield2000"/>
    <w:p>
      <w:pPr>
        <w:pStyle w:val="Bibliography"/>
      </w:pPr>
      <w:r>
        <w:t xml:space="preserve">30.</w:t>
      </w:r>
      <w:r>
        <w:t xml:space="preserve"> </w:t>
      </w:r>
      <w:r>
        <w:t xml:space="preserve">	</w:t>
      </w:r>
      <w:r>
        <w:t xml:space="preserve">Williams, R.J. and Martinez, N.D. (2000)</w:t>
      </w:r>
      <w:r>
        <w:t xml:space="preserve"> </w:t>
      </w:r>
      <w:hyperlink r:id="rId108">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109"/>
    <w:bookmarkStart w:id="110" w:name="ref-cohenCommunityFoodWebs1990"/>
    <w:p>
      <w:pPr>
        <w:pStyle w:val="Bibliography"/>
      </w:pPr>
      <w:r>
        <w:t xml:space="preserve">31.</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10"/>
    <w:bookmarkStart w:id="112" w:name="Xb1d8b6b275822be1886d160023287af73cce966"/>
    <w:p>
      <w:pPr>
        <w:pStyle w:val="Bibliography"/>
      </w:pPr>
      <w:r>
        <w:t xml:space="preserve">32.</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11">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112"/>
    <w:bookmarkStart w:id="114" w:name="X0fb50f1746fa9d2b24f89ed5bfe6ae1a2f58cc2"/>
    <w:p>
      <w:pPr>
        <w:pStyle w:val="Bibliography"/>
      </w:pPr>
      <w:r>
        <w:t xml:space="preserve">33.</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13">
        <w:r>
          <w:rPr>
            <w:rStyle w:val="Hyperlink"/>
          </w:rPr>
          <w:t xml:space="preserve">A framework for reconstructing ancient food webs using functional trait data</w:t>
        </w:r>
      </w:hyperlink>
      <w:r>
        <w:t xml:space="preserve">bioRxiv, 2024.01.30.578036</w:t>
      </w:r>
    </w:p>
    <w:bookmarkEnd w:id="114"/>
    <w:bookmarkStart w:id="116" w:name="ref-poisotSpeciesWhyEcological2015"/>
    <w:p>
      <w:pPr>
        <w:pStyle w:val="Bibliography"/>
      </w:pPr>
      <w:r>
        <w:t xml:space="preserve">34.</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15">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16"/>
    <w:bookmarkStart w:id="118" w:name="ref-strydomGraphEmbeddingTransfer2023"/>
    <w:p>
      <w:pPr>
        <w:pStyle w:val="Bibliography"/>
      </w:pPr>
      <w:r>
        <w:t xml:space="preserve">35.</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17">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18"/>
    <w:bookmarkStart w:id="120" w:name="ref-allesinaGeneralModelFood2008"/>
    <w:p>
      <w:pPr>
        <w:pStyle w:val="Bibliography"/>
      </w:pPr>
      <w:r>
        <w:t xml:space="preserve">36.</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19">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20"/>
    <w:bookmarkStart w:id="122" w:name="X023758d2a089016cd8f0c9d2421079cf7d062ff"/>
    <w:p>
      <w:pPr>
        <w:pStyle w:val="Bibliography"/>
      </w:pPr>
      <w:r>
        <w:t xml:space="preserve">37.</w:t>
      </w:r>
      <w:r>
        <w:t xml:space="preserve"> </w:t>
      </w:r>
      <w:r>
        <w:t xml:space="preserve">	</w:t>
      </w:r>
      <w:r>
        <w:t xml:space="preserve">Poisot, T. (2023)</w:t>
      </w:r>
      <w:r>
        <w:t xml:space="preserve"> </w:t>
      </w:r>
      <w:hyperlink r:id="rId121">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22"/>
    <w:bookmarkStart w:id="124" w:name="ref-stoufferEvidenceExistenceRobust2007"/>
    <w:p>
      <w:pPr>
        <w:pStyle w:val="Bibliography"/>
      </w:pPr>
      <w:r>
        <w:t xml:space="preserve">38.</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23">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24"/>
    <w:bookmarkStart w:id="126" w:name="ref-pringleResolvingFoodWebStructure2020"/>
    <w:p>
      <w:pPr>
        <w:pStyle w:val="Bibliography"/>
      </w:pPr>
      <w:r>
        <w:t xml:space="preserve">39.</w:t>
      </w:r>
      <w:r>
        <w:t xml:space="preserve"> </w:t>
      </w:r>
      <w:r>
        <w:t xml:space="preserve">	</w:t>
      </w:r>
      <w:r>
        <w:t xml:space="preserve">Pringle, R.M. and Hutchinson, M.C. (2020)</w:t>
      </w:r>
      <w:r>
        <w:t xml:space="preserve"> </w:t>
      </w:r>
      <w:hyperlink r:id="rId125">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26"/>
    <w:bookmarkStart w:id="128" w:name="ref-berlowGoldilocksFactorFood2008"/>
    <w:p>
      <w:pPr>
        <w:pStyle w:val="Bibliography"/>
      </w:pPr>
      <w:r>
        <w:t xml:space="preserve">40.</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27">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28"/>
    <w:bookmarkStart w:id="130" w:name="ref-brimacombeApplyingMethodIts2024"/>
    <w:p>
      <w:pPr>
        <w:pStyle w:val="Bibliography"/>
      </w:pPr>
      <w:r>
        <w:t xml:space="preserve">41.</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29">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0"/>
    <w:bookmarkStart w:id="132" w:name="ref-beckerOptimisingPredictiveModels2022"/>
    <w:p>
      <w:pPr>
        <w:pStyle w:val="Bibliography"/>
      </w:pPr>
      <w:r>
        <w:t xml:space="preserve">42.</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31">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32"/>
    <w:bookmarkStart w:id="133" w:name="X1edd2253d2e7e8e6db9e7574240f432ddda2ce1"/>
    <w:p>
      <w:pPr>
        <w:pStyle w:val="Bibliography"/>
      </w:pPr>
      <w:r>
        <w:t xml:space="preserve">43.</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33"/>
    <w:bookmarkStart w:id="135" w:name="ref-fortinNetworkEcologyDynamic2021"/>
    <w:p>
      <w:pPr>
        <w:pStyle w:val="Bibliography"/>
      </w:pPr>
      <w:r>
        <w:t xml:space="preserve">44.</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34">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35"/>
    <w:bookmarkStart w:id="136" w:name="ref-estayEditorialPatternsProcesses2023"/>
    <w:p>
      <w:pPr>
        <w:pStyle w:val="Bibliography"/>
      </w:pPr>
      <w:r>
        <w:t xml:space="preserve">45.</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36"/>
    <w:bookmarkStart w:id="138" w:name="ref-saraviaEcologicalNetworkAssembly2022"/>
    <w:p>
      <w:pPr>
        <w:pStyle w:val="Bibliography"/>
      </w:pPr>
      <w:r>
        <w:t xml:space="preserve">46.</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37">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38"/>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7" Target="https://beckslab.github.io/ms_t_is_for_topology/notebooks/model_quantitative-preview.html" TargetMode="External" /><Relationship Type="http://schemas.openxmlformats.org/officeDocument/2006/relationships/hyperlink" Id="rId88" Target="https://doi.org/10" TargetMode="External" /><Relationship Type="http://schemas.openxmlformats.org/officeDocument/2006/relationships/hyperlink" Id="rId131"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2"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08" Target="https://doi.org/10.1038/35004572"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27" Target="https://doi.org/10.1073/pnas.0800967105" TargetMode="External" /><Relationship Type="http://schemas.openxmlformats.org/officeDocument/2006/relationships/hyperlink" Id="rId100" Target="https://doi.org/10.1073/pnas.1408471111" TargetMode="External" /><Relationship Type="http://schemas.openxmlformats.org/officeDocument/2006/relationships/hyperlink" Id="rId123" Target="https://doi.org/10.1098/rspb.2007.0571" TargetMode="External" /><Relationship Type="http://schemas.openxmlformats.org/officeDocument/2006/relationships/hyperlink" Id="rId104" Target="https://doi.org/10.1098/rspb.2009.0413" TargetMode="External" /><Relationship Type="http://schemas.openxmlformats.org/officeDocument/2006/relationships/hyperlink" Id="rId134"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3"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37" Target="https://doi.org/10.1111/1365-2656.13652" TargetMode="External" /><Relationship Type="http://schemas.openxmlformats.org/officeDocument/2006/relationships/hyperlink" Id="rId102" Target="https://doi.org/10.1111/2041-210X.12180" TargetMode="External" /><Relationship Type="http://schemas.openxmlformats.org/officeDocument/2006/relationships/hyperlink" Id="rId111"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1" Target="https://doi.org/10.1111/2041-210X.14071" TargetMode="External" /><Relationship Type="http://schemas.openxmlformats.org/officeDocument/2006/relationships/hyperlink" Id="rId117"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06" Target="https://doi.org/10.1111/geb.13807" TargetMode="External" /><Relationship Type="http://schemas.openxmlformats.org/officeDocument/2006/relationships/hyperlink" Id="rId90"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5" Target="https://doi.org/10.1111/oik.01719" TargetMode="External" /><Relationship Type="http://schemas.openxmlformats.org/officeDocument/2006/relationships/hyperlink" Id="rId119" Target="https://doi.org/10.1126/science.1156269" TargetMode="External" /><Relationship Type="http://schemas.openxmlformats.org/officeDocument/2006/relationships/hyperlink" Id="rId125"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29" Target="https://doi.org/10.13140/RG.2.2.22076.65927" TargetMode="External" /><Relationship Type="http://schemas.openxmlformats.org/officeDocument/2006/relationships/hyperlink" Id="rId98"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81" Target="https://www.jstor.org/stable/48582345" TargetMode="External" /><Relationship Type="http://schemas.openxmlformats.org/officeDocument/2006/relationships/hyperlink" Id="rId96"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7" Target="https://beckslab.github.io/ms_t_is_for_topology/notebooks/model_quantitative-preview.html" TargetMode="External" /><Relationship Type="http://schemas.openxmlformats.org/officeDocument/2006/relationships/hyperlink" Id="rId88" Target="https://doi.org/10" TargetMode="External" /><Relationship Type="http://schemas.openxmlformats.org/officeDocument/2006/relationships/hyperlink" Id="rId131"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2"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108" Target="https://doi.org/10.1038/35004572"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27" Target="https://doi.org/10.1073/pnas.0800967105" TargetMode="External" /><Relationship Type="http://schemas.openxmlformats.org/officeDocument/2006/relationships/hyperlink" Id="rId100" Target="https://doi.org/10.1073/pnas.1408471111" TargetMode="External" /><Relationship Type="http://schemas.openxmlformats.org/officeDocument/2006/relationships/hyperlink" Id="rId123" Target="https://doi.org/10.1098/rspb.2007.0571" TargetMode="External" /><Relationship Type="http://schemas.openxmlformats.org/officeDocument/2006/relationships/hyperlink" Id="rId104" Target="https://doi.org/10.1098/rspb.2009.0413" TargetMode="External" /><Relationship Type="http://schemas.openxmlformats.org/officeDocument/2006/relationships/hyperlink" Id="rId134"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3"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37" Target="https://doi.org/10.1111/1365-2656.13652" TargetMode="External" /><Relationship Type="http://schemas.openxmlformats.org/officeDocument/2006/relationships/hyperlink" Id="rId102" Target="https://doi.org/10.1111/2041-210X.12180" TargetMode="External" /><Relationship Type="http://schemas.openxmlformats.org/officeDocument/2006/relationships/hyperlink" Id="rId111"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1" Target="https://doi.org/10.1111/2041-210X.14071" TargetMode="External" /><Relationship Type="http://schemas.openxmlformats.org/officeDocument/2006/relationships/hyperlink" Id="rId117"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06" Target="https://doi.org/10.1111/geb.13807" TargetMode="External" /><Relationship Type="http://schemas.openxmlformats.org/officeDocument/2006/relationships/hyperlink" Id="rId90"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15" Target="https://doi.org/10.1111/oik.01719" TargetMode="External" /><Relationship Type="http://schemas.openxmlformats.org/officeDocument/2006/relationships/hyperlink" Id="rId119" Target="https://doi.org/10.1126/science.1156269" TargetMode="External" /><Relationship Type="http://schemas.openxmlformats.org/officeDocument/2006/relationships/hyperlink" Id="rId125"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29" Target="https://doi.org/10.13140/RG.2.2.22076.65927" TargetMode="External" /><Relationship Type="http://schemas.openxmlformats.org/officeDocument/2006/relationships/hyperlink" Id="rId98"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83" Target="https://doi.org/10.1515/9780691195322-020" TargetMode="External" /><Relationship Type="http://schemas.openxmlformats.org/officeDocument/2006/relationships/hyperlink" Id="rId86" Target="https://doi.org/10.2307/1930126" TargetMode="External" /><Relationship Type="http://schemas.openxmlformats.org/officeDocument/2006/relationships/hyperlink" Id="rId81" Target="https://www.jstor.org/stable/48582345" TargetMode="External" /><Relationship Type="http://schemas.openxmlformats.org/officeDocument/2006/relationships/hyperlink" Id="rId96"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2024-05-13T15:39:58Z</dcterms:created>
  <dcterms:modified xsi:type="dcterms:W3CDTF">2024-05-13T15:39:58Z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2024-05-13</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