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4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2024-04-08</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bookmarkStart w:id="20" w:name="introduction"/>
    <w:p>
      <w:pPr>
        <w:pStyle w:val="Heading2"/>
      </w:pPr>
      <w:r>
        <w:t xml:space="preserve">1 Introduction</w:t>
      </w:r>
    </w:p>
    <w:p>
      <w:pPr>
        <w:numPr>
          <w:ilvl w:val="0"/>
          <w:numId w:val="1001"/>
        </w:numPr>
      </w:pPr>
      <w:r>
        <w:t xml:space="preserve">In order to construct a</w:t>
      </w:r>
      <w:r>
        <w:t xml:space="preserve"> </w:t>
      </w:r>
      <w:r>
        <w:t xml:space="preserve">‘</w:t>
      </w:r>
      <w:r>
        <w:t xml:space="preserve">perfect</w:t>
      </w:r>
      <w:r>
        <w:t xml:space="preserve">’</w:t>
      </w:r>
      <w:r>
        <w:t xml:space="preserve"> </w:t>
      </w:r>
      <w:r>
        <w:t xml:space="preserve">network</w:t>
      </w:r>
      <w:r>
        <w:t xml:space="preserve"> </w:t>
      </w:r>
      <w:r>
        <w:rPr>
          <w:i/>
          <w:iCs/>
        </w:rPr>
        <w:t xml:space="preserve">i.e.,</w:t>
      </w:r>
      <w:r>
        <w:t xml:space="preserve"> </w:t>
      </w:r>
      <w:r>
        <w:t xml:space="preserve">one which</w:t>
      </w:r>
      <w:r>
        <w:t xml:space="preserve"> </w:t>
      </w:r>
      <w:r>
        <w:rPr>
          <w:i/>
          <w:iCs/>
        </w:rPr>
        <w:t xml:space="preserve">perfectly</w:t>
      </w:r>
      <w:r>
        <w:t xml:space="preserve"> </w:t>
      </w:r>
      <w:r>
        <w:t xml:space="preserve">captures the dynamics for a specific community one needs to consider and account for many different moving parts (</w:t>
      </w:r>
      <w:r>
        <w:rPr>
          <w:i/>
          <w:iCs/>
        </w:rPr>
        <w:t xml:space="preserve">e.g.,</w:t>
      </w:r>
      <w:r>
        <w:t xml:space="preserve">). So when developing a model it makes sense that you prioritise the aspect of the prediction/construction task that has the most value for your research goal, acknowledging that a model might fall short in others. The thing is that with the growing suite of approaches to generating networks it is important that we don’t lose sight of the core philosophy behind the model we use and to ensure that we are using the model best suited to what we want to be accomplishing.</w:t>
      </w:r>
    </w:p>
    <w:p>
      <w:pPr>
        <w:numPr>
          <w:ilvl w:val="0"/>
          <w:numId w:val="1001"/>
        </w:numPr>
      </w:pPr>
      <w:r>
        <w:t xml:space="preserve">It is perhaps useful to start with asking why do we want/need models to generate networks. This can be broadly thought of to fall into two categories. Build networks because we want to build concepts vs build networks because we want specificity. Broadly this means that we either want to construct/predict a collection of interactions (generate networks) or a network of interactions (predict interactions).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 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w:t>
      </w:r>
      <w:r>
        <w:t xml:space="preserve"> </w:t>
      </w:r>
      <w:r>
        <w:t xml:space="preserve">(Morales-Castilla et al. 2015; Strydom et al. 2021)</w:t>
      </w:r>
      <w:r>
        <w:t xml:space="preserve">.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(local-level predictions between specific species).</w:t>
      </w:r>
    </w:p>
    <w:p>
      <w:pPr>
        <w:numPr>
          <w:ilvl w:val="0"/>
          <w:numId w:val="1002"/>
        </w:numPr>
      </w:pPr>
      <w:r>
        <w:t xml:space="preserve">Brief history of the development of tools within the context of the two different fields? Sort of where the theory/body of work was based and how that has changed?</w:t>
      </w:r>
    </w:p>
    <w:p>
      <w:pPr>
        <w:numPr>
          <w:ilvl w:val="1"/>
          <w:numId w:val="1003"/>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p>
      <w:pPr>
        <w:numPr>
          <w:ilvl w:val="1"/>
          <w:numId w:val="1003"/>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1"/>
          <w:numId w:val="1003"/>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numPr>
          <w:ilvl w:val="0"/>
          <w:numId w:val="1002"/>
        </w:numPr>
      </w:pPr>
      <w:r>
        <w:t xml:space="preserve">A breakdown of wanting to generate a network; statement of need and core philosophies</w:t>
      </w:r>
    </w:p>
    <w:p>
      <w:pPr>
        <w:numPr>
          <w:ilvl w:val="0"/>
          <w:numId w:val="1002"/>
        </w:numPr>
      </w:pPr>
      <w:r>
        <w:t xml:space="preserve">A breakdown of wanting to predict an interaction; statement of need</w:t>
      </w:r>
      <w:r>
        <w:t xml:space="preserve"> </w:t>
      </w:r>
      <w:r>
        <w:t xml:space="preserve">(Jordano 2016b, 2016a; Poisot et al. 2021)</w:t>
      </w:r>
      <w:r>
        <w:t xml:space="preserve"> </w:t>
      </w:r>
      <w:r>
        <w:t xml:space="preserve">and core philosophies (trait-matching, coexistence, evolutionary backbones)</w:t>
      </w:r>
    </w:p>
    <w:p>
      <w:pPr>
        <w:numPr>
          <w:ilvl w:val="0"/>
          <w:numId w:val="1002"/>
        </w:numPr>
      </w:pPr>
      <w:r>
        <w:t xml:space="preserve">Stands to reason then that we have developed methods that specialise in one or the other. Which comes at a cost of</w:t>
      </w:r>
      <w:r>
        <w:t xml:space="preserve"> </w:t>
      </w:r>
      <w:r>
        <w:t xml:space="preserve">‘</w:t>
      </w:r>
      <w:r>
        <w:t xml:space="preserve">performance</w:t>
      </w:r>
      <w:r>
        <w:t xml:space="preserve">’</w:t>
      </w:r>
      <w:r>
        <w:t xml:space="preserve"> </w:t>
      </w:r>
      <w:r>
        <w:t xml:space="preserve">in other aspects. Knowing how the different model families stack up to each other is thus valuable.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bookmarkEnd w:id="20"/>
    <w:bookmarkStart w:id="25" w:name="model-families"/>
    <w:p>
      <w:pPr>
        <w:pStyle w:val="Heading2"/>
      </w:pPr>
      <w:r>
        <w:t xml:space="preserve">2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w:t>
      </w:r>
    </w:p>
    <w:tbl>
      <w:tblPr>
        <w:tblStyle w:val="Table"/>
        <w:tblW w:type="pct" w:w="5000"/>
        <w:jc w:val="left"/>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This includes the cascade model</w:t>
      </w:r>
      <w:r>
        <w:t xml:space="preserve"> </w:t>
      </w:r>
      <w:r>
        <w:t xml:space="preserve">(Joel E. Cohen, Briand, and Newman 1990)</w:t>
      </w:r>
      <w:r>
        <w:t xml:space="preserve">, which much like the name suggests the cascade model rests on the idea that species feed on one another in a hierarchical manner. This rests on the assumption that the links within a network are variably distributed across the network; with the proportion of links decreasing as one moves up the trophic levels (</w:t>
      </w:r>
      <w:r>
        <w:rPr>
          <w:i/>
          <w:iCs/>
        </w:rPr>
        <w:t xml:space="preserve">i.e.,</w:t>
      </w:r>
      <w:r>
        <w:t xml:space="preserve"> </w:t>
      </w:r>
      <w:r>
        <w:t xml:space="preserve">‘</w:t>
      </w:r>
      <w:r>
        <w:t xml:space="preserve">many</w:t>
      </w:r>
      <w:r>
        <w:t xml:space="preserve">’</w:t>
      </w:r>
      <w:r>
        <w:t xml:space="preserve"> </w:t>
      </w:r>
      <w:r>
        <w:t xml:space="preserve">prey and</w:t>
      </w:r>
      <w:r>
        <w:t xml:space="preserve"> </w:t>
      </w:r>
      <w:r>
        <w:t xml:space="preserve">‘</w:t>
      </w:r>
      <w:r>
        <w:t xml:space="preserve">few</w:t>
      </w:r>
      <w:r>
        <w:t xml:space="preserve">’</w:t>
      </w:r>
      <w:r>
        <w:t xml:space="preserve"> </w:t>
      </w:r>
      <w:r>
        <w:t xml:space="preserve">predators). The niche model</w:t>
      </w:r>
      <w:r>
        <w:t xml:space="preserve"> </w:t>
      </w:r>
      <w:r>
        <w:t xml:space="preserve">(Williams and Martinez 2000)</w:t>
      </w:r>
      <w:r>
        <w:t xml:space="preserve"> </w:t>
      </w:r>
      <w:r>
        <w:t xml:space="preserve">introduces the idea that species interactions are based on the</w:t>
      </w:r>
      <w:r>
        <w:t xml:space="preserve"> </w:t>
      </w:r>
      <w:r>
        <w:t xml:space="preserve">‘</w:t>
      </w:r>
      <w:r>
        <w:t xml:space="preserve">feeding niche</w:t>
      </w:r>
      <w:r>
        <w:t xml:space="preserve">’</w:t>
      </w:r>
      <w:r>
        <w:t xml:space="preserve"> </w:t>
      </w:r>
      <w:r>
        <w:t xml:space="preserve">of a species. See also probabilistic niche model</w:t>
      </w:r>
      <w:r>
        <w:t xml:space="preserve"> </w:t>
      </w:r>
      <w:r>
        <w:t xml:space="preserve">(Williams, Anandanadesan, and Purves 2010)</w:t>
      </w:r>
      <w:r>
        <w:t xml:space="preserve"> </w:t>
      </w:r>
      <w:r>
        <w:t xml:space="preserve">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Finally,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 use a tait-based approach)</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PFIM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bookmarkEnd w:id="25"/>
    <w:bookmarkStart w:id="28" w:name="model-benchmarking"/>
    <w:p>
      <w:pPr>
        <w:pStyle w:val="Heading2"/>
      </w:pPr>
      <w:r>
        <w:t xml:space="preserve">3 Model benchmarking</w:t>
      </w:r>
    </w:p>
    <w:p>
      <w:pPr>
        <w:numPr>
          <w:ilvl w:val="0"/>
          <w:numId w:val="1004"/>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4"/>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26" w:name="benchmarking-network-models"/>
    <w:p>
      <w:pPr>
        <w:pStyle w:val="Heading3"/>
      </w:pPr>
      <w:r>
        <w:t xml:space="preserve">3.1 Benchmarking network models</w:t>
      </w:r>
    </w:p>
    <w:p>
      <w:pPr>
        <w:numPr>
          <w:ilvl w:val="0"/>
          <w:numId w:val="1005"/>
        </w:numPr>
      </w:pPr>
      <w:r>
        <w:t xml:space="preserve">Maybe look at some of the historic papers that compare some of the</w:t>
      </w:r>
      <w:r>
        <w:t xml:space="preserve"> </w:t>
      </w:r>
      <w:r>
        <w:t xml:space="preserve">‘</w:t>
      </w:r>
      <w:r>
        <w:t xml:space="preserve">resource models</w:t>
      </w:r>
      <w:r>
        <w:t xml:space="preserve">’</w:t>
      </w:r>
    </w:p>
    <w:p>
      <w:pPr>
        <w:numPr>
          <w:ilvl w:val="0"/>
          <w:numId w:val="1005"/>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5"/>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26"/>
    <w:bookmarkStart w:id="27" w:name="benchmarking-interaction-models"/>
    <w:p>
      <w:pPr>
        <w:pStyle w:val="Heading3"/>
      </w:pPr>
      <w:r>
        <w:t xml:space="preserve">3.2 Benchmarking interaction models</w:t>
      </w:r>
    </w:p>
    <w:p>
      <w:pPr>
        <w:numPr>
          <w:ilvl w:val="0"/>
          <w:numId w:val="1006"/>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6"/>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6"/>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6"/>
        </w:numPr>
      </w:pPr>
      <w:r>
        <w:t xml:space="preserve">See</w:t>
      </w:r>
      <w:r>
        <w:t xml:space="preserve"> </w:t>
      </w:r>
      <w:r>
        <w:t xml:space="preserve">Poisot (2023)</w:t>
      </w:r>
    </w:p>
    <w:p>
      <w:pPr>
        <w:numPr>
          <w:ilvl w:val="1"/>
          <w:numId w:val="1007"/>
        </w:numPr>
      </w:pPr>
      <w:r>
        <w:t xml:space="preserve">skill (ability to make the right prediction; evaluate whether low prevalence can lull us into a false sense of predictive accuracy)</w:t>
      </w:r>
    </w:p>
    <w:p>
      <w:pPr>
        <w:numPr>
          <w:ilvl w:val="1"/>
          <w:numId w:val="1007"/>
        </w:numPr>
      </w:pPr>
      <w:r>
        <w:t xml:space="preserve">bias (trends towards systematically over-predicting one class)</w:t>
      </w:r>
    </w:p>
    <w:p>
      <w:pPr>
        <w:numPr>
          <w:ilvl w:val="1"/>
          <w:numId w:val="1007"/>
        </w:numPr>
      </w:pPr>
      <w:r>
        <w:t xml:space="preserve">class imbalance (the relative number of cases representing interactions)</w:t>
      </w:r>
    </w:p>
    <w:p>
      <w:pPr>
        <w:numPr>
          <w:ilvl w:val="0"/>
          <w:numId w:val="1006"/>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6"/>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6"/>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bookmarkEnd w:id="27"/>
    <w:bookmarkEnd w:id="28"/>
    <w:bookmarkStart w:id="39" w:name="sec-data-methods"/>
    <w:p>
      <w:pPr>
        <w:pStyle w:val="Heading2"/>
      </w:pPr>
      <w:r>
        <w:t xml:space="preserve">4 Data &amp; Methods</w:t>
      </w:r>
    </w:p>
    <w:bookmarkStart w:id="30" w:name="selecting-models"/>
    <w:p>
      <w:pPr>
        <w:pStyle w:val="Heading3"/>
      </w:pPr>
      <w:r>
        <w:t xml:space="preserve">4.1 Selecting models</w:t>
      </w:r>
    </w:p>
    <w:p>
      <w:pPr>
        <w:pStyle w:val="FirstParagraph"/>
      </w:pPr>
      <w:r>
        <w:t xml:space="preserve">This section depends on if we go the family route and where we introduce them. But a more extended description of each model can be found in the</w:t>
      </w:r>
      <w:r>
        <w:t xml:space="preserve"> </w:t>
      </w:r>
      <w:r>
        <w:rPr>
          <w:rStyle w:val="VerbatimChar"/>
        </w:rPr>
        <w:t xml:space="preserve">Extended Model Description</w:t>
      </w:r>
      <w:r>
        <w:t xml:space="preserve"> </w:t>
      </w:r>
      <w:r>
        <w:t xml:space="preserve">notebook (I’m trying to work out how to embed this…)</w:t>
      </w:r>
    </w:p>
    <w:p>
      <w:pPr>
        <w:pStyle w:val="BodyText"/>
      </w:pPr>
      <w:r>
        <w:t xml:space="preserve">I know tables are awful but in this case they may make more sense. Also I don’t think I’m at the point where I can say that the table is complete/comprehensive but it getting there Not sure about putting in some papers that have used the model - totes happy to drop those I think…</w:t>
      </w:r>
    </w:p>
    <w:tbl>
      <w:tblPr>
        <w:tblStyle w:val="Table"/>
        <w:tblW w:type="pct" w:w="5000"/>
        <w:jc w:val="left"/>
        <w:tblLayout w:type="fixed"/>
        <w:tblLook w:firstRow="0" w:lastRow="0" w:firstColumn="0" w:lastColumn="0" w:noHBand="0" w:noVBand="0" w:val="0000"/>
      </w:tblPr>
      <w:tblGrid>
        <w:gridCol w:w="7920"/>
      </w:tblGrid>
      <w:tr>
        <w:tc>
          <w:tcPr/>
          <w:bookmarkStart w:id="29" w:name="tbl-history"/>
          <w:p>
            <w:pPr>
              <w:jc w:val="center"/>
            </w:pPr>
            <w:pPr>
              <w:jc w:val="start"/>
              <w:spacing w:before="200"/>
              <w:pStyle w:val="ImageCaption"/>
            </w:pPr>
            <w:r>
              <w:t xml:space="preserve">Table 1: Lets make a table that gives an overview of the different model families and some of their features</w:t>
            </w:r>
          </w:p>
          <w:tbl>
            <w:tblPr>
              <w:tblStyle w:val="Table"/>
              <w:tblW w:type="pct" w:w="5000"/>
              <w:jc w:val="left"/>
              <w:tblLayout w:type="fixed"/>
              <w:tblLook w:firstRow="1" w:lastRow="0" w:firstColumn="0" w:lastColumn="0" w:noHBand="0" w:noVBand="0" w:val="0020"/>
            </w:tblPr>
            <w:tblGrid>
              <w:gridCol w:w="867"/>
              <w:gridCol w:w="976"/>
              <w:gridCol w:w="976"/>
              <w:gridCol w:w="976"/>
              <w:gridCol w:w="1735"/>
              <w:gridCol w:w="759"/>
              <w:gridCol w:w="867"/>
              <w:gridCol w:w="75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Example used</w:t>
                  </w:r>
                </w:p>
              </w:tc>
              <w:tc>
                <w:tcPr/>
                <w:p>
                  <w:pPr>
                    <w:pStyle w:val="Compact"/>
                    <w:jc w:val="left"/>
                    <w:jc w:val="center"/>
                  </w:pPr>
                  <w:r>
                    <w:t xml:space="preserve">Predicts</w:t>
                  </w:r>
                </w:p>
              </w:tc>
              <w:tc>
                <w:tcPr/>
                <w:p>
                  <w:pPr>
                    <w:pStyle w:val="Compact"/>
                    <w:jc w:val="left"/>
                    <w:jc w:val="center"/>
                  </w:pPr>
                  <w:r>
                    <w:t xml:space="preserve">Needs (minimum)</w:t>
                  </w:r>
                </w:p>
              </w:tc>
              <w:tc>
                <w:tcPr/>
                <w:p>
                  <w:pPr>
                    <w:pStyle w:val="Compact"/>
                    <w:jc w:val="left"/>
                    <w:jc w:val="center"/>
                  </w:pPr>
                  <w:r>
                    <w:t xml:space="preserve">Assembly</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(Erdős and Rényi 1959)</w:t>
                  </w:r>
                </w:p>
              </w:tc>
              <w:tc>
                <w:tcPr/>
                <w:p>
                  <w:pPr>
                    <w:pStyle w:val="Compact"/>
                    <w:jc w:val="left"/>
                    <w:jc w:val="center"/>
                  </w:pPr>
                  <w:r>
                    <w:t xml:space="preserve">artificial? network</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(Pomeranz et al. 2019)</w:t>
                  </w:r>
                </w:p>
              </w:tc>
              <w:tc>
                <w:tcPr/>
                <w:p>
                  <w:pPr>
                    <w:pStyle w:val="Compact"/>
                    <w:jc w:val="left"/>
                    <w:jc w:val="center"/>
                  </w:pPr>
                  <w:r>
                    <w:t xml:space="preserve">network</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pP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pPr>
                </w:p>
              </w:tc>
              <w:tc>
                <w:tcPr/>
                <w:p>
                  <w:pPr>
                    <w:pStyle w:val="Compact"/>
                    <w:jc w:val="left"/>
                    <w:jc w:val="center"/>
                  </w:pPr>
                  <w:r>
                    <w:t xml:space="preserve">network</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Maximum Entropy</w:t>
                  </w:r>
                  <w:r>
                    <w:t xml:space="preserve"> </w:t>
                  </w:r>
                  <w:r>
                    <w:t xml:space="preserve">(Banville, Gravel, and Poisot 2023)</w:t>
                  </w:r>
                </w:p>
              </w:tc>
              <w:tc>
                <w:tcPr/>
                <w:p>
                  <w:pPr>
                    <w:pStyle w:val="Compact"/>
                    <w:jc w:val="left"/>
                    <w:jc w:val="center"/>
                  </w:pPr>
                  <w:r>
                    <w:t xml:space="preserve">network</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pP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ADBM</w:t>
                  </w:r>
                  <w:r>
                    <w:t xml:space="preserve"> </w:t>
                  </w:r>
                  <w:r>
                    <w:t xml:space="preserve">(Petchey et al. 2008)</w:t>
                  </w:r>
                </w:p>
              </w:tc>
              <w:tc>
                <w:tcPr/>
                <w:p>
                  <w:pPr>
                    <w:pStyle w:val="Compact"/>
                    <w:jc w:val="left"/>
                    <w:jc w:val="center"/>
                  </w:pPr>
                  <w:r>
                    <w:t xml:space="preserve">interactions</w:t>
                  </w:r>
                </w:p>
              </w:tc>
              <w:tc>
                <w:tcPr/>
                <w:p>
                  <w:pPr>
                    <w:pStyle w:val="Compact"/>
                    <w:jc w:val="left"/>
                    <w:jc w:val="center"/>
                  </w:pPr>
                  <w:r>
                    <w:t xml:space="preserve">connectance, body size, abundance</w:t>
                  </w:r>
                </w:p>
              </w:tc>
              <w:tc>
                <w:tcPr/>
                <w:p>
                  <w:pPr>
                    <w:pStyle w:val="Compact"/>
                    <w:jc w:val="left"/>
                    <w:jc w:val="center"/>
                  </w:pPr>
                  <w:r>
                    <w:t xml:space="preserve">quantitative</w:t>
                  </w:r>
                </w:p>
              </w:tc>
              <w:tc>
                <w:tcPr/>
                <w:p>
                  <w:pPr>
                    <w:pStyle w:val="Compact"/>
                  </w:pPr>
                </w:p>
              </w:tc>
              <w:tc>
                <w:tcPr/>
                <w:p>
                  <w:pPr>
                    <w:pStyle w:val="Compact"/>
                    <w:jc w:val="left"/>
                    <w:jc w:val="center"/>
                  </w:pPr>
                  <w:r>
                    <w:t xml:space="preserve">quantitative</w:t>
                  </w: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Transfer Learning</w:t>
                  </w:r>
                  <w:r>
                    <w:t xml:space="preserve"> </w:t>
                  </w:r>
                  <w:r>
                    <w:t xml:space="preserve">(Strydom et al. 2022)</w:t>
                  </w:r>
                </w:p>
              </w:tc>
              <w:tc>
                <w:tcPr/>
                <w:p>
                  <w:pPr>
                    <w:pStyle w:val="Compact"/>
                    <w:jc w:val="left"/>
                    <w:jc w:val="center"/>
                  </w:pPr>
                  <w:r>
                    <w:t xml:space="preserve">interactions (but structurally constrained?)</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PFIM</w:t>
                  </w:r>
                  <w:r>
                    <w:t xml:space="preserve"> </w:t>
                  </w:r>
                  <w:r>
                    <w:t xml:space="preserve">(Shaw et al. 2024)</w:t>
                  </w:r>
                </w:p>
              </w:tc>
              <w:tc>
                <w:tcPr/>
                <w:p>
                  <w:pPr>
                    <w:pStyle w:val="Compact"/>
                    <w:jc w:val="left"/>
                    <w:jc w:val="center"/>
                  </w:pPr>
                  <w:r>
                    <w:t xml:space="preserve">interactions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pP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pPr>
                </w:p>
              </w:tc>
              <w:tc>
                <w:tcPr/>
                <w:p>
                  <w:pPr>
                    <w:pStyle w:val="Compact"/>
                    <w:jc w:val="left"/>
                    <w:jc w:val="center"/>
                  </w:pPr>
                  <w:r>
                    <w:t xml:space="preserve">interactions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jc w:val="left"/>
                    <w:jc w:val="center"/>
                  </w:pPr>
                  <w:r>
                    <w:t xml:space="preserve">‘</w:t>
                  </w:r>
                  <w:r>
                    <w:t xml:space="preserve">mechanistic</w:t>
                  </w:r>
                  <w:r>
                    <w:t xml:space="preserve">’</w:t>
                  </w:r>
                </w:p>
              </w:tc>
              <w:tc>
                <w:tcPr/>
                <w:p>
                  <w:pPr>
                    <w:pStyle w:val="Compact"/>
                  </w:pP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pPr>
                </w:p>
              </w:tc>
              <w:tc>
                <w:tcPr/>
                <w:p>
                  <w:pPr>
                    <w:pStyle w:val="Compact"/>
                    <w:jc w:val="left"/>
                    <w:jc w:val="center"/>
                  </w:pPr>
                  <w:r>
                    <w:t xml:space="preserve">interactions</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pPr>
                </w:p>
              </w:tc>
            </w:tr>
          </w:tbl>
          <w:bookmarkEnd w:id="29"/>
          <w:p/>
        </w:tc>
      </w:tr>
    </w:tbl>
    <w:bookmarkEnd w:id="30"/>
    <w:bookmarkStart w:id="33" w:name="datasets-used"/>
    <w:p>
      <w:pPr>
        <w:pStyle w:val="Heading3"/>
      </w:pPr>
      <w:r>
        <w:t xml:space="preserve">4.2 Datasets used</w:t>
      </w:r>
    </w:p>
    <w:bookmarkStart w:id="31" w:name="mangal-networks"/>
    <w:p>
      <w:pPr>
        <w:pStyle w:val="Heading4"/>
      </w:pPr>
      <w:r>
        <w:t xml:space="preserve">4.2.1 Mangal networks</w:t>
      </w:r>
    </w:p>
    <w:p>
      <w:pPr>
        <w:pStyle w:val="FirstParagraph"/>
      </w:pPr>
      <w:r>
        <w:t xml:space="preserve">We queried the Mangal</w:t>
      </w:r>
      <w:r>
        <w:t xml:space="preserve"> </w:t>
      </w:r>
      <w:r>
        <w:t xml:space="preserve">(Poisot et al. 2016)</w:t>
      </w:r>
      <w:r>
        <w:t xml:space="preserve"> </w:t>
      </w:r>
      <w:r>
        <w:t xml:space="preserve">database and extracted a total of</w:t>
      </w:r>
      <w:r>
        <w:t xml:space="preserve"> </w:t>
      </w:r>
      <w:r>
        <w:rPr>
          <w:b/>
          <w:bCs/>
        </w:rPr>
        <w:t xml:space="preserve">TODO</w:t>
      </w:r>
      <w:r>
        <w:t xml:space="preserve"> </w:t>
      </w:r>
      <w:r>
        <w:t xml:space="preserve">networks.</w:t>
      </w:r>
      <w:r>
        <w:t xml:space="preserve"> </w:t>
      </w:r>
      <w:r>
        <w:rPr>
          <w:i/>
          <w:iCs/>
        </w:rPr>
        <w:t xml:space="preserve">Some sort of summary as to the geographic/taxonomic range??</w:t>
      </w:r>
      <w:r>
        <w:t xml:space="preserve"> </w:t>
      </w:r>
      <w:r>
        <w:t xml:space="preserve">Although these networks represent a high volume of interaction data they do not have accompanying</w:t>
      </w:r>
      <w:r>
        <w:t xml:space="preserve"> </w:t>
      </w:r>
      <w:r>
        <w:t xml:space="preserve">‘</w:t>
      </w:r>
      <w:r>
        <w:t xml:space="preserve">metadata</w:t>
      </w:r>
      <w:r>
        <w:t xml:space="preserve">’</w:t>
      </w:r>
      <w:r>
        <w:t xml:space="preserve"> </w:t>
      </w:r>
      <w:r>
        <w:t xml:space="preserve">that we would need for some of the more data-hungry model families (</w:t>
      </w:r>
      <w:r>
        <w:rPr>
          <w:i/>
          <w:iCs/>
        </w:rPr>
        <w:t xml:space="preserve">e.g.,</w:t>
      </w:r>
      <w:r>
        <w:t xml:space="preserve"> </w:t>
      </w:r>
      <w:r>
        <w:t xml:space="preserve">local abundance), the Mangal networks were used to provide the</w:t>
      </w:r>
      <w:r>
        <w:t xml:space="preserve"> </w:t>
      </w:r>
      <w:r>
        <w:t xml:space="preserve">‘</w:t>
      </w:r>
      <w:r>
        <w:t xml:space="preserve">starting values</w:t>
      </w:r>
      <w:r>
        <w:t xml:space="preserve">’</w:t>
      </w:r>
      <w:r>
        <w:t xml:space="preserve"> </w:t>
      </w:r>
      <w:r>
        <w:t xml:space="preserve">for the random, resource, and generative families. This allows us to generate a large number of different networks that we can use to compare and contrast the performance of the various model families (see</w:t>
      </w:r>
      <w:r>
        <w:t xml:space="preserve"> </w:t>
      </w:r>
      <w:hyperlink w:anchor="sec-model-benchmarking">
        <w:r>
          <w:rPr>
            <w:rStyle w:val="Hyperlink"/>
          </w:rPr>
          <w:t xml:space="preserve">Section 4.3</w:t>
        </w:r>
      </w:hyperlink>
      <w:r>
        <w:t xml:space="preserve"> </w:t>
      </w:r>
      <w:r>
        <w:t xml:space="preserve">for a more detailed breakdown). For each network from Mangal we generated</w:t>
      </w:r>
      <w:r>
        <w:t xml:space="preserve"> </w:t>
      </w:r>
      <w:r>
        <w:rPr>
          <w:b/>
          <w:bCs/>
        </w:rPr>
        <w:t xml:space="preserve">TODO</w:t>
      </w:r>
      <w:r>
        <w:t xml:space="preserve"> </w:t>
      </w:r>
      <w:r>
        <w:t xml:space="preserve">versions of that network using each model family.</w:t>
      </w:r>
    </w:p>
    <w:bookmarkEnd w:id="31"/>
    <w:bookmarkStart w:id="32" w:name="empirical-networks"/>
    <w:p>
      <w:pPr>
        <w:pStyle w:val="Heading4"/>
      </w:pPr>
      <w:r>
        <w:t xml:space="preserve">4.2.2 Empirical networks</w:t>
      </w:r>
    </w:p>
    <w:p>
      <w:pPr>
        <w:pStyle w:val="FirstParagraph"/>
      </w:pPr>
      <w:r>
        <w:t xml:space="preserve">‘</w:t>
      </w:r>
      <w:r>
        <w:t xml:space="preserve">Elite</w:t>
      </w:r>
      <w:r>
        <w:t xml:space="preserve">’</w:t>
      </w:r>
      <w:r>
        <w:t xml:space="preserve"> </w:t>
      </w:r>
      <w:r>
        <w:t xml:space="preserve">number of datasets for interaction models</w:t>
      </w:r>
    </w:p>
    <w:p>
      <w:pPr>
        <w:pStyle w:val="BlockText"/>
      </w:pPr>
      <w:r>
        <w:t xml:space="preserve">Here I think we need to span a variety of domains, at minimum aquatic and terrestrial but maybe there should be a</w:t>
      </w:r>
      <w:r>
        <w:t xml:space="preserve"> </w:t>
      </w:r>
      <w:r>
        <w:t xml:space="preserve">‘</w:t>
      </w:r>
      <w:r>
        <w:t xml:space="preserve">scale</w:t>
      </w:r>
      <w:r>
        <w:t xml:space="preserve">’</w:t>
      </w:r>
      <w:r>
        <w:t xml:space="preserve"> </w:t>
      </w:r>
      <w:r>
        <w:t xml:space="preserve">element as well</w:t>
      </w:r>
      <w:r>
        <w:t xml:space="preserve"> </w:t>
      </w:r>
      <w:r>
        <w:rPr>
          <w:i/>
          <w:iCs/>
        </w:rPr>
        <w:t xml:space="preserve">i.e.,</w:t>
      </w:r>
      <w:r>
        <w:t xml:space="preserve"> </w:t>
      </w:r>
      <w:r>
        <w:t xml:space="preserve">a regional and local network. I think there is going to be a</w:t>
      </w:r>
      <w:r>
        <w:t xml:space="preserve"> </w:t>
      </w:r>
      <w:r>
        <w:t xml:space="preserve">‘</w:t>
      </w:r>
      <w:r>
        <w:t xml:space="preserve">turning point</w:t>
      </w:r>
      <w:r>
        <w:t xml:space="preserve">’</w:t>
      </w:r>
      <w:r>
        <w:t xml:space="preserve"> </w:t>
      </w:r>
      <w:r>
        <w:t xml:space="preserve">where structural will take over from mechanistic in terms of performance. More specifically at local scales bioenergetic constraints (and co-occurrence) may play a bigger role in structuring a network whereas at the metaweb level then mechanistic may make more (since by default its about who can potentially interact and obviously not constrained by real-world scenarios)</w:t>
      </w:r>
      <w:r>
        <w:t xml:space="preserve"> </w:t>
      </w:r>
      <w:r>
        <w:rPr>
          <w:i/>
          <w:iCs/>
        </w:rPr>
        <w:t xml:space="preserve">sensu</w:t>
      </w:r>
      <w:r>
        <w:t xml:space="preserve"> </w:t>
      </w:r>
      <w:r>
        <w:t xml:space="preserve">Caron et al. (2024)</w:t>
      </w:r>
      <w:r>
        <w:t xml:space="preserve">. Although having said that I feel that contradicts the idea of backbones (</w:t>
      </w:r>
      <w:r>
        <w:rPr>
          <w:i/>
          <w:iCs/>
        </w:rPr>
        <w:t xml:space="preserve">sensu</w:t>
      </w:r>
      <w:r>
        <w:t xml:space="preserve"> </w:t>
      </w:r>
      <w:r>
        <w:t xml:space="preserve">Bramon Mora (sp?) et al &amp; Stouffer et al) But that might be where we get the idea of core</w:t>
      </w:r>
      <w:r>
        <w:t xml:space="preserve"> </w:t>
      </w:r>
      <w:r>
        <w:rPr>
          <w:i/>
          <w:iCs/>
        </w:rPr>
        <w:t xml:space="preserve">structure</w:t>
      </w:r>
      <w:r>
        <w:t xml:space="preserve"> </w:t>
      </w:r>
      <w:r>
        <w:t xml:space="preserve">vs something like linkage density. So core things like trophic level/chain length will be conserved but connectance might not (I think I understand what I’m trying to say here)</w:t>
      </w:r>
    </w:p>
    <w:p>
      <w:pPr>
        <w:pStyle w:val="FirstParagraph"/>
      </w:pPr>
      <w:r>
        <w:t xml:space="preserve">I think we should also use the</w:t>
      </w:r>
      <w:r>
        <w:t xml:space="preserve"> </w:t>
      </w:r>
      <w:r>
        <w:t xml:space="preserve">Jennifer A. Dunne et al. (2008)</w:t>
      </w:r>
      <w:r>
        <w:t xml:space="preserve"> </w:t>
      </w:r>
      <w:r>
        <w:t xml:space="preserve">work. Because 1) it gives the paleo-centric methods their moment in the sun and 2) I think it also brings up the interesting question of can we use modern structure to predict past ones?</w:t>
      </w:r>
    </w:p>
    <w:bookmarkEnd w:id="32"/>
    <w:bookmarkEnd w:id="33"/>
    <w:bookmarkStart w:id="38" w:name="sec-model-benchmarking"/>
    <w:p>
      <w:pPr>
        <w:pStyle w:val="Heading3"/>
      </w:pPr>
      <w:r>
        <w:t xml:space="preserve">4.3 Model benchmarking</w:t>
      </w:r>
    </w:p>
    <w:p>
      <w:pPr>
        <w:pStyle w:val="FirstParagraph"/>
      </w:pPr>
      <w:r>
        <w:t xml:space="preserve">For now the (still essentially pending) workflow/associated code can be found at the following repository</w:t>
      </w:r>
      <w:r>
        <w:t xml:space="preserve"> </w:t>
      </w:r>
      <w:hyperlink r:id="rId34">
        <w:r>
          <w:rPr>
            <w:rStyle w:val="Hyperlink"/>
          </w:rPr>
          <w:t xml:space="preserve">BecksLab/topology_generators</w:t>
        </w:r>
      </w:hyperlink>
      <w:r>
        <w:t xml:space="preserve">. This will reflect that which is shown in panel</w:t>
      </w:r>
      <w:r>
        <w:t xml:space="preserve"> </w:t>
      </w:r>
      <w:r>
        <w:rPr>
          <w:i/>
          <w:iCs/>
        </w:rPr>
        <w:t xml:space="preserve">B</w:t>
      </w:r>
      <w:r>
        <w:t xml:space="preserve"> </w:t>
      </w:r>
      <w:r>
        <w:t xml:space="preserve">of</w:t>
      </w:r>
      <w:r>
        <w:t xml:space="preserve"> </w:t>
      </w:r>
      <w:hyperlink w:anchor="fig-concept">
        <w:r>
          <w:rPr>
            <w:rStyle w:val="Hyperlink"/>
          </w:rPr>
          <w:t xml:space="preserve">Figure 1</w:t>
        </w:r>
      </w:hyperlink>
      <w:r>
        <w:t xml:space="preserve">.</w:t>
      </w:r>
    </w:p>
    <w:p>
      <w:pPr>
        <w:pStyle w:val="Compact"/>
        <w:numPr>
          <w:ilvl w:val="0"/>
          <w:numId w:val="1008"/>
        </w:numPr>
      </w:pPr>
      <w:r>
        <w:t xml:space="preserve">Data</w:t>
      </w:r>
      <w:r>
        <w:t xml:space="preserve"> </w:t>
      </w:r>
      <w:r>
        <w:t xml:space="preserve">‘</w:t>
      </w:r>
      <w:r>
        <w:t xml:space="preserve">cost</w:t>
      </w:r>
      <w:r>
        <w:t xml:space="preserve">’</w:t>
      </w:r>
      <w:r>
        <w:t xml:space="preserve"> </w:t>
      </w:r>
      <w:r>
        <w:t xml:space="preserve">(some methods might need a lot lot of supporting data vs something very light weight)</w:t>
      </w:r>
    </w:p>
    <w:p>
      <w:pPr>
        <w:pStyle w:val="Compact"/>
        <w:numPr>
          <w:ilvl w:val="0"/>
          <w:numId w:val="1008"/>
        </w:numPr>
      </w:pPr>
      <w:r>
        <w:t xml:space="preserve">I think it would be remiss to not also take into consideration computational cost</w:t>
      </w:r>
    </w:p>
    <w:p>
      <w:pPr>
        <w:pStyle w:val="Compact"/>
        <w:numPr>
          <w:ilvl w:val="0"/>
          <w:numId w:val="1008"/>
        </w:numPr>
      </w:pPr>
      <w:r>
        <w:t xml:space="preserve">Something about the network output - I’m acknowledging my biases and saying that probabilistic (or</w:t>
      </w:r>
      <w:r>
        <w:t xml:space="preserve"> </w:t>
      </w:r>
      <w:r>
        <w:rPr>
          <w:i/>
          <w:iCs/>
        </w:rPr>
        <w:t xml:space="preserve">maybe</w:t>
      </w:r>
      <w:r>
        <w:t xml:space="preserve"> </w:t>
      </w:r>
      <w:r>
        <w:t xml:space="preserve">weighted) links are the way</w:t>
      </w:r>
    </w:p>
    <w:bookmarkStart w:id="35" w:name="network-models"/>
    <w:p>
      <w:pPr>
        <w:pStyle w:val="Heading4"/>
      </w:pPr>
      <w:r>
        <w:t xml:space="preserve">4.3.1 Network models</w:t>
      </w:r>
    </w:p>
    <w:p>
      <w:pPr>
        <w:pStyle w:val="FirstParagraph"/>
      </w:pPr>
      <w:r>
        <w:t xml:space="preserve">Want to compare real vs predicted and then get something that looks like</w:t>
      </w:r>
      <w:r>
        <w:t xml:space="preserve"> </w:t>
      </w:r>
      <w:hyperlink w:anchor="fig-topology">
        <w:r>
          <w:rPr>
            <w:rStyle w:val="Hyperlink"/>
          </w:rPr>
          <w:t xml:space="preserve">Figure 2</w:t>
        </w:r>
      </w:hyperlink>
    </w:p>
    <w:p>
      <w:pPr>
        <w:numPr>
          <w:ilvl w:val="0"/>
          <w:numId w:val="1009"/>
        </w:numPr>
      </w:pPr>
      <w:r>
        <w:t xml:space="preserve">connectance, nestedness (Bastolla et al., 2009), modularity (Barber, 2007), asymmetry (Delmas et al., 2018), and Jaccard network dissimilarity (Canard et al., 2014)</w:t>
      </w:r>
    </w:p>
    <w:p>
      <w:pPr>
        <w:numPr>
          <w:ilvl w:val="0"/>
          <w:numId w:val="1009"/>
        </w:numPr>
      </w:pPr>
      <w:r>
        <w:rPr>
          <w:i/>
          <w:iCs/>
        </w:rPr>
        <w:t xml:space="preserve">Shape:</w:t>
      </w:r>
      <w:r>
        <w:t xml:space="preserve"> </w:t>
      </w:r>
      <w:r>
        <w:t xml:space="preserve">do the models construct tall</w:t>
      </w:r>
      <w:r>
        <w:t xml:space="preserve"> </w:t>
      </w:r>
      <w:r>
        <w:t xml:space="preserve">‘</w:t>
      </w:r>
      <w:r>
        <w:t xml:space="preserve">pencil</w:t>
      </w:r>
      <w:r>
        <w:t xml:space="preserve">’</w:t>
      </w:r>
      <w:r>
        <w:t xml:space="preserve"> </w:t>
      </w:r>
      <w:r>
        <w:t xml:space="preserve">vs flat</w:t>
      </w:r>
      <w:r>
        <w:t xml:space="preserve"> </w:t>
      </w:r>
      <w:r>
        <w:t xml:space="preserve">‘</w:t>
      </w:r>
      <w:r>
        <w:t xml:space="preserve">pancake</w:t>
      </w:r>
      <w:r>
        <w:t xml:space="preserve">’</w:t>
      </w:r>
      <w:r>
        <w:t xml:space="preserve"> </w:t>
      </w:r>
      <w:r>
        <w:t xml:space="preserve">networks (Beckerman 2024, pers comms), generality/vulnerability, chain length (?)</w:t>
      </w:r>
    </w:p>
    <w:p>
      <w:pPr>
        <w:numPr>
          <w:ilvl w:val="0"/>
          <w:numId w:val="1009"/>
        </w:numPr>
      </w:pPr>
      <w:r>
        <w:rPr>
          <w:i/>
          <w:iCs/>
        </w:rPr>
        <w:t xml:space="preserve">Structure:</w:t>
      </w:r>
      <w:r>
        <w:t xml:space="preserve"> </w:t>
      </w:r>
      <w:r>
        <w:t xml:space="preserve">Predicting</w:t>
      </w:r>
      <w:r>
        <w:t xml:space="preserve"> </w:t>
      </w:r>
      <w:r>
        <w:t xml:space="preserve">‘</w:t>
      </w:r>
      <w:r>
        <w:t xml:space="preserve">structure</w:t>
      </w:r>
      <w:r>
        <w:t xml:space="preserve">’</w:t>
      </w:r>
      <w:r>
        <w:t xml:space="preserve"> </w:t>
      </w:r>
      <w:r>
        <w:t xml:space="preserve">- SVD</w:t>
      </w:r>
      <w:r>
        <w:t xml:space="preserve"> </w:t>
      </w:r>
      <w:r>
        <w:t xml:space="preserve">(Strydom, Dalla Riva, and Poisot 2021)</w:t>
      </w:r>
      <w:r>
        <w:t xml:space="preserve"> </w:t>
      </w:r>
      <w:r>
        <w:t xml:space="preserve">but maybe something like nestedness as well (?)</w:t>
      </w:r>
    </w:p>
    <w:p>
      <w:pPr>
        <w:numPr>
          <w:ilvl w:val="0"/>
          <w:numId w:val="1009"/>
        </w:numPr>
      </w:pPr>
      <w:r>
        <w:rPr>
          <w:i/>
          <w:iCs/>
        </w:rPr>
        <w:t xml:space="preserve">Links:</w:t>
      </w:r>
      <w:r>
        <w:t xml:space="preserve"> </w:t>
      </w:r>
      <w:r>
        <w:t xml:space="preserve">are the number of links preserved (most network predicting models are to some extend link constrained but useful to see)</w:t>
      </w:r>
    </w:p>
    <w:p>
      <w:pPr>
        <w:numPr>
          <w:ilvl w:val="0"/>
          <w:numId w:val="1009"/>
        </w:numPr>
      </w:pPr>
      <w:r>
        <w:rPr>
          <w:i/>
          <w:iCs/>
        </w:rPr>
        <w:t xml:space="preserve">Motifs:</w:t>
      </w:r>
      <w:r>
        <w:t xml:space="preserve"> </w:t>
      </w:r>
      <w:r>
        <w:t xml:space="preserve">Staniczenko et al. (2010)</w:t>
      </w:r>
      <w:r>
        <w:t xml:space="preserve"> </w:t>
      </w:r>
      <w:r>
        <w:t xml:space="preserve">uses S1, S2, S4, S5 from</w:t>
      </w:r>
      <w:r>
        <w:t xml:space="preserve"> </w:t>
      </w:r>
      <w:r>
        <w:t xml:space="preserve">Stouffer et al. (2007)</w:t>
      </w:r>
    </w:p>
    <w:p>
      <w:pPr>
        <w:numPr>
          <w:ilvl w:val="1"/>
          <w:numId w:val="1010"/>
        </w:numPr>
      </w:pPr>
      <w:r>
        <w:t xml:space="preserve">S1: Number of linear chains</w:t>
      </w:r>
    </w:p>
    <w:p>
      <w:pPr>
        <w:numPr>
          <w:ilvl w:val="1"/>
          <w:numId w:val="1010"/>
        </w:numPr>
      </w:pPr>
      <w:r>
        <w:t xml:space="preserve">S2: Number of omnivory motifs</w:t>
      </w:r>
    </w:p>
    <w:p>
      <w:pPr>
        <w:numPr>
          <w:ilvl w:val="1"/>
          <w:numId w:val="1010"/>
        </w:numPr>
      </w:pPr>
      <w:r>
        <w:t xml:space="preserve">S4: Number of apparent competition motifs</w:t>
      </w:r>
    </w:p>
    <w:p>
      <w:pPr>
        <w:numPr>
          <w:ilvl w:val="1"/>
          <w:numId w:val="1010"/>
        </w:numPr>
      </w:pPr>
      <w:r>
        <w:t xml:space="preserve">S5: Number of direct competition motifs</w:t>
      </w:r>
    </w:p>
    <w:bookmarkEnd w:id="35"/>
    <w:bookmarkStart w:id="36" w:name="interaction-models"/>
    <w:p>
      <w:pPr>
        <w:pStyle w:val="Heading4"/>
      </w:pPr>
      <w:r>
        <w:t xml:space="preserve">4.3.2 Interaction models</w:t>
      </w:r>
    </w:p>
    <w:p>
      <w:pPr>
        <w:pStyle w:val="Compact"/>
        <w:numPr>
          <w:ilvl w:val="0"/>
          <w:numId w:val="1011"/>
        </w:numPr>
      </w:pPr>
      <w:r>
        <w:t xml:space="preserve">Based on</w:t>
      </w:r>
      <w:r>
        <w:t xml:space="preserve"> </w:t>
      </w:r>
      <w:r>
        <w:t xml:space="preserve">Poisot (2023)</w:t>
      </w:r>
      <w:r>
        <w:t xml:space="preserve">:</w:t>
      </w:r>
    </w:p>
    <w:p>
      <w:pPr>
        <w:pStyle w:val="Compact"/>
        <w:numPr>
          <w:ilvl w:val="1"/>
          <w:numId w:val="1012"/>
        </w:numPr>
      </w:pPr>
      <w:r>
        <w:t xml:space="preserve">Precision-Recall (PR-AUC) - performance</w:t>
      </w:r>
    </w:p>
    <w:p>
      <w:pPr>
        <w:pStyle w:val="Compact"/>
        <w:numPr>
          <w:ilvl w:val="1"/>
          <w:numId w:val="1012"/>
        </w:numPr>
      </w:pPr>
      <w:r>
        <w:t xml:space="preserve">Matthews correlation coefficient (MCC) - accuracy</w:t>
      </w:r>
    </w:p>
    <w:p>
      <w:pPr>
        <w:pStyle w:val="Compact"/>
        <w:numPr>
          <w:ilvl w:val="0"/>
          <w:numId w:val="1011"/>
        </w:numPr>
      </w:pPr>
      <w:r>
        <w:t xml:space="preserve">Maybe same measures we use for the network models</w:t>
      </w:r>
    </w:p>
    <w:bookmarkEnd w:id="36"/>
    <w:bookmarkStart w:id="37" w:name="pva-action-plan"/>
    <w:p>
      <w:pPr>
        <w:pStyle w:val="Heading4"/>
      </w:pPr>
      <w:r>
        <w:t xml:space="preserve">4.3.3 PVA (action plan)</w:t>
      </w:r>
    </w:p>
    <w:p>
      <w:pPr>
        <w:pStyle w:val="Compact"/>
        <w:numPr>
          <w:ilvl w:val="0"/>
          <w:numId w:val="1013"/>
        </w:numPr>
      </w:pPr>
      <w:r>
        <w:t xml:space="preserve">Shortlist/finalise the different topo generators</w:t>
      </w:r>
    </w:p>
    <w:p>
      <w:pPr>
        <w:pStyle w:val="Compact"/>
        <w:numPr>
          <w:ilvl w:val="0"/>
          <w:numId w:val="1013"/>
        </w:numPr>
      </w:pPr>
      <w:r>
        <w:t xml:space="preserve">collate/translate into</w:t>
      </w:r>
      <w:r>
        <w:t xml:space="preserve"> </w:t>
      </w:r>
      <w:r>
        <w:rPr>
          <w:rStyle w:val="VerbatimChar"/>
        </w:rPr>
        <w:t xml:space="preserve">Julia</w:t>
      </w:r>
    </w:p>
    <w:p>
      <w:pPr>
        <w:pStyle w:val="Compact"/>
        <w:numPr>
          <w:ilvl w:val="1"/>
          <w:numId w:val="1014"/>
        </w:numPr>
      </w:pPr>
      <w:r>
        <w:rPr>
          <w:i/>
          <w:iCs/>
        </w:rPr>
        <w:t xml:space="preserve">e.g.,</w:t>
      </w:r>
      <w:r>
        <w:t xml:space="preserve"> </w:t>
      </w:r>
      <w:r>
        <w:t xml:space="preserve">some models wil be in SpeciesInteractionNetworks.jl (new EcoNet); I know (parts of) the transfer learning stuff is and the niche model</w:t>
      </w:r>
    </w:p>
    <w:p>
      <w:pPr>
        <w:pStyle w:val="Compact"/>
        <w:numPr>
          <w:ilvl w:val="1"/>
          <w:numId w:val="1014"/>
        </w:numPr>
      </w:pPr>
      <w:r>
        <w:t xml:space="preserve">others will need to be coded out (the more simpler models should be easier)</w:t>
      </w:r>
    </w:p>
    <w:p>
      <w:pPr>
        <w:pStyle w:val="Compact"/>
        <w:numPr>
          <w:ilvl w:val="0"/>
          <w:numId w:val="1013"/>
        </w:numPr>
      </w:pPr>
      <w:r>
        <w:t xml:space="preserve">Curate networks for the different datasets/scenarios we select - I feel like there might be some scenarios that we can’t do all models for all datasets but maybe I’m being a pessimist.</w:t>
      </w:r>
    </w:p>
    <w:p>
      <w:pPr>
        <w:pStyle w:val="Compact"/>
        <w:numPr>
          <w:ilvl w:val="1"/>
          <w:numId w:val="1015"/>
        </w:numPr>
      </w:pPr>
      <w:r>
        <w:t xml:space="preserve">Need to also think about where one might find the additional data for some of the models…</w:t>
      </w:r>
    </w:p>
    <w:p>
      <w:pPr>
        <w:pStyle w:val="Compact"/>
        <w:numPr>
          <w:ilvl w:val="2"/>
          <w:numId w:val="1016"/>
        </w:numPr>
      </w:pPr>
      <w:r>
        <w:t xml:space="preserve">Body size:</w:t>
      </w:r>
      <w:r>
        <w:t xml:space="preserve"> </w:t>
      </w:r>
      <w:r>
        <w:t xml:space="preserve">Herberstein et al. (2022)</w:t>
      </w:r>
      <w:r>
        <w:t xml:space="preserve"> </w:t>
      </w:r>
      <w:r>
        <w:t xml:space="preserve">- Although maybe Andrew has strong thotsTM RE the one true body size database to rule them all…</w:t>
      </w:r>
    </w:p>
    <w:p>
      <w:pPr>
        <w:pStyle w:val="Compact"/>
        <w:numPr>
          <w:ilvl w:val="2"/>
          <w:numId w:val="1016"/>
        </w:numPr>
      </w:pPr>
      <w:r>
        <w:t xml:space="preserve">Other trait sources:</w:t>
      </w:r>
      <w:r>
        <w:t xml:space="preserve"> </w:t>
      </w:r>
      <w:r>
        <w:t xml:space="preserve">Wilman et al. (2014)</w:t>
      </w:r>
      <w:r>
        <w:t xml:space="preserve"> </w:t>
      </w:r>
      <w:r>
        <w:t xml:space="preserve">and</w:t>
      </w:r>
      <w:r>
        <w:t xml:space="preserve"> </w:t>
      </w:r>
      <w:r>
        <w:t xml:space="preserve">Jones et al. (2009)</w:t>
      </w:r>
    </w:p>
    <w:p>
      <w:pPr>
        <w:pStyle w:val="Compact"/>
        <w:numPr>
          <w:ilvl w:val="2"/>
          <w:numId w:val="1016"/>
        </w:numPr>
      </w:pPr>
      <w:r>
        <w:t xml:space="preserve">This is where we’ll get the paleo traits from if I’m correct</w:t>
      </w:r>
      <w:r>
        <w:t xml:space="preserve"> </w:t>
      </w:r>
      <w:r>
        <w:t xml:space="preserve">Bambach, Bush, and Erwin (2007)</w:t>
      </w:r>
    </w:p>
    <w:p>
      <w:pPr>
        <w:pStyle w:val="Compact"/>
        <w:numPr>
          <w:ilvl w:val="2"/>
          <w:numId w:val="1016"/>
        </w:numPr>
      </w:pPr>
      <w:r>
        <w:t xml:space="preserve">Phylogeny stuff:</w:t>
      </w:r>
      <w:r>
        <w:t xml:space="preserve"> </w:t>
      </w:r>
      <w:r>
        <w:t xml:space="preserve">Upham, Esselstyn, and Jetz (2019)</w:t>
      </w:r>
      <w:r>
        <w:t xml:space="preserve"> </w:t>
      </w:r>
      <w:r>
        <w:t xml:space="preserve">(what we used for TL but its only mammals…) but I’m sure there will be others</w:t>
      </w:r>
    </w:p>
    <w:p>
      <w:pPr>
        <w:pStyle w:val="Compact"/>
        <w:numPr>
          <w:ilvl w:val="1"/>
          <w:numId w:val="1015"/>
        </w:numPr>
      </w:pPr>
      <w:r>
        <w:t xml:space="preserve">Also limitation of scope…</w:t>
      </w:r>
      <w:r>
        <w:t xml:space="preserve"> </w:t>
      </w:r>
      <w:r>
        <w:rPr>
          <w:i/>
          <w:iCs/>
        </w:rPr>
        <w:t xml:space="preserve">e.g.,</w:t>
      </w:r>
      <w:r>
        <w:t xml:space="preserve"> </w:t>
      </w:r>
      <w:r>
        <w:t xml:space="preserve">do we even dare to think about including plants/basal producers (see</w:t>
      </w:r>
      <w:r>
        <w:t xml:space="preserve"> </w:t>
      </w:r>
      <w:r>
        <w:rPr>
          <w:i/>
          <w:iCs/>
        </w:rPr>
        <w:t xml:space="preserve">e.g.,</w:t>
      </w:r>
      <w:r>
        <w:t xml:space="preserve"> </w:t>
      </w:r>
      <w:r>
        <w:t xml:space="preserve">Valdovinos et al. (2023)</w:t>
      </w:r>
      <w:r>
        <w:t xml:space="preserve">)</w:t>
      </w:r>
    </w:p>
    <w:p>
      <w:pPr>
        <w:pStyle w:val="Compact"/>
        <w:numPr>
          <w:ilvl w:val="1"/>
          <w:numId w:val="1015"/>
        </w:numPr>
      </w:pPr>
      <w:r>
        <w:t xml:space="preserve">Taxonomic harmonisation - something to think about and check</w:t>
      </w:r>
    </w:p>
    <w:bookmarkEnd w:id="37"/>
    <w:bookmarkEnd w:id="38"/>
    <w:bookmarkEnd w:id="39"/>
    <w:bookmarkStart w:id="50" w:name="results"/>
    <w:p>
      <w:pPr>
        <w:pStyle w:val="Heading2"/>
      </w:pPr>
      <w:r>
        <w:t xml:space="preserve">5 Results</w:t>
      </w:r>
    </w:p>
    <w:p>
      <w:pPr>
        <w:pStyle w:val="FirstParagraph"/>
      </w:pPr>
      <w:r>
        <w:t xml:space="preserve">Joel E. Cohen, Newman, and Steele (1985)</w:t>
      </w:r>
      <w:r>
        <w:t xml:space="preserve"> </w:t>
      </w:r>
      <w:r>
        <w:t xml:space="preserve">actually tells us that the cascade model only really works for communities that range from 3-33 species… and</w:t>
      </w:r>
      <w:r>
        <w:t xml:space="preserve"> </w:t>
      </w:r>
      <w:r>
        <w:t xml:space="preserve">Williams and Martinez (2008)</w:t>
      </w:r>
      <w:r>
        <w:t xml:space="preserve"> </w:t>
      </w:r>
      <w:r>
        <w:t xml:space="preserve">also highlights how structural models really only work for small communities</w:t>
      </w:r>
    </w:p>
    <w:bookmarkStart w:id="43" w:name="qualitative-stuff"/>
    <w:p>
      <w:pPr>
        <w:pStyle w:val="Heading3"/>
      </w:pPr>
      <w:r>
        <w:t xml:space="preserve">5.1 Qualitative stuff</w:t>
      </w:r>
    </w:p>
    <w:p>
      <w:pPr>
        <w:pStyle w:val="FirstParagraph"/>
      </w:pPr>
      <w:r>
        <w:t xml:space="preserve">Maybe not the best term to use but thinking here about practical limitations of the different families. This can include thinking about:</w:t>
      </w:r>
    </w:p>
    <w:p>
      <w:pPr>
        <w:pStyle w:val="Compact"/>
        <w:numPr>
          <w:ilvl w:val="0"/>
          <w:numId w:val="1017"/>
        </w:numPr>
      </w:pPr>
      <w:r>
        <w:t xml:space="preserve">scale limitations (time or space);</w:t>
      </w:r>
      <w:r>
        <w:t xml:space="preserve"> </w:t>
      </w:r>
      <w:r>
        <w:rPr>
          <w:i/>
          <w:iCs/>
        </w:rPr>
        <w:t xml:space="preserve">e.g.,</w:t>
      </w:r>
      <w:r>
        <w:t xml:space="preserve"> </w:t>
      </w:r>
      <w:r>
        <w:t xml:space="preserve">a metaweb is going to encapsulate but not distinguish between different seasons or locations</w:t>
      </w:r>
    </w:p>
    <w:p>
      <w:pPr>
        <w:pStyle w:val="Compact"/>
        <w:numPr>
          <w:ilvl w:val="0"/>
          <w:numId w:val="1017"/>
        </w:numPr>
      </w:pPr>
      <w:r>
        <w:t xml:space="preserve">data needed. I think this can be in the form of real world datasets (</w:t>
      </w:r>
      <w:r>
        <w:rPr>
          <w:i/>
          <w:iCs/>
        </w:rPr>
        <w:t xml:space="preserve">e.g.,</w:t>
      </w:r>
      <w:r>
        <w:t xml:space="preserve"> </w:t>
      </w:r>
      <w:r>
        <w:t xml:space="preserve">traits) but also</w:t>
      </w:r>
      <w:r>
        <w:t xml:space="preserve"> </w:t>
      </w:r>
      <w:r>
        <w:rPr>
          <w:i/>
          <w:iCs/>
        </w:rPr>
        <w:t xml:space="preserve">a priori</w:t>
      </w:r>
      <w:r>
        <w:t xml:space="preserve"> </w:t>
      </w:r>
      <w:r>
        <w:t xml:space="preserve">knowledge (</w:t>
      </w:r>
      <w:r>
        <w:rPr>
          <w:i/>
          <w:iCs/>
        </w:rPr>
        <w:t xml:space="preserve">e.g.,</w:t>
      </w:r>
      <w:r>
        <w:t xml:space="preserve"> </w:t>
      </w:r>
      <w:r>
        <w:t xml:space="preserve">having to define the constraints of a niche model)</w:t>
      </w:r>
    </w:p>
    <w:p>
      <w:pPr>
        <w:pStyle w:val="Compact"/>
        <w:numPr>
          <w:ilvl w:val="0"/>
          <w:numId w:val="1017"/>
        </w:numPr>
      </w:pPr>
      <w:r>
        <w:t xml:space="preserve">computational costs</w:t>
      </w:r>
    </w:p>
    <w:p>
      <w:pPr>
        <w:pStyle w:val="CaptionedFigure"/>
      </w:pPr>
      <w:r>
        <w:drawing>
          <wp:inline>
            <wp:extent cx="5334000" cy="3725758"/>
            <wp:effectExtent b="0" l="0" r="0" t="0"/>
            <wp:docPr descr="I still haven’t given up on a sort of venn diagram idea but maybe it going to be more of a venn-flow chart hybrid…" title="" id="41" name="Picture"/>
            <a:graphic>
              <a:graphicData uri="http://schemas.openxmlformats.org/drawingml/2006/picture">
                <pic:pic>
                  <pic:nvPicPr>
                    <pic:cNvPr descr="images/model_venn.png" id="42" name="Picture"/>
                    <pic:cNvPicPr>
                      <a:picLocks noChangeArrowheads="1" noChangeAspect="1"/>
                    </pic:cNvPicPr>
                  </pic:nvPicPr>
                  <pic:blipFill>
                    <a:blip r:embed="rId40"/>
                    <a:stretch>
                      <a:fillRect/>
                    </a:stretch>
                  </pic:blipFill>
                  <pic:spPr bwMode="auto">
                    <a:xfrm>
                      <a:off x="0" y="0"/>
                      <a:ext cx="5334000" cy="3725758"/>
                    </a:xfrm>
                    <a:prstGeom prst="rect">
                      <a:avLst/>
                    </a:prstGeom>
                    <a:noFill/>
                    <a:ln w="9525">
                      <a:noFill/>
                      <a:headEnd/>
                      <a:tailEnd/>
                    </a:ln>
                  </pic:spPr>
                </pic:pic>
              </a:graphicData>
            </a:graphic>
          </wp:inline>
        </w:drawing>
      </w:r>
    </w:p>
    <w:p>
      <w:pPr>
        <w:pStyle w:val="ImageCaption"/>
      </w:pPr>
      <w:r>
        <w:t xml:space="preserve">I still haven’t given up on a sort of venn diagram idea but maybe it going to be more of a venn-flow chart hybrid…</w:t>
      </w:r>
    </w:p>
    <w:bookmarkEnd w:id="43"/>
    <w:bookmarkStart w:id="49" w:name="quantitative-stuff"/>
    <w:p>
      <w:pPr>
        <w:pStyle w:val="Heading3"/>
      </w:pPr>
      <w:r>
        <w:t xml:space="preserve">5.2 Quantitative stuff</w:t>
      </w:r>
    </w:p>
    <w:tbl>
      <w:tblPr>
        <w:tblStyle w:val="Table"/>
        <w:tblW w:type="pct" w:w="5000"/>
        <w:jc w:val="left"/>
        <w:tblLayout w:type="fixed"/>
        <w:tblLook w:firstRow="0" w:lastRow="0" w:firstColumn="0" w:lastColumn="0" w:noHBand="0" w:noVBand="0" w:val="0000"/>
      </w:tblPr>
      <w:tblGrid>
        <w:gridCol w:w="7920"/>
      </w:tblGrid>
      <w:tr>
        <w:tc>
          <w:tcPr/>
          <w:bookmarkStart w:id="47" w:name="fig-topology"/>
          <w:p>
            <w:pPr>
              <w:pStyle w:val="Compact"/>
              <w:jc w:val="center"/>
            </w:pPr>
            <w:r>
              <w:drawing>
                <wp:inline>
                  <wp:extent cx="5334000" cy="3810000"/>
                  <wp:effectExtent b="0" l="0" r="0" t="0"/>
                  <wp:docPr descr="" title="" id="45" name="Picture"/>
                  <a:graphic>
                    <a:graphicData uri="http://schemas.openxmlformats.org/drawingml/2006/picture">
                      <pic:pic>
                        <pic:nvPicPr>
                          <pic:cNvPr descr="index_files/figure-docx/notebooks-model_quantitative-fig-topology-output-2.png" id="46" name="Picture"/>
                          <pic:cNvPicPr>
                            <a:picLocks noChangeArrowheads="1" noChangeAspect="1"/>
                          </pic:cNvPicPr>
                        </pic:nvPicPr>
                        <pic:blipFill>
                          <a:blip r:embed="rId4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Z-scores for network summary statistics. Negative Z-scores indicate a (mean) value greater than expected. S1 - S5 represent the different motif structures identified in @</w:t>
            </w:r>
            <w:r>
              <w:t xml:space="preserve">Stouffer et al. (2007)</w:t>
            </w:r>
            <w:r>
              <w:t xml:space="preserve"> </w:t>
            </w:r>
            <w:r>
              <w:t xml:space="preserve">The magnitude of Z-score probably also tells us how</w:t>
            </w:r>
            <w:r>
              <w:t xml:space="preserve"> </w:t>
            </w:r>
            <w:r>
              <w:t xml:space="preserve">‘</w:t>
            </w:r>
            <w:r>
              <w:t xml:space="preserve">variable</w:t>
            </w:r>
            <w:r>
              <w:t xml:space="preserve">’</w:t>
            </w:r>
            <w:r>
              <w:t xml:space="preserve">/constrained the model is…</w:t>
            </w:r>
          </w:p>
          <w:bookmarkEnd w:id="47"/>
        </w:tc>
      </w:tr>
    </w:tbl>
    <w:p>
      <w:pPr>
        <w:pStyle w:val="BodyText"/>
      </w:pPr>
      <w:r>
        <w:rPr>
          <w:vertAlign w:val="subscript"/>
        </w:rPr>
        <w:t xml:space="preserve">Source:</w:t>
      </w:r>
      <w:r>
        <w:rPr>
          <w:vertAlign w:val="subscript"/>
        </w:rPr>
        <w:t xml:space="preserve"> </w:t>
      </w:r>
      <w:hyperlink r:id="rId48">
        <w:r>
          <w:rPr>
            <w:rStyle w:val="Hyperlink"/>
            <w:vertAlign w:val="subscript"/>
          </w:rPr>
          <w:t xml:space="preserve">Article Notebook</w:t>
        </w:r>
      </w:hyperlink>
    </w:p>
    <w:p>
      <w:pPr>
        <w:pStyle w:val="BodyText"/>
      </w:pPr>
      <w:r>
        <w:t xml:space="preserve">This might actually be an awful way to try and summarise the data but rolling with it for now…</w:t>
      </w:r>
    </w:p>
    <w:bookmarkEnd w:id="49"/>
    <w:bookmarkEnd w:id="50"/>
    <w:bookmarkStart w:id="51" w:name="discussion"/>
    <w:p>
      <w:pPr>
        <w:pStyle w:val="Heading2"/>
      </w:pPr>
      <w:r>
        <w:t xml:space="preserve">6 Discussion</w:t>
      </w:r>
    </w:p>
    <w:p>
      <w:pPr>
        <w:numPr>
          <w:ilvl w:val="0"/>
          <w:numId w:val="101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1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1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9"/>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0"/>
          <w:numId w:val="1019"/>
        </w:numPr>
      </w:pPr>
      <w:r>
        <w:t xml:space="preserve">It will be interesting to bring up the idea that if a model is missing a specific pairwise link but doing well at the structural level then when does it matter?</w:t>
      </w:r>
    </w:p>
    <w:p>
      <w:pPr>
        <w:numPr>
          <w:ilvl w:val="0"/>
          <w:numId w:val="1019"/>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51"/>
    <w:bookmarkStart w:id="156"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8">
        <w:r>
          <w:rPr>
            <w:rStyle w:val="Hyperlink"/>
            <w:vertAlign w:val="subscript"/>
          </w:rPr>
          <w:t xml:space="preserve">Article Notebook</w:t>
        </w:r>
      </w:hyperlink>
    </w:p>
    <w:bookmarkStart w:id="155" w:name="refs"/>
    <w:bookmarkStart w:id="5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52">
        <w:r>
          <w:rPr>
            <w:rStyle w:val="Hyperlink"/>
          </w:rPr>
          <w:t xml:space="preserve">https://doi.org/10.1126/science.1156269</w:t>
        </w:r>
      </w:hyperlink>
      <w:r>
        <w:t xml:space="preserve">.</w:t>
      </w:r>
    </w:p>
    <w:bookmarkEnd w:id="53"/>
    <w:bookmarkStart w:id="55" w:name="ref-bambachAutecologyFillingEcospace2007"/>
    <w:p>
      <w:pPr>
        <w:pStyle w:val="Bibliography"/>
      </w:pPr>
      <w:r>
        <w:t xml:space="preserve">Bambach, Richard K., Andrew M. Bush, and Douglas H. Erwin. 2007.</w:t>
      </w:r>
      <w:r>
        <w:t xml:space="preserve"> </w:t>
      </w:r>
      <w:r>
        <w:t xml:space="preserve">“Autecology and the</w:t>
      </w:r>
      <w:r>
        <w:t xml:space="preserve"> </w:t>
      </w:r>
      <w:r>
        <w:t xml:space="preserve">Filling</w:t>
      </w:r>
      <w:r>
        <w:t xml:space="preserve"> </w:t>
      </w:r>
      <w:r>
        <w:t xml:space="preserve">of</w:t>
      </w:r>
      <w:r>
        <w:t xml:space="preserve"> </w:t>
      </w:r>
      <w:r>
        <w:t xml:space="preserve">Ecospace</w:t>
      </w:r>
      <w:r>
        <w:t xml:space="preserve">:</w:t>
      </w:r>
      <w:r>
        <w:t xml:space="preserve"> </w:t>
      </w:r>
      <w:r>
        <w:t xml:space="preserve">Key Metazoan Radiations</w:t>
      </w:r>
      <w:r>
        <w:t xml:space="preserve">.”</w:t>
      </w:r>
      <w:r>
        <w:t xml:space="preserve"> </w:t>
      </w:r>
      <w:r>
        <w:rPr>
          <w:i/>
          <w:iCs/>
        </w:rPr>
        <w:t xml:space="preserve">Palaeontology</w:t>
      </w:r>
      <w:r>
        <w:t xml:space="preserve"> </w:t>
      </w:r>
      <w:r>
        <w:t xml:space="preserve">50 (1): 1–22.</w:t>
      </w:r>
      <w:r>
        <w:t xml:space="preserve"> </w:t>
      </w:r>
      <w:hyperlink r:id="rId54">
        <w:r>
          <w:rPr>
            <w:rStyle w:val="Hyperlink"/>
          </w:rPr>
          <w:t xml:space="preserve">https://doi.org/10.1111/j.1475-4983.2006.00611.x</w:t>
        </w:r>
      </w:hyperlink>
      <w:r>
        <w:t xml:space="preserve">.</w:t>
      </w:r>
    </w:p>
    <w:bookmarkEnd w:id="55"/>
    <w:bookmarkStart w:id="57"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56">
        <w:r>
          <w:rPr>
            <w:rStyle w:val="Hyperlink"/>
          </w:rPr>
          <w:t xml:space="preserve">https://doi.org/10.1371/journal.pcbi.1011458</w:t>
        </w:r>
      </w:hyperlink>
      <w:r>
        <w:t xml:space="preserve">.</w:t>
      </w:r>
    </w:p>
    <w:bookmarkEnd w:id="57"/>
    <w:bookmarkStart w:id="59"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58">
        <w:r>
          <w:rPr>
            <w:rStyle w:val="Hyperlink"/>
          </w:rPr>
          <w:t xml:space="preserve">https://doi.org/10.1073/pnas.1633576100</w:t>
        </w:r>
      </w:hyperlink>
      <w:r>
        <w:t xml:space="preserve">.</w:t>
      </w:r>
    </w:p>
    <w:bookmarkEnd w:id="59"/>
    <w:bookmarkStart w:id="6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60">
        <w:r>
          <w:rPr>
            <w:rStyle w:val="Hyperlink"/>
          </w:rPr>
          <w:t xml:space="preserve">https://doi.org/10.1073/pnas.0603039103</w:t>
        </w:r>
      </w:hyperlink>
      <w:r>
        <w:t xml:space="preserve">.</w:t>
      </w:r>
    </w:p>
    <w:bookmarkEnd w:id="61"/>
    <w:bookmarkStart w:id="6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62">
        <w:r>
          <w:rPr>
            <w:rStyle w:val="Hyperlink"/>
          </w:rPr>
          <w:t xml:space="preserve">https://doi.org/10.1073/pnas.0800967105</w:t>
        </w:r>
      </w:hyperlink>
      <w:r>
        <w:t xml:space="preserve">.</w:t>
      </w:r>
    </w:p>
    <w:bookmarkEnd w:id="63"/>
    <w:bookmarkStart w:id="65" w:name="ref-caronTraitmatchingModelsPredict2024"/>
    <w:p>
      <w:pPr>
        <w:pStyle w:val="Bibliography"/>
      </w:pPr>
      <w:r>
        <w:t xml:space="preserve">Caron, Dominique, Ulrich Brose, Miguel Lurgi, F. Guillaume Blanchet, Dominique Gravel, and Laura J. Pollock. 2024.</w:t>
      </w:r>
      <w:r>
        <w:t xml:space="preserve"> </w:t>
      </w:r>
      <w:r>
        <w:t xml:space="preserve">“Trait-Matching Models Predict Pairwise Interactions Across Regions, Not Food Web Properties.”</w:t>
      </w:r>
      <w:r>
        <w:t xml:space="preserve"> </w:t>
      </w:r>
      <w:r>
        <w:rPr>
          <w:i/>
          <w:iCs/>
        </w:rPr>
        <w:t xml:space="preserve">Global Ecology and Biogeography</w:t>
      </w:r>
      <w:r>
        <w:t xml:space="preserve"> </w:t>
      </w:r>
      <w:r>
        <w:t xml:space="preserve">33 (4): e13807.</w:t>
      </w:r>
      <w:r>
        <w:t xml:space="preserve"> </w:t>
      </w:r>
      <w:hyperlink r:id="rId64">
        <w:r>
          <w:rPr>
            <w:rStyle w:val="Hyperlink"/>
          </w:rPr>
          <w:t xml:space="preserve">https://doi.org/10.1111/geb.13807</w:t>
        </w:r>
      </w:hyperlink>
      <w:r>
        <w:t xml:space="preserve">.</w:t>
      </w:r>
    </w:p>
    <w:bookmarkEnd w:id="65"/>
    <w:bookmarkStart w:id="6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66">
        <w:r>
          <w:rPr>
            <w:rStyle w:val="Hyperlink"/>
          </w:rPr>
          <w:t xml:space="preserve">https://doi.org/10.1111/ele.13966</w:t>
        </w:r>
      </w:hyperlink>
      <w:r>
        <w:t xml:space="preserve">.</w:t>
      </w:r>
    </w:p>
    <w:bookmarkEnd w:id="67"/>
    <w:bookmarkStart w:id="6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68">
        <w:r>
          <w:rPr>
            <w:rStyle w:val="Hyperlink"/>
          </w:rPr>
          <w:t xml:space="preserve">https://doi.org/10.1038/nature02327</w:t>
        </w:r>
      </w:hyperlink>
      <w:r>
        <w:t xml:space="preserve">.</w:t>
      </w:r>
    </w:p>
    <w:bookmarkEnd w:id="69"/>
    <w:bookmarkStart w:id="7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70">
        <w:r>
          <w:rPr>
            <w:rStyle w:val="Hyperlink"/>
          </w:rPr>
          <w:t xml:space="preserve">https://doi.org/10.1111/2041-210X.13180</w:t>
        </w:r>
      </w:hyperlink>
      <w:r>
        <w:t xml:space="preserve">.</w:t>
      </w:r>
    </w:p>
    <w:bookmarkEnd w:id="71"/>
    <w:bookmarkStart w:id="72"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72"/>
    <w:bookmarkStart w:id="74"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73">
        <w:r>
          <w:rPr>
            <w:rStyle w:val="Hyperlink"/>
          </w:rPr>
          <w:t xml:space="preserve">https://doi.org/10.1098/rspb.1985.0042</w:t>
        </w:r>
      </w:hyperlink>
      <w:r>
        <w:t xml:space="preserve">.</w:t>
      </w:r>
    </w:p>
    <w:bookmarkEnd w:id="74"/>
    <w:bookmarkStart w:id="76"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75">
        <w:r>
          <w:rPr>
            <w:rStyle w:val="Hyperlink"/>
          </w:rPr>
          <w:t xml:space="preserve">https://doi.org/10.2307/1936298</w:t>
        </w:r>
      </w:hyperlink>
      <w:r>
        <w:t xml:space="preserve">.</w:t>
      </w:r>
    </w:p>
    <w:bookmarkEnd w:id="76"/>
    <w:bookmarkStart w:id="78"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77">
        <w:r>
          <w:rPr>
            <w:rStyle w:val="Hyperlink"/>
          </w:rPr>
          <w:t xml:space="preserve">https://doi.org/10.7717/peerj.3644</w:t>
        </w:r>
      </w:hyperlink>
      <w:r>
        <w:t xml:space="preserve">.</w:t>
      </w:r>
    </w:p>
    <w:bookmarkEnd w:id="78"/>
    <w:bookmarkStart w:id="79"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79"/>
    <w:bookmarkStart w:id="81"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80">
        <w:r>
          <w:rPr>
            <w:rStyle w:val="Hyperlink"/>
          </w:rPr>
          <w:t xml:space="preserve">https://doi.org/10.1371/journal.pbio.0060102</w:t>
        </w:r>
      </w:hyperlink>
      <w:r>
        <w:t xml:space="preserve">.</w:t>
      </w:r>
    </w:p>
    <w:bookmarkEnd w:id="81"/>
    <w:bookmarkStart w:id="83"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82">
        <w:r>
          <w:rPr>
            <w:rStyle w:val="Hyperlink"/>
          </w:rPr>
          <w:t xml:space="preserve">https://doi.org/10.1111/2041-210X.12062</w:t>
        </w:r>
      </w:hyperlink>
      <w:r>
        <w:t xml:space="preserve">.</w:t>
      </w:r>
    </w:p>
    <w:bookmarkEnd w:id="83"/>
    <w:bookmarkStart w:id="85" w:name="ref-erdosRandomGraphs1959"/>
    <w:p>
      <w:pPr>
        <w:pStyle w:val="Bibliography"/>
      </w:pPr>
      <w:r>
        <w:t xml:space="preserve">Erdős, Paul, and Alfréd Rényi. 1959.</w:t>
      </w:r>
      <w:r>
        <w:t xml:space="preserve"> </w:t>
      </w:r>
      <w:r>
        <w:t xml:space="preserve">“On</w:t>
      </w:r>
      <w:r>
        <w:t xml:space="preserve"> </w:t>
      </w:r>
      <w:r>
        <w:t xml:space="preserve">Random Graphs I</w:t>
      </w:r>
      <w:r>
        <w:t xml:space="preserve">.”</w:t>
      </w:r>
      <w:r>
        <w:t xml:space="preserve"> </w:t>
      </w:r>
      <w:r>
        <w:rPr>
          <w:i/>
          <w:iCs/>
        </w:rPr>
        <w:t xml:space="preserve">Publicationes Mathematicae</w:t>
      </w:r>
      <w:r>
        <w:t xml:space="preserve">.</w:t>
      </w:r>
      <w:r>
        <w:t xml:space="preserve"> </w:t>
      </w:r>
      <w:hyperlink r:id="rId84">
        <w:r>
          <w:rPr>
            <w:rStyle w:val="Hyperlink"/>
          </w:rPr>
          <w:t xml:space="preserve">https://doi.org/10.5486/PMD.1959.6.3-4.12</w:t>
        </w:r>
      </w:hyperlink>
      <w:r>
        <w:t xml:space="preserve">.</w:t>
      </w:r>
    </w:p>
    <w:bookmarkEnd w:id="85"/>
    <w:bookmarkStart w:id="87"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86">
        <w:r>
          <w:rPr>
            <w:rStyle w:val="Hyperlink"/>
          </w:rPr>
          <w:t xml:space="preserve">https://doi.org/10.1111/j.1461-0248.2005.00868.x</w:t>
        </w:r>
      </w:hyperlink>
      <w:r>
        <w:t xml:space="preserve">.</w:t>
      </w:r>
    </w:p>
    <w:bookmarkEnd w:id="87"/>
    <w:bookmarkStart w:id="89"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88">
        <w:r>
          <w:rPr>
            <w:rStyle w:val="Hyperlink"/>
          </w:rPr>
          <w:t xml:space="preserve">https://doi.org/10.1111/2041-210X.12103</w:t>
        </w:r>
      </w:hyperlink>
      <w:r>
        <w:t xml:space="preserve">.</w:t>
      </w:r>
    </w:p>
    <w:bookmarkEnd w:id="89"/>
    <w:bookmarkStart w:id="91"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90">
        <w:r>
          <w:rPr>
            <w:rStyle w:val="Hyperlink"/>
          </w:rPr>
          <w:t xml:space="preserve">https://doi.org/10.1016/j.fooweb.2015.09.001</w:t>
        </w:r>
      </w:hyperlink>
      <w:r>
        <w:t xml:space="preserve">.</w:t>
      </w:r>
    </w:p>
    <w:bookmarkEnd w:id="91"/>
    <w:bookmarkStart w:id="93" w:name="X71df985a3947d16253b3f31bba0a0cf887d8f0b"/>
    <w:p>
      <w:pPr>
        <w:pStyle w:val="Bibliography"/>
      </w:pPr>
      <w:r>
        <w:t xml:space="preserve">Herberstein, Marie E., Donald James McLean, Elizabeth Lowe, Jonas O. Wolff, Md Kawsar Khan, Kaitlyn Smith, Andrew P. Allen, et al. 2022.</w:t>
      </w:r>
      <w:r>
        <w:t xml:space="preserve"> </w:t>
      </w:r>
      <w:r>
        <w:t xml:space="preserve">“</w:t>
      </w:r>
      <w:r>
        <w:t xml:space="preserve">AnimalTraits</w:t>
      </w:r>
      <w:r>
        <w:t xml:space="preserve"> </w:t>
      </w:r>
      <w:r>
        <w:t xml:space="preserve">- a Curated Animal Trait Database for Body Mass, Metabolic Rate and Brain Size.”</w:t>
      </w:r>
      <w:r>
        <w:t xml:space="preserve"> </w:t>
      </w:r>
      <w:r>
        <w:rPr>
          <w:i/>
          <w:iCs/>
        </w:rPr>
        <w:t xml:space="preserve">Scientific Data</w:t>
      </w:r>
      <w:r>
        <w:t xml:space="preserve"> </w:t>
      </w:r>
      <w:r>
        <w:t xml:space="preserve">9 (1): 265.</w:t>
      </w:r>
      <w:r>
        <w:t xml:space="preserve"> </w:t>
      </w:r>
      <w:hyperlink r:id="rId92">
        <w:r>
          <w:rPr>
            <w:rStyle w:val="Hyperlink"/>
          </w:rPr>
          <w:t xml:space="preserve">https://doi.org/10.1038/s41597-022-01364-9</w:t>
        </w:r>
      </w:hyperlink>
      <w:r>
        <w:t xml:space="preserve">.</w:t>
      </w:r>
    </w:p>
    <w:bookmarkEnd w:id="93"/>
    <w:bookmarkStart w:id="95" w:name="X86d653ee97d7a95323716d8e0c0300171c8d8cb"/>
    <w:p>
      <w:pPr>
        <w:pStyle w:val="Bibliography"/>
      </w:pPr>
      <w:r>
        <w:t xml:space="preserve">Jones, Kate E., Jon Bielby, Marcel Cardillo, Susanne A. Fritz, Justin O’Dell, C. David L. Orme, Kamran Safi, et al. 2009.</w:t>
      </w:r>
      <w:r>
        <w:t xml:space="preserve"> </w:t>
      </w:r>
      <w:r>
        <w:t xml:space="preserve">“</w:t>
      </w:r>
      <w:r>
        <w:t xml:space="preserve">PanTHERIA</w:t>
      </w:r>
      <w:r>
        <w:t xml:space="preserve">: A Species-Level Database of Life History, Ecology, and Geography of Extant and Recently Extinct Mammals.”</w:t>
      </w:r>
      <w:r>
        <w:t xml:space="preserve"> </w:t>
      </w:r>
      <w:r>
        <w:rPr>
          <w:i/>
          <w:iCs/>
        </w:rPr>
        <w:t xml:space="preserve">Ecology</w:t>
      </w:r>
      <w:r>
        <w:t xml:space="preserve"> </w:t>
      </w:r>
      <w:r>
        <w:t xml:space="preserve">90 (9): 2648–48.</w:t>
      </w:r>
      <w:r>
        <w:t xml:space="preserve"> </w:t>
      </w:r>
      <w:hyperlink r:id="rId94">
        <w:r>
          <w:rPr>
            <w:rStyle w:val="Hyperlink"/>
          </w:rPr>
          <w:t xml:space="preserve">https://doi.org/10.1890/08-1494.1</w:t>
        </w:r>
      </w:hyperlink>
      <w:r>
        <w:t xml:space="preserve">.</w:t>
      </w:r>
    </w:p>
    <w:bookmarkEnd w:id="95"/>
    <w:bookmarkStart w:id="97"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96">
        <w:r>
          <w:rPr>
            <w:rStyle w:val="Hyperlink"/>
          </w:rPr>
          <w:t xml:space="preserve">https://doi.org/10.1371/journal.pbio.1002559</w:t>
        </w:r>
      </w:hyperlink>
      <w:r>
        <w:t xml:space="preserve">.</w:t>
      </w:r>
    </w:p>
    <w:bookmarkEnd w:id="97"/>
    <w:bookmarkStart w:id="99"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98">
        <w:r>
          <w:rPr>
            <w:rStyle w:val="Hyperlink"/>
          </w:rPr>
          <w:t xml:space="preserve">https://doi.org/10.1111/1365-2435.12763</w:t>
        </w:r>
      </w:hyperlink>
      <w:r>
        <w:t xml:space="preserve">.</w:t>
      </w:r>
    </w:p>
    <w:bookmarkEnd w:id="99"/>
    <w:bookmarkStart w:id="101"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0">
        <w:r>
          <w:rPr>
            <w:rStyle w:val="Hyperlink"/>
          </w:rPr>
          <w:t xml:space="preserve">https://doi.org/10.1111/ecog.06619</w:t>
        </w:r>
      </w:hyperlink>
      <w:r>
        <w:t xml:space="preserve">.</w:t>
      </w:r>
    </w:p>
    <w:bookmarkEnd w:id="101"/>
    <w:bookmarkStart w:id="103"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02">
        <w:r>
          <w:rPr>
            <w:rStyle w:val="Hyperlink"/>
          </w:rPr>
          <w:t xml:space="preserve">https://doi.org/10.1111/geb.13138</w:t>
        </w:r>
      </w:hyperlink>
      <w:r>
        <w:t xml:space="preserve">.</w:t>
      </w:r>
    </w:p>
    <w:bookmarkEnd w:id="103"/>
    <w:bookmarkStart w:id="105"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04">
        <w:r>
          <w:rPr>
            <w:rStyle w:val="Hyperlink"/>
          </w:rPr>
          <w:t xml:space="preserve">https://doi.org/10.1016/j.tree.2015.03.014</w:t>
        </w:r>
      </w:hyperlink>
      <w:r>
        <w:t xml:space="preserve">.</w:t>
      </w:r>
    </w:p>
    <w:bookmarkEnd w:id="105"/>
    <w:bookmarkStart w:id="106"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06"/>
    <w:bookmarkStart w:id="10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07">
        <w:r>
          <w:rPr>
            <w:rStyle w:val="Hyperlink"/>
          </w:rPr>
          <w:t xml:space="preserve">https://doi.org/10.1073/pnas.0710672105</w:t>
        </w:r>
      </w:hyperlink>
      <w:r>
        <w:t xml:space="preserve">.</w:t>
      </w:r>
    </w:p>
    <w:bookmarkEnd w:id="108"/>
    <w:bookmarkStart w:id="11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09">
        <w:r>
          <w:rPr>
            <w:rStyle w:val="Hyperlink"/>
          </w:rPr>
          <w:t xml:space="preserve">https://doi.org/10.1016/j.jtbi.2011.03.019</w:t>
        </w:r>
      </w:hyperlink>
      <w:r>
        <w:t xml:space="preserve">.</w:t>
      </w:r>
    </w:p>
    <w:bookmarkEnd w:id="110"/>
    <w:bookmarkStart w:id="112"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11">
        <w:r>
          <w:rPr>
            <w:rStyle w:val="Hyperlink"/>
          </w:rPr>
          <w:t xml:space="preserve">https://doi.org/10.1016/j.ecoinf.2014.08.005</w:t>
        </w:r>
      </w:hyperlink>
      <w:r>
        <w:t xml:space="preserve">.</w:t>
      </w:r>
    </w:p>
    <w:bookmarkEnd w:id="112"/>
    <w:bookmarkStart w:id="114"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13">
        <w:r>
          <w:rPr>
            <w:rStyle w:val="Hyperlink"/>
          </w:rPr>
          <w:t xml:space="preserve">https://doi.org/10.1111/2041-210X.14071</w:t>
        </w:r>
      </w:hyperlink>
      <w:r>
        <w:t xml:space="preserve">.</w:t>
      </w:r>
    </w:p>
    <w:bookmarkEnd w:id="114"/>
    <w:bookmarkStart w:id="116" w:name="ref-poisotMangalMakingEcological2016"/>
    <w:p>
      <w:pPr>
        <w:pStyle w:val="Bibliography"/>
      </w:pPr>
      <w:r>
        <w:t xml:space="preserve">Poisot, Timothée, Benjamin Baiser, Jennifer Dunne, Sonia Kéfi, François Massol, Nicolas Mouquet, Tamara N. Romanuk, Daniel B. Stouffer, Spencer A. Wood, and Dominique Gravel. 2016.</w:t>
      </w:r>
      <w:r>
        <w:t xml:space="preserve"> </w:t>
      </w:r>
      <w:r>
        <w:t xml:space="preserve">“Mangal – Making Ecological Network Analysis Simple.”</w:t>
      </w:r>
      <w:r>
        <w:t xml:space="preserve"> </w:t>
      </w:r>
      <w:r>
        <w:rPr>
          <w:i/>
          <w:iCs/>
        </w:rPr>
        <w:t xml:space="preserve">Ecography</w:t>
      </w:r>
      <w:r>
        <w:t xml:space="preserve"> </w:t>
      </w:r>
      <w:r>
        <w:t xml:space="preserve">39 (4): 384–90.</w:t>
      </w:r>
      <w:r>
        <w:t xml:space="preserve"> </w:t>
      </w:r>
      <w:hyperlink r:id="rId115">
        <w:r>
          <w:rPr>
            <w:rStyle w:val="Hyperlink"/>
          </w:rPr>
          <w:t xml:space="preserve">https://doi.org/10.1111/ecog.00976</w:t>
        </w:r>
      </w:hyperlink>
      <w:r>
        <w:t xml:space="preserve">.</w:t>
      </w:r>
    </w:p>
    <w:bookmarkEnd w:id="116"/>
    <w:bookmarkStart w:id="11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17">
        <w:r>
          <w:rPr>
            <w:rStyle w:val="Hyperlink"/>
          </w:rPr>
          <w:t xml:space="preserve">https://doi.org/10.1111/jbi.14127</w:t>
        </w:r>
      </w:hyperlink>
      <w:r>
        <w:t xml:space="preserve">.</w:t>
      </w:r>
    </w:p>
    <w:bookmarkEnd w:id="118"/>
    <w:bookmarkStart w:id="12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19">
        <w:r>
          <w:rPr>
            <w:rStyle w:val="Hyperlink"/>
          </w:rPr>
          <w:t xml:space="preserve">https://doi.org/10.1111/oik.01719</w:t>
        </w:r>
      </w:hyperlink>
      <w:r>
        <w:t xml:space="preserve">.</w:t>
      </w:r>
    </w:p>
    <w:bookmarkEnd w:id="120"/>
    <w:bookmarkStart w:id="122"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21">
        <w:r>
          <w:rPr>
            <w:rStyle w:val="Hyperlink"/>
          </w:rPr>
          <w:t xml:space="preserve">https://doi.org/10.1111/2041-210X.13125</w:t>
        </w:r>
      </w:hyperlink>
      <w:r>
        <w:t xml:space="preserve">.</w:t>
      </w:r>
    </w:p>
    <w:bookmarkEnd w:id="122"/>
    <w:bookmarkStart w:id="124"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23">
        <w:r>
          <w:rPr>
            <w:rStyle w:val="Hyperlink"/>
          </w:rPr>
          <w:t xml:space="preserve">https://doi.org/10.1086/653667</w:t>
        </w:r>
      </w:hyperlink>
      <w:r>
        <w:t xml:space="preserve">.</w:t>
      </w:r>
    </w:p>
    <w:bookmarkEnd w:id="124"/>
    <w:bookmarkStart w:id="126"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25">
        <w:r>
          <w:rPr>
            <w:rStyle w:val="Hyperlink"/>
          </w:rPr>
          <w:t xml:space="preserve">https://doi.org/10.1101/2024.01.30.578036</w:t>
        </w:r>
      </w:hyperlink>
      <w:r>
        <w:t xml:space="preserve">.</w:t>
      </w:r>
    </w:p>
    <w:bookmarkEnd w:id="126"/>
    <w:bookmarkStart w:id="128" w:name="X03e9e0a0d566f92bb17f572b5d8593be755e14a"/>
    <w:p>
      <w:pPr>
        <w:pStyle w:val="Bibliography"/>
      </w:pPr>
      <w:r>
        <w:t xml:space="preserve">Staniczenko, Phillip P. A., Owen T. Lewis, Nick S. Jones, and Felix Reed-Tsochas. 2010.</w:t>
      </w:r>
      <w:r>
        <w:t xml:space="preserve"> </w:t>
      </w:r>
      <w:r>
        <w:t xml:space="preserve">“Structural Dynamics and Robustness of Food Webs.”</w:t>
      </w:r>
      <w:r>
        <w:t xml:space="preserve"> </w:t>
      </w:r>
      <w:r>
        <w:rPr>
          <w:i/>
          <w:iCs/>
        </w:rPr>
        <w:t xml:space="preserve">Ecology Letters</w:t>
      </w:r>
      <w:r>
        <w:t xml:space="preserve"> </w:t>
      </w:r>
      <w:r>
        <w:t xml:space="preserve">13 (7): 891–99.</w:t>
      </w:r>
      <w:r>
        <w:t xml:space="preserve"> </w:t>
      </w:r>
      <w:hyperlink r:id="rId127">
        <w:r>
          <w:rPr>
            <w:rStyle w:val="Hyperlink"/>
          </w:rPr>
          <w:t xml:space="preserve">https://doi.org/10.1111/j.1461-0248.2010.01485.x</w:t>
        </w:r>
      </w:hyperlink>
      <w:r>
        <w:t xml:space="preserve">.</w:t>
      </w:r>
    </w:p>
    <w:bookmarkEnd w:id="128"/>
    <w:bookmarkStart w:id="130"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29">
        <w:r>
          <w:rPr>
            <w:rStyle w:val="Hyperlink"/>
          </w:rPr>
          <w:t xml:space="preserve">https://doi.org/10.1098/rspb.2007.0571</w:t>
        </w:r>
      </w:hyperlink>
      <w:r>
        <w:t xml:space="preserve">.</w:t>
      </w:r>
    </w:p>
    <w:bookmarkEnd w:id="130"/>
    <w:bookmarkStart w:id="132"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31">
        <w:r>
          <w:rPr>
            <w:rStyle w:val="Hyperlink"/>
          </w:rPr>
          <w:t xml:space="preserve">https://doi.org/10.1111/2041-210X.13835</w:t>
        </w:r>
      </w:hyperlink>
      <w:r>
        <w:t xml:space="preserve">.</w:t>
      </w:r>
    </w:p>
    <w:bookmarkEnd w:id="132"/>
    <w:bookmarkStart w:id="134"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33">
        <w:r>
          <w:rPr>
            <w:rStyle w:val="Hyperlink"/>
          </w:rPr>
          <w:t xml:space="preserve">https://doi.org/10.1111/2041-210X.14228</w:t>
        </w:r>
      </w:hyperlink>
      <w:r>
        <w:t xml:space="preserve">.</w:t>
      </w:r>
    </w:p>
    <w:bookmarkEnd w:id="134"/>
    <w:bookmarkStart w:id="136"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35">
        <w:r>
          <w:rPr>
            <w:rStyle w:val="Hyperlink"/>
          </w:rPr>
          <w:t xml:space="preserve">https://doi.org/10.1098/rstb.2021.0063</w:t>
        </w:r>
      </w:hyperlink>
      <w:r>
        <w:t xml:space="preserve">.</w:t>
      </w:r>
    </w:p>
    <w:bookmarkEnd w:id="136"/>
    <w:bookmarkStart w:id="138" w:name="ref-strydomSVDEntropyReveals2021"/>
    <w:p>
      <w:pPr>
        <w:pStyle w:val="Bibliography"/>
      </w:pPr>
      <w:r>
        <w:t xml:space="preserve">Strydom, Tanya, Giulio V. Dalla Riva, and Timothée Poisot. 2021.</w:t>
      </w:r>
      <w:r>
        <w:t xml:space="preserve"> </w:t>
      </w:r>
      <w:r>
        <w:t xml:space="preserve">“</w:t>
      </w:r>
      <w:r>
        <w:t xml:space="preserve">SVD Entropy Reveals</w:t>
      </w:r>
      <w:r>
        <w:t xml:space="preserve"> </w:t>
      </w:r>
      <w:r>
        <w:t xml:space="preserve">the</w:t>
      </w:r>
      <w:r>
        <w:t xml:space="preserve"> </w:t>
      </w:r>
      <w:r>
        <w:t xml:space="preserve">High Complexity</w:t>
      </w:r>
      <w:r>
        <w:t xml:space="preserve"> </w:t>
      </w:r>
      <w:r>
        <w:t xml:space="preserve">of</w:t>
      </w:r>
      <w:r>
        <w:t xml:space="preserve"> </w:t>
      </w:r>
      <w:r>
        <w:t xml:space="preserve">Ecological Networks</w:t>
      </w:r>
      <w:r>
        <w:t xml:space="preserve">.”</w:t>
      </w:r>
      <w:r>
        <w:t xml:space="preserve"> </w:t>
      </w:r>
      <w:r>
        <w:rPr>
          <w:i/>
          <w:iCs/>
        </w:rPr>
        <w:t xml:space="preserve">Frontiers in Ecology and Evolution</w:t>
      </w:r>
      <w:r>
        <w:t xml:space="preserve"> </w:t>
      </w:r>
      <w:r>
        <w:t xml:space="preserve">9.</w:t>
      </w:r>
      <w:r>
        <w:t xml:space="preserve"> </w:t>
      </w:r>
      <w:hyperlink r:id="rId137">
        <w:r>
          <w:rPr>
            <w:rStyle w:val="Hyperlink"/>
          </w:rPr>
          <w:t xml:space="preserve">https://doi.org/10.3389/fevo.2021.623141</w:t>
        </w:r>
      </w:hyperlink>
      <w:r>
        <w:t xml:space="preserve">.</w:t>
      </w:r>
    </w:p>
    <w:bookmarkEnd w:id="138"/>
    <w:bookmarkStart w:id="140" w:name="ref-uphamInferringMammalTree2019"/>
    <w:p>
      <w:pPr>
        <w:pStyle w:val="Bibliography"/>
      </w:pPr>
      <w:r>
        <w:t xml:space="preserve">Upham, Nathan S., Jacob A. Esselstyn, and Walter Jetz. 2019.</w:t>
      </w:r>
      <w:r>
        <w:t xml:space="preserve"> </w:t>
      </w:r>
      <w:r>
        <w:t xml:space="preserve">“Inferring the Mammal Tree:</w:t>
      </w:r>
      <w:r>
        <w:t xml:space="preserve"> </w:t>
      </w:r>
      <w:r>
        <w:t xml:space="preserve">Species-level</w:t>
      </w:r>
      <w:r>
        <w:t xml:space="preserve"> </w:t>
      </w:r>
      <w:r>
        <w:t xml:space="preserve">Sets of Phylogenies for Questions in Ecology, Evolution, and Conservation.”</w:t>
      </w:r>
      <w:r>
        <w:t xml:space="preserve"> </w:t>
      </w:r>
      <w:r>
        <w:rPr>
          <w:i/>
          <w:iCs/>
        </w:rPr>
        <w:t xml:space="preserve">PLOS Biology</w:t>
      </w:r>
      <w:r>
        <w:t xml:space="preserve"> </w:t>
      </w:r>
      <w:r>
        <w:t xml:space="preserve">17 (12): e3000494.</w:t>
      </w:r>
      <w:r>
        <w:t xml:space="preserve"> </w:t>
      </w:r>
      <w:hyperlink r:id="rId139">
        <w:r>
          <w:rPr>
            <w:rStyle w:val="Hyperlink"/>
          </w:rPr>
          <w:t xml:space="preserve">https://doi.org/10.1371/journal.pbio.3000494</w:t>
        </w:r>
      </w:hyperlink>
      <w:r>
        <w:t xml:space="preserve">.</w:t>
      </w:r>
    </w:p>
    <w:bookmarkEnd w:id="140"/>
    <w:bookmarkStart w:id="142" w:name="X2cae758a57fb7b500a696ee22ace3d032a23796"/>
    <w:p>
      <w:pPr>
        <w:pStyle w:val="Bibliography"/>
      </w:pPr>
      <w:r>
        <w:t xml:space="preserve">Valdovinos, Fernanda S., Kayla R. S. Hale, Sabine Dritz, Paul R. Glaum, Kevin S. McCann, Sophia M. Simon, Elisa Thébault, William C. Wetzel, Kate L. Wootton, and Justin D. Yeakel. 2023.</w:t>
      </w:r>
      <w:r>
        <w:t xml:space="preserve"> </w:t>
      </w:r>
      <w:r>
        <w:t xml:space="preserve">“A Bioenergetic Framework for Aboveground Terrestrial Food Webs.”</w:t>
      </w:r>
      <w:r>
        <w:t xml:space="preserve"> </w:t>
      </w:r>
      <w:r>
        <w:rPr>
          <w:i/>
          <w:iCs/>
        </w:rPr>
        <w:t xml:space="preserve">Trends in Ecology &amp; Evolution</w:t>
      </w:r>
      <w:r>
        <w:t xml:space="preserve"> </w:t>
      </w:r>
      <w:r>
        <w:t xml:space="preserve">38 (3): 301–12.</w:t>
      </w:r>
      <w:r>
        <w:t xml:space="preserve"> </w:t>
      </w:r>
      <w:hyperlink r:id="rId141">
        <w:r>
          <w:rPr>
            <w:rStyle w:val="Hyperlink"/>
          </w:rPr>
          <w:t xml:space="preserve">https://doi.org/10.1016/j.tree.2022.11.004</w:t>
        </w:r>
      </w:hyperlink>
      <w:r>
        <w:t xml:space="preserve">.</w:t>
      </w:r>
    </w:p>
    <w:bookmarkEnd w:id="142"/>
    <w:bookmarkStart w:id="144"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43">
        <w:r>
          <w:rPr>
            <w:rStyle w:val="Hyperlink"/>
          </w:rPr>
          <w:t xml:space="preserve">https://www.ncbi.nlm.nih.gov/pubmed/19294932</w:t>
        </w:r>
      </w:hyperlink>
      <w:r>
        <w:t xml:space="preserve">.</w:t>
      </w:r>
    </w:p>
    <w:bookmarkEnd w:id="144"/>
    <w:bookmarkStart w:id="146" w:name="ref-williamsProbabilisticNicheModel2010"/>
    <w:p>
      <w:pPr>
        <w:pStyle w:val="Bibliography"/>
      </w:pPr>
      <w:r>
        <w:t xml:space="preserve">Williams, Richard J., Ananthi Anandanadesan, and Drew Purves. 2010.</w:t>
      </w:r>
      <w:r>
        <w:t xml:space="preserve"> </w:t>
      </w:r>
      <w:r>
        <w:t xml:space="preserve">“The</w:t>
      </w:r>
      <w:r>
        <w:t xml:space="preserve"> </w:t>
      </w:r>
      <w:r>
        <w:t xml:space="preserve">Probabilistic Niche Model Reveals</w:t>
      </w:r>
      <w:r>
        <w:t xml:space="preserve"> </w:t>
      </w:r>
      <w:r>
        <w:t xml:space="preserve">the</w:t>
      </w:r>
      <w:r>
        <w:t xml:space="preserve"> </w:t>
      </w:r>
      <w:r>
        <w:t xml:space="preserve">Niche Structure</w:t>
      </w:r>
      <w:r>
        <w:t xml:space="preserve"> </w:t>
      </w:r>
      <w:r>
        <w:t xml:space="preserve">and</w:t>
      </w:r>
      <w:r>
        <w:t xml:space="preserve"> </w:t>
      </w:r>
      <w:r>
        <w:t xml:space="preserve">Role</w:t>
      </w:r>
      <w:r>
        <w:t xml:space="preserve"> </w:t>
      </w:r>
      <w:r>
        <w:t xml:space="preserve">of</w:t>
      </w:r>
      <w:r>
        <w:t xml:space="preserve"> </w:t>
      </w:r>
      <w:r>
        <w:t xml:space="preserve">Body Size</w:t>
      </w:r>
      <w:r>
        <w:t xml:space="preserve"> </w:t>
      </w:r>
      <w:r>
        <w:t xml:space="preserve">in a</w:t>
      </w:r>
      <w:r>
        <w:t xml:space="preserve"> </w:t>
      </w:r>
      <w:r>
        <w:t xml:space="preserve">Complex Food Web</w:t>
      </w:r>
      <w:r>
        <w:t xml:space="preserve">.”</w:t>
      </w:r>
      <w:r>
        <w:t xml:space="preserve"> </w:t>
      </w:r>
      <w:r>
        <w:rPr>
          <w:i/>
          <w:iCs/>
        </w:rPr>
        <w:t xml:space="preserve">PLOS ONE</w:t>
      </w:r>
      <w:r>
        <w:t xml:space="preserve"> </w:t>
      </w:r>
      <w:r>
        <w:t xml:space="preserve">5 (8): e12092.</w:t>
      </w:r>
      <w:r>
        <w:t xml:space="preserve"> </w:t>
      </w:r>
      <w:hyperlink r:id="rId145">
        <w:r>
          <w:rPr>
            <w:rStyle w:val="Hyperlink"/>
          </w:rPr>
          <w:t xml:space="preserve">https://doi.org/10.1371/journal.pone.0012092</w:t>
        </w:r>
      </w:hyperlink>
      <w:r>
        <w:t xml:space="preserve">.</w:t>
      </w:r>
    </w:p>
    <w:bookmarkEnd w:id="146"/>
    <w:bookmarkStart w:id="148"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47">
        <w:r>
          <w:rPr>
            <w:rStyle w:val="Hyperlink"/>
          </w:rPr>
          <w:t xml:space="preserve">https://doi.org/10.1038/35004572</w:t>
        </w:r>
      </w:hyperlink>
      <w:r>
        <w:t xml:space="preserve">.</w:t>
      </w:r>
    </w:p>
    <w:bookmarkEnd w:id="148"/>
    <w:bookmarkStart w:id="150"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49">
        <w:r>
          <w:rPr>
            <w:rStyle w:val="Hyperlink"/>
          </w:rPr>
          <w:t xml:space="preserve">https://doi.org/10.1111/j.1365-2656.2008.01362.x</w:t>
        </w:r>
      </w:hyperlink>
      <w:r>
        <w:t xml:space="preserve">.</w:t>
      </w:r>
    </w:p>
    <w:bookmarkEnd w:id="150"/>
    <w:bookmarkStart w:id="152" w:name="X3fc2d14386dedf5f1ba7e24ee00e41a20bbf03b"/>
    <w:p>
      <w:pPr>
        <w:pStyle w:val="Bibliography"/>
      </w:pPr>
      <w:r>
        <w:t xml:space="preserve">Wilman, Hamish, Jonathan Belmaker, Jennifer Simpson, Carolina de la Rosa, Marcelo M. Rivadeneira, and Walter Jetz. 2014.</w:t>
      </w:r>
      <w:r>
        <w:t xml:space="preserve"> </w:t>
      </w:r>
      <w:r>
        <w:t xml:space="preserve">“</w:t>
      </w:r>
      <w:r>
        <w:t xml:space="preserve">EltonTraits</w:t>
      </w:r>
      <w:r>
        <w:t xml:space="preserve"> </w:t>
      </w:r>
      <w:r>
        <w:t xml:space="preserve">1.0:</w:t>
      </w:r>
      <w:r>
        <w:t xml:space="preserve"> </w:t>
      </w:r>
      <w:r>
        <w:t xml:space="preserve">Species-level</w:t>
      </w:r>
      <w:r>
        <w:t xml:space="preserve"> </w:t>
      </w:r>
      <w:r>
        <w:t xml:space="preserve">Foraging Attributes of the World’s Birds and Mammals.”</w:t>
      </w:r>
      <w:r>
        <w:t xml:space="preserve"> </w:t>
      </w:r>
      <w:r>
        <w:rPr>
          <w:i/>
          <w:iCs/>
        </w:rPr>
        <w:t xml:space="preserve">Ecology</w:t>
      </w:r>
      <w:r>
        <w:t xml:space="preserve"> </w:t>
      </w:r>
      <w:r>
        <w:t xml:space="preserve">95 (7): 2027–27.</w:t>
      </w:r>
      <w:r>
        <w:t xml:space="preserve"> </w:t>
      </w:r>
      <w:hyperlink r:id="rId151">
        <w:r>
          <w:rPr>
            <w:rStyle w:val="Hyperlink"/>
          </w:rPr>
          <w:t xml:space="preserve">https://doi.org/10.1890/13-1917.1</w:t>
        </w:r>
      </w:hyperlink>
      <w:r>
        <w:t xml:space="preserve">.</w:t>
      </w:r>
    </w:p>
    <w:bookmarkEnd w:id="152"/>
    <w:bookmarkStart w:id="154"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53">
        <w:r>
          <w:rPr>
            <w:rStyle w:val="Hyperlink"/>
          </w:rPr>
          <w:t xml:space="preserve">https://doi.org/10.1038/s41598-017-05585-6</w:t>
        </w:r>
      </w:hyperlink>
      <w:r>
        <w:t xml:space="preserve">.</w:t>
      </w:r>
    </w:p>
    <w:bookmarkEnd w:id="154"/>
    <w:bookmarkEnd w:id="155"/>
    <w:bookmarkEnd w:id="15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00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1"/>
  </w:num>
  <w:num w:numId="1018">
    <w:abstractNumId w:val="991"/>
  </w:num>
  <w:num w:numId="101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1" Target="https://doi.org/10.1016/j.tree.2022.11.004" TargetMode="External" /><Relationship Type="http://schemas.openxmlformats.org/officeDocument/2006/relationships/hyperlink" Id="rId147"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3"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3"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29" Target="https://doi.org/10.1098/rspb.2007.0571" TargetMode="External" /><Relationship Type="http://schemas.openxmlformats.org/officeDocument/2006/relationships/hyperlink" Id="rId135" Target="https://doi.org/10.1098/rstb.2021.0063" TargetMode="External" /><Relationship Type="http://schemas.openxmlformats.org/officeDocument/2006/relationships/hyperlink" Id="rId125"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1"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3"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49"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27"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39"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5" Target="https://doi.org/10.1371/journal.pone.0012092" TargetMode="External" /><Relationship Type="http://schemas.openxmlformats.org/officeDocument/2006/relationships/hyperlink" Id="rId94" Target="https://doi.org/10.1890/08-1494.1" TargetMode="External" /><Relationship Type="http://schemas.openxmlformats.org/officeDocument/2006/relationships/hyperlink" Id="rId151"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37"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3"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8" Target="https://BecksLab.github.io/ms_t_is_for_topology/index.qmd.html" TargetMode="External" /><Relationship Type="http://schemas.openxmlformats.org/officeDocument/2006/relationships/hyperlink" Id="rId111" Target="https://doi.org/10.1016/j.ecoinf.2014.08.005" TargetMode="External" /><Relationship Type="http://schemas.openxmlformats.org/officeDocument/2006/relationships/hyperlink" Id="rId90" Target="https://doi.org/10.1016/j.fooweb.2015.09.001" TargetMode="External" /><Relationship Type="http://schemas.openxmlformats.org/officeDocument/2006/relationships/hyperlink" Id="rId109" Target="https://doi.org/10.1016/j.jtbi.2011.03.019" TargetMode="External" /><Relationship Type="http://schemas.openxmlformats.org/officeDocument/2006/relationships/hyperlink" Id="rId104" Target="https://doi.org/10.1016/j.tree.2015.03.014" TargetMode="External" /><Relationship Type="http://schemas.openxmlformats.org/officeDocument/2006/relationships/hyperlink" Id="rId141" Target="https://doi.org/10.1016/j.tree.2022.11.004" TargetMode="External" /><Relationship Type="http://schemas.openxmlformats.org/officeDocument/2006/relationships/hyperlink" Id="rId147" Target="https://doi.org/10.1038/35004572" TargetMode="External" /><Relationship Type="http://schemas.openxmlformats.org/officeDocument/2006/relationships/hyperlink" Id="rId68" Target="https://doi.org/10.1038/nature02327" TargetMode="External" /><Relationship Type="http://schemas.openxmlformats.org/officeDocument/2006/relationships/hyperlink" Id="rId92" Target="https://doi.org/10.1038/s41597-022-01364-9" TargetMode="External" /><Relationship Type="http://schemas.openxmlformats.org/officeDocument/2006/relationships/hyperlink" Id="rId153" Target="https://doi.org/10.1038/s41598-017-05585-6" TargetMode="External" /><Relationship Type="http://schemas.openxmlformats.org/officeDocument/2006/relationships/hyperlink" Id="rId60" Target="https://doi.org/10.1073/pnas.0603039103" TargetMode="External" /><Relationship Type="http://schemas.openxmlformats.org/officeDocument/2006/relationships/hyperlink" Id="rId107" Target="https://doi.org/10.1073/pnas.0710672105" TargetMode="External" /><Relationship Type="http://schemas.openxmlformats.org/officeDocument/2006/relationships/hyperlink" Id="rId62" Target="https://doi.org/10.1073/pnas.0800967105" TargetMode="External" /><Relationship Type="http://schemas.openxmlformats.org/officeDocument/2006/relationships/hyperlink" Id="rId58" Target="https://doi.org/10.1073/pnas.1633576100" TargetMode="External" /><Relationship Type="http://schemas.openxmlformats.org/officeDocument/2006/relationships/hyperlink" Id="rId123" Target="https://doi.org/10.1086/653667" TargetMode="External" /><Relationship Type="http://schemas.openxmlformats.org/officeDocument/2006/relationships/hyperlink" Id="rId73" Target="https://doi.org/10.1098/rspb.1985.0042" TargetMode="External" /><Relationship Type="http://schemas.openxmlformats.org/officeDocument/2006/relationships/hyperlink" Id="rId129" Target="https://doi.org/10.1098/rspb.2007.0571" TargetMode="External" /><Relationship Type="http://schemas.openxmlformats.org/officeDocument/2006/relationships/hyperlink" Id="rId135" Target="https://doi.org/10.1098/rstb.2021.0063" TargetMode="External" /><Relationship Type="http://schemas.openxmlformats.org/officeDocument/2006/relationships/hyperlink" Id="rId125" Target="https://doi.org/10.1101/2024.01.30.578036" TargetMode="External" /><Relationship Type="http://schemas.openxmlformats.org/officeDocument/2006/relationships/hyperlink" Id="rId98" Target="https://doi.org/10.1111/1365-2435.12763" TargetMode="External" /><Relationship Type="http://schemas.openxmlformats.org/officeDocument/2006/relationships/hyperlink" Id="rId82" Target="https://doi.org/10.1111/2041-210X.12062" TargetMode="External" /><Relationship Type="http://schemas.openxmlformats.org/officeDocument/2006/relationships/hyperlink" Id="rId88" Target="https://doi.org/10.1111/2041-210X.12103" TargetMode="External" /><Relationship Type="http://schemas.openxmlformats.org/officeDocument/2006/relationships/hyperlink" Id="rId121" Target="https://doi.org/10.1111/2041-210X.13125" TargetMode="External" /><Relationship Type="http://schemas.openxmlformats.org/officeDocument/2006/relationships/hyperlink" Id="rId70" Target="https://doi.org/10.1111/2041-210X.13180" TargetMode="External" /><Relationship Type="http://schemas.openxmlformats.org/officeDocument/2006/relationships/hyperlink" Id="rId131" Target="https://doi.org/10.1111/2041-210X.13835" TargetMode="External" /><Relationship Type="http://schemas.openxmlformats.org/officeDocument/2006/relationships/hyperlink" Id="rId113" Target="https://doi.org/10.1111/2041-210X.14071" TargetMode="External" /><Relationship Type="http://schemas.openxmlformats.org/officeDocument/2006/relationships/hyperlink" Id="rId133" Target="https://doi.org/10.1111/2041-210X.14228" TargetMode="External" /><Relationship Type="http://schemas.openxmlformats.org/officeDocument/2006/relationships/hyperlink" Id="rId115" Target="https://doi.org/10.1111/ecog.00976" TargetMode="External" /><Relationship Type="http://schemas.openxmlformats.org/officeDocument/2006/relationships/hyperlink" Id="rId100" Target="https://doi.org/10.1111/ecog.06619" TargetMode="External" /><Relationship Type="http://schemas.openxmlformats.org/officeDocument/2006/relationships/hyperlink" Id="rId66" Target="https://doi.org/10.1111/ele.13966" TargetMode="External" /><Relationship Type="http://schemas.openxmlformats.org/officeDocument/2006/relationships/hyperlink" Id="rId102" Target="https://doi.org/10.1111/geb.13138" TargetMode="External" /><Relationship Type="http://schemas.openxmlformats.org/officeDocument/2006/relationships/hyperlink" Id="rId64" Target="https://doi.org/10.1111/geb.13807" TargetMode="External" /><Relationship Type="http://schemas.openxmlformats.org/officeDocument/2006/relationships/hyperlink" Id="rId149" Target="https://doi.org/10.1111/j.1365-2656.2008.01362.x" TargetMode="External" /><Relationship Type="http://schemas.openxmlformats.org/officeDocument/2006/relationships/hyperlink" Id="rId86" Target="https://doi.org/10.1111/j.1461-0248.2005.00868.x" TargetMode="External" /><Relationship Type="http://schemas.openxmlformats.org/officeDocument/2006/relationships/hyperlink" Id="rId127" Target="https://doi.org/10.1111/j.1461-0248.2010.01485.x" TargetMode="External" /><Relationship Type="http://schemas.openxmlformats.org/officeDocument/2006/relationships/hyperlink" Id="rId54" Target="https://doi.org/10.1111/j.1475-4983.2006.00611.x" TargetMode="External" /><Relationship Type="http://schemas.openxmlformats.org/officeDocument/2006/relationships/hyperlink" Id="rId117" Target="https://doi.org/10.1111/jbi.14127" TargetMode="External" /><Relationship Type="http://schemas.openxmlformats.org/officeDocument/2006/relationships/hyperlink" Id="rId119" Target="https://doi.org/10.1111/oik.01719" TargetMode="External" /><Relationship Type="http://schemas.openxmlformats.org/officeDocument/2006/relationships/hyperlink" Id="rId52" Target="https://doi.org/10.1126/science.1156269" TargetMode="External" /><Relationship Type="http://schemas.openxmlformats.org/officeDocument/2006/relationships/hyperlink" Id="rId80" Target="https://doi.org/10.1371/journal.pbio.0060102" TargetMode="External" /><Relationship Type="http://schemas.openxmlformats.org/officeDocument/2006/relationships/hyperlink" Id="rId96" Target="https://doi.org/10.1371/journal.pbio.1002559" TargetMode="External" /><Relationship Type="http://schemas.openxmlformats.org/officeDocument/2006/relationships/hyperlink" Id="rId139" Target="https://doi.org/10.1371/journal.pbio.3000494" TargetMode="External" /><Relationship Type="http://schemas.openxmlformats.org/officeDocument/2006/relationships/hyperlink" Id="rId56" Target="https://doi.org/10.1371/journal.pcbi.1011458" TargetMode="External" /><Relationship Type="http://schemas.openxmlformats.org/officeDocument/2006/relationships/hyperlink" Id="rId145" Target="https://doi.org/10.1371/journal.pone.0012092" TargetMode="External" /><Relationship Type="http://schemas.openxmlformats.org/officeDocument/2006/relationships/hyperlink" Id="rId94" Target="https://doi.org/10.1890/08-1494.1" TargetMode="External" /><Relationship Type="http://schemas.openxmlformats.org/officeDocument/2006/relationships/hyperlink" Id="rId151" Target="https://doi.org/10.1890/13-1917.1" TargetMode="External" /><Relationship Type="http://schemas.openxmlformats.org/officeDocument/2006/relationships/hyperlink" Id="rId75" Target="https://doi.org/10.2307/1936298" TargetMode="External" /><Relationship Type="http://schemas.openxmlformats.org/officeDocument/2006/relationships/hyperlink" Id="rId137" Target="https://doi.org/10.3389/fevo.2021.623141" TargetMode="External" /><Relationship Type="http://schemas.openxmlformats.org/officeDocument/2006/relationships/hyperlink" Id="rId84" Target="https://doi.org/10.5486/PMD.1959.6.3-4.12" TargetMode="External" /><Relationship Type="http://schemas.openxmlformats.org/officeDocument/2006/relationships/hyperlink" Id="rId77" Target="https://doi.org/10.7717/peerj.3644" TargetMode="External" /><Relationship Type="http://schemas.openxmlformats.org/officeDocument/2006/relationships/hyperlink" Id="rId34" Target="https://github.com/BecksLab/topology_generators" TargetMode="External" /><Relationship Type="http://schemas.openxmlformats.org/officeDocument/2006/relationships/hyperlink" Id="rId143"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2024-04-08T09:28:29Z</dcterms:created>
  <dcterms:modified xsi:type="dcterms:W3CDTF">2024-04-08T09:28:29Z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2024-04-08</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We want to know a bit more about the different network topology generators (prediction tools) and how they differ - i.e., their strengths and weaknesses</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