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2024-02-06</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make network predictions because 1. hard, 2. time (prehistoric mostly), and 3. probably something else meaningful that’s just slipping my mind at the moment.</w:t>
      </w:r>
    </w:p>
    <w:p>
      <w:pPr>
        <w:pStyle w:val="BodyText"/>
      </w:pPr>
      <w:r>
        <w:t xml:space="preserve">Maybe a brief history of the development of predictive tools? Sort of where the theory/body of work was based and how that has changed?</w:t>
      </w:r>
    </w:p>
    <w:p>
      <w:pPr>
        <w:pStyle w:val="BodyText"/>
      </w:pPr>
      <w:r>
        <w:t xml:space="preserve">Maybe start here already about discussing the core mechanistic differences that models will work at - some are really concerned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had the capacity to eat species</w:t>
      </w:r>
      <w:r>
        <w:t xml:space="preserve"> </w:t>
      </w:r>
      <w:r>
        <w:rPr>
          <w:iCs/>
          <w:i/>
        </w:rPr>
        <w:t xml:space="preserve">b</w:t>
      </w:r>
      <w:r>
        <w:t xml:space="preserv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latent space…</w:t>
      </w:r>
    </w:p>
    <w:p>
      <w:pPr>
        <w:pStyle w:val="BodyText"/>
      </w:pPr>
      <w:r>
        <w:t xml:space="preserve">At some point we are going to need to discuss the key difference and implication between a metaweb and a network realisation.</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delving into apples and pears type of comparisons. Especially since these work off of already existing networks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4"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770"/>
              <w:gridCol w:w="4286"/>
              <w:gridCol w:w="1863"/>
            </w:tblGrid>
            <w:tr>
              <w:trPr>
                <w:tblHeader w:val="true"/>
              </w:trPr>
              <w:tc>
                <w:tcPr/>
                <w:p>
                  <w:pPr>
                    <w:pStyle w:val="Compact"/>
                    <w:jc w:val="left"/>
                    <w:jc w:val="center"/>
                  </w:pPr>
                  <w:r>
                    <w:t xml:space="preserve">Model</w:t>
                  </w:r>
                </w:p>
              </w:tc>
              <w:tc>
                <w:tcPr/>
                <w:p>
                  <w:pPr>
                    <w:pStyle w:val="Compact"/>
                    <w:jc w:val="left"/>
                    <w:jc w:val="center"/>
                  </w:pPr>
                  <w:r>
                    <w:t xml:space="preserve">Reference</w:t>
                  </w:r>
                </w:p>
              </w:tc>
              <w:tc>
                <w:tcPr/>
                <w:p>
                  <w:pPr>
                    <w:pStyle w:val="Compact"/>
                    <w:jc w:val="left"/>
                    <w:jc w:val="center"/>
                  </w:pPr>
                  <w:r>
                    <w:t xml:space="preserve">Core Mechanism</w:t>
                  </w:r>
                </w:p>
              </w:tc>
            </w:tr>
            <w:tr>
              <w:tc>
                <w:tcPr/>
                <w:p>
                  <w:pPr>
                    <w:pStyle w:val="Compact"/>
                    <w:jc w:val="left"/>
                    <w:jc w:val="center"/>
                  </w:pPr>
                  <w:r>
                    <w:t xml:space="preserve">Niche model</w:t>
                  </w:r>
                </w:p>
              </w:tc>
              <w:tc>
                <w:tcPr/>
                <w:p>
                  <w:pPr>
                    <w:pStyle w:val="Compact"/>
                    <w:jc w:val="left"/>
                    <w:jc w:val="center"/>
                  </w:pPr>
                  <w:r>
                    <w:t xml:space="preserve">Cohen, Newman, and Steele (1997)</w:t>
                  </w:r>
                </w:p>
              </w:tc>
              <w:tc>
                <w:tcPr/>
                <w:p>
                  <w:pPr>
                    <w:pStyle w:val="Compact"/>
                    <w:jc w:val="left"/>
                    <w:jc w:val="center"/>
                  </w:pPr>
                  <w:r>
                    <w:t xml:space="preserve">structural</w:t>
                  </w:r>
                </w:p>
              </w:tc>
            </w:tr>
            <w:tr>
              <w:tc>
                <w:tcPr/>
                <w:p>
                  <w:pPr>
                    <w:pStyle w:val="Compact"/>
                    <w:jc w:val="left"/>
                    <w:jc w:val="center"/>
                  </w:pPr>
                  <w:r>
                    <w:t xml:space="preserve">Cascade model</w:t>
                  </w:r>
                </w:p>
              </w:tc>
              <w:tc>
                <w:tcPr/>
                <w:p>
                  <w:pPr>
                    <w:pStyle w:val="Compact"/>
                    <w:jc w:val="left"/>
                    <w:jc w:val="center"/>
                  </w:pPr>
                  <w:r>
                    <w:t xml:space="preserve">Williams and Martinez (2000)</w:t>
                  </w:r>
                </w:p>
              </w:tc>
              <w:tc>
                <w:tcPr/>
                <w:p>
                  <w:pPr>
                    <w:pStyle w:val="Compact"/>
                    <w:jc w:val="left"/>
                    <w:jc w:val="center"/>
                  </w:pPr>
                  <w:r>
                    <w:t xml:space="preserve">structural</w:t>
                  </w: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r>
            <w:tr>
              <w:tc>
                <w:tcPr/>
                <w:p>
                  <w:pPr>
                    <w:pStyle w:val="Compact"/>
                    <w:jc w:val="left"/>
                    <w:jc w:val="center"/>
                  </w:pPr>
                  <w:r>
                    <w:t xml:space="preserve">Transfer learning</w:t>
                  </w:r>
                </w:p>
              </w:tc>
              <w:tc>
                <w:tcPr/>
                <w:p>
                  <w:pPr>
                    <w:pStyle w:val="Compact"/>
                    <w:jc w:val="left"/>
                    <w:jc w:val="center"/>
                  </w:pPr>
                  <w:r>
                    <w:t xml:space="preserve">Strydom et al. (2022)</w:t>
                  </w:r>
                </w:p>
              </w:tc>
              <w:tc>
                <w:tcPr/>
                <w:p>
                  <w:pPr>
                    <w:pStyle w:val="Compact"/>
                    <w:jc w:val="left"/>
                    <w:jc w:val="center"/>
                  </w:pPr>
                  <w:r>
                    <w:t xml:space="preserve">latent trait space</w:t>
                  </w: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r>
          </w:tbl>
          <w:bookmarkEnd w:id="21"/>
          <w:p/>
        </w:tc>
      </w:tr>
    </w:tbl>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p>
    <w:bookmarkEnd w:id="23"/>
    <w:bookmarkEnd w:id="24"/>
    <w:bookmarkStart w:id="2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1"/>
        </w:numPr>
        <w:pStyle w:val="Compact"/>
      </w:pPr>
      <w:r>
        <w:t xml:space="preserve">Structural vs pairwise link predictions (graph vs node level)</w:t>
      </w:r>
    </w:p>
    <w:p>
      <w:pPr>
        <w:numPr>
          <w:ilvl w:val="1"/>
          <w:numId w:val="1002"/>
        </w:numPr>
        <w:pStyle w:val="Compact"/>
      </w:pPr>
      <w:r>
        <w:t xml:space="preserve">% of links correctly retrieved</w:t>
      </w:r>
    </w:p>
    <w:p>
      <w:pPr>
        <w:numPr>
          <w:ilvl w:val="1"/>
          <w:numId w:val="1002"/>
        </w:numPr>
        <w:pStyle w:val="Compact"/>
      </w:pPr>
      <w:r>
        <w:t xml:space="preserve">connectence</w:t>
      </w:r>
    </w:p>
    <w:p>
      <w:pPr>
        <w:numPr>
          <w:ilvl w:val="1"/>
          <w:numId w:val="1002"/>
        </w:numPr>
        <w:pStyle w:val="Compact"/>
      </w:pPr>
      <w:r>
        <w:t xml:space="preserve">trophic level</w:t>
      </w:r>
    </w:p>
    <w:p>
      <w:pPr>
        <w:numPr>
          <w:ilvl w:val="1"/>
          <w:numId w:val="1002"/>
        </w:numPr>
        <w:pStyle w:val="Compact"/>
      </w:pPr>
      <w:r>
        <w:t xml:space="preserve">generalism vs specialism</w:t>
      </w:r>
    </w:p>
    <w:p>
      <w:pPr>
        <w:numPr>
          <w:ilvl w:val="1"/>
          <w:numId w:val="1002"/>
        </w:numPr>
        <w:pStyle w:val="Compact"/>
      </w:pPr>
      <w:r>
        <w:t xml:space="preserve">something related to false positives/negatives</w:t>
      </w:r>
    </w:p>
    <w:p>
      <w:pPr>
        <w:numPr>
          <w:ilvl w:val="0"/>
          <w:numId w:val="1001"/>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1"/>
        </w:numPr>
        <w:pStyle w:val="Compact"/>
      </w:pPr>
      <w:r>
        <w:t xml:space="preserve">I think it would be remiss to also take into consideration computational cost</w:t>
      </w:r>
    </w:p>
    <w:bookmarkEnd w:id="25"/>
    <w:bookmarkStart w:id="26" w:name="conclusion"/>
    <w:p>
      <w:pPr>
        <w:pStyle w:val="Heading2"/>
      </w:pPr>
      <w:r>
        <w:t xml:space="preserve">4 Conclusion</w:t>
      </w:r>
    </w:p>
    <w:bookmarkEnd w:id="26"/>
    <w:bookmarkStart w:id="4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7" w:name="refs"/>
    <w:bookmarkStart w:id="28"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May.</w:t>
      </w:r>
    </w:p>
    <w:bookmarkEnd w:id="28"/>
    <w:bookmarkStart w:id="3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29">
        <w:r>
          <w:rPr>
            <w:rStyle w:val="Hyperlink"/>
          </w:rPr>
          <w:t xml:space="preserve">https://doi.org/10.1111/ele.13966</w:t>
        </w:r>
      </w:hyperlink>
      <w:r>
        <w:t xml:space="preserve">.</w:t>
      </w:r>
    </w:p>
    <w:bookmarkEnd w:id="30"/>
    <w:bookmarkStart w:id="3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31">
        <w:r>
          <w:rPr>
            <w:rStyle w:val="Hyperlink"/>
          </w:rPr>
          <w:t xml:space="preserve">https://doi.org/10.1038/nature02327</w:t>
        </w:r>
      </w:hyperlink>
      <w:r>
        <w:t xml:space="preserve">.</w:t>
      </w:r>
    </w:p>
    <w:bookmarkEnd w:id="32"/>
    <w:bookmarkStart w:id="34"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33">
        <w:r>
          <w:rPr>
            <w:rStyle w:val="Hyperlink"/>
          </w:rPr>
          <w:t xml:space="preserve">https://doi.org/10.1098/rspb.1985.0042</w:t>
        </w:r>
      </w:hyperlink>
      <w:r>
        <w:t xml:space="preserve">.</w:t>
      </w:r>
    </w:p>
    <w:bookmarkEnd w:id="34"/>
    <w:bookmarkStart w:id="36"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35">
        <w:r>
          <w:rPr>
            <w:rStyle w:val="Hyperlink"/>
          </w:rPr>
          <w:t xml:space="preserve">https://doi.org/10.1073/pnas.0710672105</w:t>
        </w:r>
      </w:hyperlink>
      <w:r>
        <w:t xml:space="preserve">.</w:t>
      </w:r>
    </w:p>
    <w:bookmarkEnd w:id="36"/>
    <w:bookmarkStart w:id="3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37">
        <w:r>
          <w:rPr>
            <w:rStyle w:val="Hyperlink"/>
          </w:rPr>
          <w:t xml:space="preserve">https://doi.org/10.1086/653667</w:t>
        </w:r>
      </w:hyperlink>
      <w:r>
        <w:t xml:space="preserve">.</w:t>
      </w:r>
    </w:p>
    <w:bookmarkEnd w:id="38"/>
    <w:bookmarkStart w:id="4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39">
        <w:r>
          <w:rPr>
            <w:rStyle w:val="Hyperlink"/>
          </w:rPr>
          <w:t xml:space="preserve">https://doi.org/10.1016/j.jtbi.2005.12.021</w:t>
        </w:r>
      </w:hyperlink>
      <w:r>
        <w:t xml:space="preserve">.</w:t>
      </w:r>
    </w:p>
    <w:bookmarkEnd w:id="40"/>
    <w:bookmarkStart w:id="4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41">
        <w:r>
          <w:rPr>
            <w:rStyle w:val="Hyperlink"/>
          </w:rPr>
          <w:t xml:space="preserve">https://doi.org/10.1101/2024.01.30.578036</w:t>
        </w:r>
      </w:hyperlink>
      <w:r>
        <w:t xml:space="preserve">.</w:t>
      </w:r>
    </w:p>
    <w:bookmarkEnd w:id="42"/>
    <w:bookmarkStart w:id="44"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43">
        <w:r>
          <w:rPr>
            <w:rStyle w:val="Hyperlink"/>
          </w:rPr>
          <w:t xml:space="preserve">https://doi.org/10.1111/2041-210X.13835</w:t>
        </w:r>
      </w:hyperlink>
      <w:r>
        <w:t xml:space="preserve">.</w:t>
      </w:r>
    </w:p>
    <w:bookmarkEnd w:id="44"/>
    <w:bookmarkStart w:id="4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45">
        <w:r>
          <w:rPr>
            <w:rStyle w:val="Hyperlink"/>
          </w:rPr>
          <w:t xml:space="preserve">https://doi.org/10.1038/35004572</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BecksLab.github.io/ms_t_is_for_topology/index.qmd.html" TargetMode="External" /><Relationship Type="http://schemas.openxmlformats.org/officeDocument/2006/relationships/hyperlink" Id="rId39" Target="https://doi.org/10.1016/j.jtbi.2005.12.021" TargetMode="External" /><Relationship Type="http://schemas.openxmlformats.org/officeDocument/2006/relationships/hyperlink" Id="rId45" Target="https://doi.org/10.1038/35004572" TargetMode="External" /><Relationship Type="http://schemas.openxmlformats.org/officeDocument/2006/relationships/hyperlink" Id="rId31" Target="https://doi.org/10.1038/nature02327" TargetMode="External" /><Relationship Type="http://schemas.openxmlformats.org/officeDocument/2006/relationships/hyperlink" Id="rId35" Target="https://doi.org/10.1073/pnas.0710672105" TargetMode="External" /><Relationship Type="http://schemas.openxmlformats.org/officeDocument/2006/relationships/hyperlink" Id="rId37" Target="https://doi.org/10.1086/653667" TargetMode="External" /><Relationship Type="http://schemas.openxmlformats.org/officeDocument/2006/relationships/hyperlink" Id="rId33" Target="https://doi.org/10.1098/rspb.1985.0042" TargetMode="External" /><Relationship Type="http://schemas.openxmlformats.org/officeDocument/2006/relationships/hyperlink" Id="rId41" Target="https://doi.org/10.1101/2024.01.30.578036" TargetMode="External" /><Relationship Type="http://schemas.openxmlformats.org/officeDocument/2006/relationships/hyperlink" Id="rId43" Target="https://doi.org/10.1111/2041-210X.13835" TargetMode="External" /><Relationship Type="http://schemas.openxmlformats.org/officeDocument/2006/relationships/hyperlink" Id="rId29" Target="https://doi.org/10.1111/ele.13966" TargetMode="External" /></Relationships>
</file>

<file path=word/_rels/footnotes.xml.rels><?xml version="1.0" encoding="UTF-8"?><Relationships xmlns="http://schemas.openxmlformats.org/package/2006/relationships"><Relationship Type="http://schemas.openxmlformats.org/officeDocument/2006/relationships/hyperlink" Id="rId27" Target="https://BecksLab.github.io/ms_t_is_for_topology/index.qmd.html" TargetMode="External" /><Relationship Type="http://schemas.openxmlformats.org/officeDocument/2006/relationships/hyperlink" Id="rId39" Target="https://doi.org/10.1016/j.jtbi.2005.12.021" TargetMode="External" /><Relationship Type="http://schemas.openxmlformats.org/officeDocument/2006/relationships/hyperlink" Id="rId45" Target="https://doi.org/10.1038/35004572" TargetMode="External" /><Relationship Type="http://schemas.openxmlformats.org/officeDocument/2006/relationships/hyperlink" Id="rId31" Target="https://doi.org/10.1038/nature02327" TargetMode="External" /><Relationship Type="http://schemas.openxmlformats.org/officeDocument/2006/relationships/hyperlink" Id="rId35" Target="https://doi.org/10.1073/pnas.0710672105" TargetMode="External" /><Relationship Type="http://schemas.openxmlformats.org/officeDocument/2006/relationships/hyperlink" Id="rId37" Target="https://doi.org/10.1086/653667" TargetMode="External" /><Relationship Type="http://schemas.openxmlformats.org/officeDocument/2006/relationships/hyperlink" Id="rId33" Target="https://doi.org/10.1098/rspb.1985.0042" TargetMode="External" /><Relationship Type="http://schemas.openxmlformats.org/officeDocument/2006/relationships/hyperlink" Id="rId41" Target="https://doi.org/10.1101/2024.01.30.578036" TargetMode="External" /><Relationship Type="http://schemas.openxmlformats.org/officeDocument/2006/relationships/hyperlink" Id="rId43" Target="https://doi.org/10.1111/2041-210X.13835" TargetMode="External" /><Relationship Type="http://schemas.openxmlformats.org/officeDocument/2006/relationships/hyperlink" Id="rId29" Target="https://doi.org/10.1111/ele.139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2024-02-06T12:56:50Z</dcterms:created>
  <dcterms:modified xsi:type="dcterms:W3CDTF">2024-02-06T12:56:50Z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