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2024-05-14</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[24]</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[25,26]</w:t>
      </w:r>
      <w:r>
        <w:t xml:space="preserve">, using pairwise interactions to understand species distributions</w:t>
      </w:r>
      <w:r>
        <w:t xml:space="preserve"> </w:t>
      </w:r>
      <w:r>
        <w:t xml:space="preserve">[27]</w:t>
      </w:r>
      <w:r>
        <w:t xml:space="preserve"> </w:t>
      </w:r>
      <w:r>
        <w:t xml:space="preserve">or even co-extinction risk</w:t>
      </w:r>
      <w:r>
        <w:t xml:space="preserve"> </w:t>
      </w:r>
      <w:r>
        <w:t xml:space="preserve">[28]</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[29]</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[30]</w:t>
      </w:r>
      <w:r>
        <w:t xml:space="preserve"> </w:t>
      </w:r>
      <w:r>
        <w:t xml:space="preserve">or cascade</w:t>
      </w:r>
      <w:r>
        <w:t xml:space="preserve"> </w:t>
      </w:r>
      <w:r>
        <w:t xml:space="preserve">[31]</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[32]</w:t>
      </w:r>
      <w:r>
        <w:t xml:space="preserve"> </w:t>
      </w:r>
      <w:r>
        <w:t xml:space="preserve">or trait hierarchy</w:t>
      </w:r>
      <w:r>
        <w:t xml:space="preserve"> </w:t>
      </w:r>
      <w:r>
        <w:t xml:space="preserve">[33]</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34]</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[35]</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[37]</w:t>
            </w:r>
            <w:r>
              <w:t xml:space="preserve">.</w:t>
            </w:r>
          </w:p>
          <w:tbl>
            <w:tblPr>
              <w:tblStyle w:val="Table"/>
              <w:tblW w:type="pct" w:w="5000"/>
              <w:tblLayout w:type="fixed"/>
              <w:tblLook w:firstRow="0" w:lastRow="0" w:firstColumn="0" w:lastColumn="0" w:noHBand="0" w:noVBand="0" w:val="0000"/>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[38]</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[34]</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[17,39]</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[39]</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[40]</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[41]</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[37]</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[42]</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[43]</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[44]</w:t>
      </w:r>
      <w:r>
        <w:t xml:space="preserve"> </w:t>
      </w:r>
      <w:r>
        <w:t xml:space="preserve">and that we should also start thinking about the interplay of time and space</w:t>
      </w:r>
      <w:r>
        <w:t xml:space="preserve"> </w:t>
      </w:r>
      <w:r>
        <w:t xml:space="preserve">[45]</w:t>
      </w:r>
      <w:r>
        <w:t xml:space="preserve">. Although deciding exactly what measure might actually be driving differences between local networks and the regional metaweb might not be that simple</w:t>
      </w:r>
      <w:r>
        <w:t xml:space="preserve"> </w:t>
      </w:r>
      <w:r>
        <w:t xml:space="preserve">[46]</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40" w:name="references"/>
    <w:p>
      <w:pPr>
        <w:pStyle w:val="Heading2"/>
      </w:pPr>
      <w:r>
        <w:t xml:space="preserve">References</w:t>
      </w:r>
    </w:p>
    <w:bookmarkStart w:id="139"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5"/>
    <w:bookmarkStart w:id="97" w:name="ref-hubbellUnifiedNeutralTheory2001"/>
    <w:p>
      <w:pPr>
        <w:pStyle w:val="Bibliography"/>
      </w:pPr>
      <w:r>
        <w:t xml:space="preserve">24.</w:t>
      </w:r>
      <w:r>
        <w:t xml:space="preserve"> </w:t>
      </w:r>
      <w:r>
        <w:t xml:space="preserve">	</w:t>
      </w:r>
      <w:r>
        <w:t xml:space="preserve">Hubbell, S.P. (2001)</w:t>
      </w:r>
      <w:r>
        <w:t xml:space="preserve"> </w:t>
      </w:r>
      <w:hyperlink r:id="rId96">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97"/>
    <w:bookmarkStart w:id="99" w:name="ref-dunneCompilationNetworkAnalyses2008"/>
    <w:p>
      <w:pPr>
        <w:pStyle w:val="Bibliography"/>
      </w:pPr>
      <w:r>
        <w:t xml:space="preserve">25.</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8">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9"/>
    <w:bookmarkStart w:id="101" w:name="ref-yeakelCollapseEcologicalNetwork2014"/>
    <w:p>
      <w:pPr>
        <w:pStyle w:val="Bibliography"/>
      </w:pPr>
      <w:r>
        <w:t xml:space="preserve">26.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0">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1"/>
    <w:bookmarkStart w:id="103" w:name="X8f3d1de04516835fd1376e2647a281b763af4fc"/>
    <w:p>
      <w:pPr>
        <w:pStyle w:val="Bibliography"/>
      </w:pPr>
      <w:r>
        <w:t xml:space="preserve">27.</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02">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03"/>
    <w:bookmarkStart w:id="105" w:name="ref-dunnSixthMassCoextinction2009"/>
    <w:p>
      <w:pPr>
        <w:pStyle w:val="Bibliography"/>
      </w:pPr>
      <w:r>
        <w:t xml:space="preserve">28.</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04">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05"/>
    <w:bookmarkStart w:id="107" w:name="ref-caronTraitmatchingModelsPredict2024"/>
    <w:p>
      <w:pPr>
        <w:pStyle w:val="Bibliography"/>
      </w:pPr>
      <w:r>
        <w:t xml:space="preserve">29.</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06">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07"/>
    <w:bookmarkStart w:id="109" w:name="ref-williamsSimpleRulesYield2000"/>
    <w:p>
      <w:pPr>
        <w:pStyle w:val="Bibliography"/>
      </w:pPr>
      <w:r>
        <w:t xml:space="preserve">30.</w:t>
      </w:r>
      <w:r>
        <w:t xml:space="preserve"> </w:t>
      </w:r>
      <w:r>
        <w:t xml:space="preserve">	</w:t>
      </w:r>
      <w:r>
        <w:t xml:space="preserve">Williams, R.J. and Martinez, N.D. (2000)</w:t>
      </w:r>
      <w:r>
        <w:t xml:space="preserve"> </w:t>
      </w:r>
      <w:hyperlink r:id="rId108">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9"/>
    <w:bookmarkStart w:id="110" w:name="ref-cohenCommunityFoodWebs1990"/>
    <w:p>
      <w:pPr>
        <w:pStyle w:val="Bibliography"/>
      </w:pPr>
      <w:r>
        <w:t xml:space="preserve">31.</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0"/>
    <w:bookmarkStart w:id="112" w:name="Xb1d8b6b275822be1886d160023287af73cce966"/>
    <w:p>
      <w:pPr>
        <w:pStyle w:val="Bibliography"/>
      </w:pPr>
      <w:r>
        <w:t xml:space="preserve">32.</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1">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2"/>
    <w:bookmarkStart w:id="114" w:name="X0fb50f1746fa9d2b24f89ed5bfe6ae1a2f58cc2"/>
    <w:p>
      <w:pPr>
        <w:pStyle w:val="Bibliography"/>
      </w:pPr>
      <w:r>
        <w:t xml:space="preserve">33.</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3">
        <w:r>
          <w:rPr>
            <w:rStyle w:val="Hyperlink"/>
          </w:rPr>
          <w:t xml:space="preserve">A framework for reconstructing ancient food webs using functional trait data</w:t>
        </w:r>
      </w:hyperlink>
      <w:r>
        <w:t xml:space="preserve">bioRxiv, 2024.01.30.578036</w:t>
      </w:r>
    </w:p>
    <w:bookmarkEnd w:id="114"/>
    <w:bookmarkStart w:id="116" w:name="ref-poisotSpeciesWhyEcological2015"/>
    <w:p>
      <w:pPr>
        <w:pStyle w:val="Bibliography"/>
      </w:pPr>
      <w:r>
        <w:t xml:space="preserve">34.</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5">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6"/>
    <w:bookmarkStart w:id="118" w:name="ref-strydomGraphEmbeddingTransfer2023"/>
    <w:p>
      <w:pPr>
        <w:pStyle w:val="Bibliography"/>
      </w:pPr>
      <w:r>
        <w:t xml:space="preserve">35.</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7">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8"/>
    <w:bookmarkStart w:id="120" w:name="ref-allesinaGeneralModelFood2008"/>
    <w:p>
      <w:pPr>
        <w:pStyle w:val="Bibliography"/>
      </w:pPr>
      <w:r>
        <w:t xml:space="preserve">36.</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0"/>
    <w:bookmarkStart w:id="122" w:name="X023758d2a089016cd8f0c9d2421079cf7d062ff"/>
    <w:p>
      <w:pPr>
        <w:pStyle w:val="Bibliography"/>
      </w:pPr>
      <w:r>
        <w:t xml:space="preserve">37.</w:t>
      </w:r>
      <w:r>
        <w:t xml:space="preserve"> </w:t>
      </w:r>
      <w:r>
        <w:t xml:space="preserve">	</w:t>
      </w:r>
      <w:r>
        <w:t xml:space="preserve">Poisot, T. (2023)</w:t>
      </w:r>
      <w:r>
        <w:t xml:space="preserve"> </w:t>
      </w:r>
      <w:hyperlink r:id="rId121">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2"/>
    <w:bookmarkStart w:id="124" w:name="ref-stoufferEvidenceExistenceRobust2007"/>
    <w:p>
      <w:pPr>
        <w:pStyle w:val="Bibliography"/>
      </w:pPr>
      <w:r>
        <w:t xml:space="preserve">38.</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3">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24"/>
    <w:bookmarkStart w:id="126" w:name="ref-pringleResolvingFoodWebStructure2020"/>
    <w:p>
      <w:pPr>
        <w:pStyle w:val="Bibliography"/>
      </w:pPr>
      <w:r>
        <w:t xml:space="preserve">39.</w:t>
      </w:r>
      <w:r>
        <w:t xml:space="preserve"> </w:t>
      </w:r>
      <w:r>
        <w:t xml:space="preserve">	</w:t>
      </w:r>
      <w:r>
        <w:t xml:space="preserve">Pringle, R.M. and Hutchinson, M.C. (2020)</w:t>
      </w:r>
      <w:r>
        <w:t xml:space="preserve"> </w:t>
      </w:r>
      <w:hyperlink r:id="rId12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26"/>
    <w:bookmarkStart w:id="128" w:name="ref-berlowGoldilocksFactorFood2008"/>
    <w:p>
      <w:pPr>
        <w:pStyle w:val="Bibliography"/>
      </w:pPr>
      <w:r>
        <w:t xml:space="preserve">40.</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2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8"/>
    <w:bookmarkStart w:id="130" w:name="ref-brimacombeApplyingMethodIts2024"/>
    <w:p>
      <w:pPr>
        <w:pStyle w:val="Bibliography"/>
      </w:pPr>
      <w:r>
        <w:t xml:space="preserve">41.</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0"/>
    <w:bookmarkStart w:id="132" w:name="ref-beckerOptimisingPredictiveModels2022"/>
    <w:p>
      <w:pPr>
        <w:pStyle w:val="Bibliography"/>
      </w:pPr>
      <w:r>
        <w:t xml:space="preserve">42.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1">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2"/>
    <w:bookmarkStart w:id="133" w:name="X1edd2253d2e7e8e6db9e7574240f432ddda2ce1"/>
    <w:p>
      <w:pPr>
        <w:pStyle w:val="Bibliography"/>
      </w:pPr>
      <w:r>
        <w:t xml:space="preserve">43.</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3"/>
    <w:bookmarkStart w:id="135" w:name="ref-fortinNetworkEcologyDynamic2021"/>
    <w:p>
      <w:pPr>
        <w:pStyle w:val="Bibliography"/>
      </w:pPr>
      <w:r>
        <w:t xml:space="preserve">44.</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34">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35"/>
    <w:bookmarkStart w:id="136" w:name="ref-estayEditorialPatternsProcesses2023"/>
    <w:p>
      <w:pPr>
        <w:pStyle w:val="Bibliography"/>
      </w:pPr>
      <w:r>
        <w:t xml:space="preserve">45.</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36"/>
    <w:bookmarkStart w:id="138" w:name="ref-saraviaEcologicalNetworkAssembly2022"/>
    <w:p>
      <w:pPr>
        <w:pStyle w:val="Bibliography"/>
      </w:pPr>
      <w:r>
        <w:t xml:space="preserve">46.</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3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2024-05-14T14:34:13Z</dcterms:created>
  <dcterms:modified xsi:type="dcterms:W3CDTF">2024-05-14T14:34:13Z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