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
          <w:iCs/>
        </w:rPr>
        <w:t xml:space="preserve">e.g.,</w:t>
      </w:r>
      <w:r>
        <w:t xml:space="preserve"> </w:t>
      </w:r>
      <w:r>
        <w:t xml:space="preserve">extinction simulations) or understanding some higher-level process/concept (</w:t>
      </w:r>
      <w:r>
        <w:rPr>
          <w:i/>
          <w:iCs/>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jc w:val="left"/>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
          <w:bCs/>
        </w:rPr>
        <w:t xml:space="preserve">Null models:</w:t>
      </w:r>
      <w:r>
        <w:t xml:space="preserve"> </w:t>
      </w:r>
      <w:r>
        <w:t xml:space="preserve">The interactions between species occurs regardless of the identity of the species (</w:t>
      </w:r>
      <w:r>
        <w:rPr>
          <w:i/>
          <w:iCs/>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
          <w:bCs/>
        </w:rPr>
        <w:t xml:space="preserve">Neutral models:</w:t>
      </w:r>
      <w:r>
        <w:t xml:space="preserve"> </w:t>
      </w:r>
      <w:r>
        <w:t xml:space="preserve">Based on the theory that interactions occur as the result of the abundance of species (</w:t>
      </w:r>
      <w:r>
        <w:rPr>
          <w:i/>
          <w:iCs/>
        </w:rPr>
        <w:t xml:space="preserve">i.e.,</w:t>
      </w:r>
      <w:r>
        <w:t xml:space="preserve"> </w:t>
      </w:r>
      <w:r>
        <w:t xml:space="preserve">the species still has no agency but its abundance does?). See</w:t>
      </w:r>
      <w:r>
        <w:t xml:space="preserve"> </w:t>
      </w:r>
      <w:r>
        <w:t xml:space="preserve">Pomeranz et al. (2019)</w:t>
      </w:r>
    </w:p>
    <w:p>
      <w:pPr>
        <w:pStyle w:val="BodyText"/>
      </w:pPr>
      <w:r>
        <w:rPr>
          <w:b/>
          <w:bCs/>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
          <w:bCs/>
        </w:rPr>
        <w:t xml:space="preserve">TODO</w:t>
      </w:r>
      <w:r>
        <w:t xml:space="preserve">.</w:t>
      </w:r>
    </w:p>
    <w:p>
      <w:pPr>
        <w:pStyle w:val="BodyText"/>
      </w:pPr>
      <w:r>
        <w:rPr>
          <w:b/>
          <w:bCs/>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
          <w:bCs/>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
          <w:bCs/>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
          <w:iCs/>
        </w:rPr>
        <w:t xml:space="preserve">e.g.,</w:t>
      </w:r>
      <w:r>
        <w:t xml:space="preserve"> </w:t>
      </w:r>
      <w:r>
        <w:t xml:space="preserve">traits). Model families often used include generalised linear models</w:t>
      </w:r>
      <w:r>
        <w:t xml:space="preserve"> </w:t>
      </w:r>
      <w:r>
        <w:t xml:space="preserve">(</w:t>
      </w:r>
      <w:r>
        <w:rPr>
          <w:i/>
          <w:iCs/>
        </w:rPr>
        <w:t xml:space="preserve">e.g.,</w:t>
      </w:r>
      <w:r>
        <w:t xml:space="preserve"> </w:t>
      </w:r>
      <w:r>
        <w:t xml:space="preserve">Caron et al. 2022 use a tait-based approach)</w:t>
      </w:r>
      <w:r>
        <w:t xml:space="preserve">, random forest</w:t>
      </w:r>
      <w:r>
        <w:t xml:space="preserve"> </w:t>
      </w:r>
      <w:r>
        <w:t xml:space="preserve">(</w:t>
      </w:r>
      <w:r>
        <w:rPr>
          <w:i/>
          <w:iCs/>
        </w:rPr>
        <w:t xml:space="preserve">e.g.,</w:t>
      </w:r>
      <w:r>
        <w:t xml:space="preserve"> </w:t>
      </w:r>
      <w:r>
        <w:t xml:space="preserve">Llewelyn et al. 2023)</w:t>
      </w:r>
      <w:r>
        <w:t xml:space="preserve">, trait-based k-NN</w:t>
      </w:r>
      <w:r>
        <w:t xml:space="preserve"> </w:t>
      </w:r>
      <w:r>
        <w:t xml:space="preserve">(</w:t>
      </w:r>
      <w:r>
        <w:rPr>
          <w:i/>
          <w:iCs/>
        </w:rPr>
        <w:t xml:space="preserve">e.g.,</w:t>
      </w:r>
      <w:r>
        <w:t xml:space="preserve"> </w:t>
      </w:r>
      <w:r>
        <w:t xml:space="preserve">Desjardins-Proulx et al. 2017)</w:t>
      </w:r>
    </w:p>
    <w:p>
      <w:pPr>
        <w:pStyle w:val="BodyText"/>
      </w:pPr>
      <w:r>
        <w:rPr>
          <w:b/>
          <w:bCs/>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
          <w:bCs/>
        </w:rPr>
        <w:t xml:space="preserve">TODO</w:t>
      </w:r>
      <w:r>
        <w:t xml:space="preserve"> </w:t>
      </w:r>
      <w:r>
        <w:t xml:space="preserve">Log-ratio</w:t>
      </w:r>
      <w:r>
        <w:t xml:space="preserve"> </w:t>
      </w:r>
      <w:r>
        <w:t xml:space="preserve">(Rohr et al. 2010)</w:t>
      </w:r>
    </w:p>
    <w:p>
      <w:pPr>
        <w:pStyle w:val="BodyText"/>
      </w:pPr>
      <w:r>
        <w:rPr>
          <w:b/>
          <w:bCs/>
        </w:rPr>
        <w:t xml:space="preserve">Trait matching:</w:t>
      </w:r>
      <w:r>
        <w:t xml:space="preserve"> </w:t>
      </w:r>
      <w:r>
        <w:t xml:space="preserve">Here I envision models that present an</w:t>
      </w:r>
      <w:r>
        <w:t xml:space="preserve"> </w:t>
      </w:r>
      <w:r>
        <w:rPr>
          <w:i/>
          <w:iCs/>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
          <w:bCs/>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
          <w:iCs/>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
          <w:iCs/>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
          <w:iCs/>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pStyle w:val="Compact"/>
        <w:numPr>
          <w:ilvl w:val="0"/>
          <w:numId w:val="1005"/>
        </w:numPr>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
          <w:iCs/>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03"/>
              <w:gridCol w:w="1192"/>
              <w:gridCol w:w="1107"/>
              <w:gridCol w:w="1277"/>
              <w:gridCol w:w="2640"/>
            </w:tblGrid>
            <w:tr>
              <w:trPr>
                <w:tblHeader w:val="on"/>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(2024)</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
          <w:iCs/>
        </w:rPr>
        <w:t xml:space="preserve">B</w:t>
      </w:r>
      <w:r>
        <w:t xml:space="preserve"> </w:t>
      </w:r>
      <w:r>
        <w:t xml:space="preserve">of</w:t>
      </w:r>
      <w:r>
        <w:t xml:space="preserve"> </w:t>
      </w:r>
      <w:hyperlink w:anchor="fig-concept">
        <w:r>
          <w:rPr>
            <w:rStyle w:val="Hyperlink"/>
          </w:rPr>
          <w:t xml:space="preserve">Figure 1</w:t>
        </w:r>
      </w:hyperlink>
      <w:r>
        <w:t xml:space="preserve">.</w:t>
      </w:r>
    </w:p>
    <w:p>
      <w:pPr>
        <w:pStyle w:val="Compact"/>
        <w:numPr>
          <w:ilvl w:val="0"/>
          <w:numId w:val="1008"/>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8"/>
        </w:numPr>
      </w:pPr>
      <w:r>
        <w:t xml:space="preserve">I think it would be remiss to not also take into consideration computational cost</w:t>
      </w:r>
    </w:p>
    <w:p>
      <w:pPr>
        <w:pStyle w:val="Compact"/>
        <w:numPr>
          <w:ilvl w:val="0"/>
          <w:numId w:val="1008"/>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
          <w:iCs/>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
          <w:iCs/>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
          <w:iCs/>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pStyle w:val="Compact"/>
        <w:numPr>
          <w:ilvl w:val="0"/>
          <w:numId w:val="1010"/>
        </w:numPr>
      </w:pPr>
      <w:r>
        <w:t xml:space="preserve">Based on</w:t>
      </w:r>
      <w:r>
        <w:t xml:space="preserve"> </w:t>
      </w:r>
      <w:r>
        <w:t xml:space="preserve">Poisot (2023)</w:t>
      </w:r>
      <w:r>
        <w:t xml:space="preserve">:</w:t>
      </w:r>
    </w:p>
    <w:p>
      <w:pPr>
        <w:pStyle w:val="Compact"/>
        <w:numPr>
          <w:ilvl w:val="1"/>
          <w:numId w:val="1011"/>
        </w:numPr>
      </w:pPr>
      <w:r>
        <w:t xml:space="preserve">Precision-Recall (PR-AUC) - performance</w:t>
      </w:r>
    </w:p>
    <w:p>
      <w:pPr>
        <w:pStyle w:val="Compact"/>
        <w:numPr>
          <w:ilvl w:val="1"/>
          <w:numId w:val="1011"/>
        </w:numPr>
      </w:pPr>
      <w:r>
        <w:t xml:space="preserve">Matthews correlation coefficient (MCC) - accuracy</w:t>
      </w:r>
    </w:p>
    <w:p>
      <w:pPr>
        <w:pStyle w:val="Compact"/>
        <w:numPr>
          <w:ilvl w:val="0"/>
          <w:numId w:val="1010"/>
        </w:numPr>
      </w:pPr>
      <w:r>
        <w:t xml:space="preserve">Maybe same measures we use for the network models</w:t>
      </w:r>
    </w:p>
    <w:bookmarkEnd w:id="34"/>
    <w:bookmarkStart w:id="35" w:name="pva-action-plan"/>
    <w:p>
      <w:pPr>
        <w:pStyle w:val="Heading4"/>
      </w:pPr>
      <w:r>
        <w:t xml:space="preserve">2.3.3 PVA (action plan)</w:t>
      </w:r>
    </w:p>
    <w:p>
      <w:pPr>
        <w:pStyle w:val="Compact"/>
        <w:numPr>
          <w:ilvl w:val="0"/>
          <w:numId w:val="1012"/>
        </w:numPr>
      </w:pPr>
      <w:r>
        <w:t xml:space="preserve">Shortlist/finalise the different topo generators</w:t>
      </w:r>
    </w:p>
    <w:p>
      <w:pPr>
        <w:pStyle w:val="Compact"/>
        <w:numPr>
          <w:ilvl w:val="0"/>
          <w:numId w:val="1012"/>
        </w:numPr>
      </w:pPr>
      <w:r>
        <w:t xml:space="preserve">collate/translate into</w:t>
      </w:r>
      <w:r>
        <w:t xml:space="preserve"> </w:t>
      </w:r>
      <w:r>
        <w:rPr>
          <w:rStyle w:val="VerbatimChar"/>
        </w:rPr>
        <w:t xml:space="preserve">Julia</w:t>
      </w:r>
    </w:p>
    <w:p>
      <w:pPr>
        <w:pStyle w:val="Compact"/>
        <w:numPr>
          <w:ilvl w:val="1"/>
          <w:numId w:val="1013"/>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13"/>
        </w:numPr>
      </w:pPr>
      <w:r>
        <w:t xml:space="preserve">others will need to be coded out (the more simpler models should be easier)</w:t>
      </w:r>
    </w:p>
    <w:p>
      <w:pPr>
        <w:pStyle w:val="Compact"/>
        <w:numPr>
          <w:ilvl w:val="0"/>
          <w:numId w:val="1012"/>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14"/>
        </w:numPr>
      </w:pPr>
      <w:r>
        <w:t xml:space="preserve">Need to also think about where one might find the additional data for some of the models…</w:t>
      </w:r>
    </w:p>
    <w:p>
      <w:pPr>
        <w:pStyle w:val="Compact"/>
        <w:numPr>
          <w:ilvl w:val="2"/>
          <w:numId w:val="1015"/>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15"/>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15"/>
        </w:numPr>
      </w:pPr>
      <w:r>
        <w:t xml:space="preserve">This is where we’ll get the paleo traits from if I’m correct</w:t>
      </w:r>
      <w:r>
        <w:t xml:space="preserve"> </w:t>
      </w:r>
      <w:r>
        <w:t xml:space="preserve">Bambach, Bush, and Erwin (2007)</w:t>
      </w:r>
    </w:p>
    <w:p>
      <w:pPr>
        <w:pStyle w:val="Compact"/>
        <w:numPr>
          <w:ilvl w:val="2"/>
          <w:numId w:val="1015"/>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14"/>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14"/>
        </w:numPr>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pStyle w:val="Compact"/>
        <w:numPr>
          <w:ilvl w:val="0"/>
          <w:numId w:val="1016"/>
        </w:numPr>
      </w:pPr>
      <w:r>
        <w:t xml:space="preserve">scale limitations (time or space);</w:t>
      </w:r>
      <w:r>
        <w:t xml:space="preserve"> </w:t>
      </w:r>
      <w:r>
        <w:rPr>
          <w:i/>
          <w:iCs/>
        </w:rPr>
        <w:t xml:space="preserve">e.g.,</w:t>
      </w:r>
      <w:r>
        <w:t xml:space="preserve"> </w:t>
      </w:r>
      <w:r>
        <w:t xml:space="preserve">a metaweb is going to encapsulate but not distinguish between different seasons or locations</w:t>
      </w:r>
    </w:p>
    <w:p>
      <w:pPr>
        <w:pStyle w:val="Compact"/>
        <w:numPr>
          <w:ilvl w:val="0"/>
          <w:numId w:val="1016"/>
        </w:numPr>
      </w:pPr>
      <w:r>
        <w:t xml:space="preserve">data needed. I think this can be in the form of real world datasets (</w:t>
      </w:r>
      <w:r>
        <w:rPr>
          <w:i/>
          <w:iCs/>
        </w:rPr>
        <w:t xml:space="preserve">e.g.,</w:t>
      </w:r>
      <w:r>
        <w:t xml:space="preserve"> </w:t>
      </w:r>
      <w:r>
        <w:t xml:space="preserve">traits) but also</w:t>
      </w:r>
      <w:r>
        <w:t xml:space="preserve"> </w:t>
      </w:r>
      <w:r>
        <w:rPr>
          <w:i/>
          <w:iCs/>
        </w:rPr>
        <w:t xml:space="preserve">a priori</w:t>
      </w:r>
      <w:r>
        <w:t xml:space="preserve"> </w:t>
      </w:r>
      <w:r>
        <w:t xml:space="preserve">knowledge (</w:t>
      </w:r>
      <w:r>
        <w:rPr>
          <w:i/>
          <w:iCs/>
        </w:rPr>
        <w:t xml:space="preserve">e.g.,</w:t>
      </w:r>
      <w:r>
        <w:t xml:space="preserve"> </w:t>
      </w:r>
      <w:r>
        <w:t xml:space="preserve">having to define the constraints of a niche model)</w:t>
      </w:r>
    </w:p>
    <w:p>
      <w:pPr>
        <w:pStyle w:val="Compact"/>
        <w:numPr>
          <w:ilvl w:val="0"/>
          <w:numId w:val="1016"/>
        </w:numPr>
      </w:pPr>
      <w:r>
        <w:t xml:space="preserve">computational costs</w:t>
      </w:r>
    </w:p>
    <w:bookmarkEnd w:id="38"/>
    <w:bookmarkStart w:id="44"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Poisot (2023)</w:t>
      </w:r>
    </w:p>
    <w:p>
      <w:pPr>
        <w:numPr>
          <w:ilvl w:val="0"/>
          <w:numId w:val="101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8"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
          <w:iCs/>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
          <w:iCs/>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
          <w:iCs/>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
          <w:iCs/>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
          <w:iCs/>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
          <w:iCs/>
        </w:rPr>
        <w:t xml:space="preserve">Ecology Letters</w:t>
      </w:r>
      <w:r>
        <w:t xml:space="preserve"> </w:t>
      </w:r>
      <w:r>
        <w:t xml:space="preserve">9 (3): 281–86.</w:t>
      </w:r>
      <w:r>
        <w:t xml:space="preserve"> </w:t>
      </w:r>
      <w:hyperlink r:id="rId73">
        <w:r>
          <w:rPr>
            <w:rStyle w:val="Hyperlink"/>
          </w:rPr>
          <w:t xml:space="preserve">https://doi.org/10.1111/j.1461-0248.2005.00868.x</w:t>
        </w:r>
      </w:hyperlink>
      <w:r>
        <w:t xml:space="preserve">.</w:t>
      </w:r>
    </w:p>
    <w:bookmarkEnd w:id="74"/>
    <w:bookmarkStart w:id="7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75">
        <w:r>
          <w:rPr>
            <w:rStyle w:val="Hyperlink"/>
          </w:rPr>
          <w:t xml:space="preserve">https://doi.org/10.1111/2041-210X.12103</w:t>
        </w:r>
      </w:hyperlink>
      <w:r>
        <w:t xml:space="preserve">.</w:t>
      </w:r>
    </w:p>
    <w:bookmarkEnd w:id="76"/>
    <w:bookmarkStart w:id="7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7">
        <w:r>
          <w:rPr>
            <w:rStyle w:val="Hyperlink"/>
          </w:rPr>
          <w:t xml:space="preserve">https://doi.org/10.1038/s41597-022-01364-9</w:t>
        </w:r>
      </w:hyperlink>
      <w:r>
        <w:t xml:space="preserve">.</w:t>
      </w:r>
    </w:p>
    <w:bookmarkEnd w:id="78"/>
    <w:bookmarkStart w:id="8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9">
        <w:r>
          <w:rPr>
            <w:rStyle w:val="Hyperlink"/>
          </w:rPr>
          <w:t xml:space="preserve">https://doi.org/10.1890/08-1494.1</w:t>
        </w:r>
      </w:hyperlink>
      <w:r>
        <w:t xml:space="preserve">.</w:t>
      </w:r>
    </w:p>
    <w:bookmarkEnd w:id="80"/>
    <w:bookmarkStart w:id="8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81">
        <w:r>
          <w:rPr>
            <w:rStyle w:val="Hyperlink"/>
          </w:rPr>
          <w:t xml:space="preserve">https://doi.org/10.1371/journal.pbio.1002559</w:t>
        </w:r>
      </w:hyperlink>
      <w:r>
        <w:t xml:space="preserve">.</w:t>
      </w:r>
    </w:p>
    <w:bookmarkEnd w:id="82"/>
    <w:bookmarkStart w:id="84"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83">
        <w:r>
          <w:rPr>
            <w:rStyle w:val="Hyperlink"/>
          </w:rPr>
          <w:t xml:space="preserve">https://doi.org/10.1111/1365-2435.12763</w:t>
        </w:r>
      </w:hyperlink>
      <w:r>
        <w:t xml:space="preserve">.</w:t>
      </w:r>
    </w:p>
    <w:bookmarkEnd w:id="84"/>
    <w:bookmarkStart w:id="86"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
          <w:iCs/>
        </w:rPr>
        <w:t xml:space="preserve">Ecography</w:t>
      </w:r>
      <w:r>
        <w:t xml:space="preserve"> </w:t>
      </w:r>
      <w:r>
        <w:t xml:space="preserve">2023 (9): e06619.</w:t>
      </w:r>
      <w:r>
        <w:t xml:space="preserve"> </w:t>
      </w:r>
      <w:hyperlink r:id="rId85">
        <w:r>
          <w:rPr>
            <w:rStyle w:val="Hyperlink"/>
          </w:rPr>
          <w:t xml:space="preserve">https://doi.org/10.1111/ecog.06619</w:t>
        </w:r>
      </w:hyperlink>
      <w:r>
        <w:t xml:space="preserve">.</w:t>
      </w:r>
    </w:p>
    <w:bookmarkEnd w:id="86"/>
    <w:bookmarkStart w:id="88"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
          <w:iCs/>
        </w:rPr>
        <w:t xml:space="preserve">Global Ecology and Biogeography</w:t>
      </w:r>
      <w:r>
        <w:t xml:space="preserve"> </w:t>
      </w:r>
      <w:r>
        <w:t xml:space="preserve">29 (9): 1452–57.</w:t>
      </w:r>
      <w:r>
        <w:t xml:space="preserve"> </w:t>
      </w:r>
      <w:hyperlink r:id="rId87">
        <w:r>
          <w:rPr>
            <w:rStyle w:val="Hyperlink"/>
          </w:rPr>
          <w:t xml:space="preserve">https://doi.org/10.1111/geb.13138</w:t>
        </w:r>
      </w:hyperlink>
      <w:r>
        <w:t xml:space="preserve">.</w:t>
      </w:r>
    </w:p>
    <w:bookmarkEnd w:id="88"/>
    <w:bookmarkStart w:id="90"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
          <w:iCs/>
        </w:rPr>
        <w:t xml:space="preserve">Trends in Ecology &amp; Evolution</w:t>
      </w:r>
      <w:r>
        <w:t xml:space="preserve"> </w:t>
      </w:r>
      <w:r>
        <w:t xml:space="preserve">30 (6): 347–56.</w:t>
      </w:r>
      <w:r>
        <w:t xml:space="preserve"> </w:t>
      </w:r>
      <w:hyperlink r:id="rId89">
        <w:r>
          <w:rPr>
            <w:rStyle w:val="Hyperlink"/>
          </w:rPr>
          <w:t xml:space="preserve">https://doi.org/10.1016/j.tree.2015.03.014</w:t>
        </w:r>
      </w:hyperlink>
      <w:r>
        <w:t xml:space="preserve">.</w:t>
      </w:r>
    </w:p>
    <w:bookmarkEnd w:id="90"/>
    <w:bookmarkStart w:id="91" w:name="ref-newmanNetworksIntroduction2010"/>
    <w:p>
      <w:pPr>
        <w:pStyle w:val="Bibliography"/>
      </w:pPr>
      <w:r>
        <w:t xml:space="preserve">Newman, Mark E. J. 2010.</w:t>
      </w:r>
      <w:r>
        <w:t xml:space="preserve"> </w:t>
      </w:r>
      <w:r>
        <w:rPr>
          <w:i/>
          <w:iCs/>
        </w:rPr>
        <w:t xml:space="preserve">Networks.</w:t>
      </w:r>
      <w:r>
        <w:rPr>
          <w:i/>
          <w:iCs/>
        </w:rPr>
        <w:t xml:space="preserve"> </w:t>
      </w:r>
      <w:r>
        <w:rPr>
          <w:i/>
          <w:iCs/>
        </w:rPr>
        <w:t xml:space="preserve">An</w:t>
      </w:r>
      <w:r>
        <w:rPr>
          <w:i/>
          <w:iCs/>
        </w:rPr>
        <w:t xml:space="preserve"> </w:t>
      </w:r>
      <w:r>
        <w:rPr>
          <w:i/>
          <w:iCs/>
        </w:rPr>
        <w:t xml:space="preserve">Introduction</w:t>
      </w:r>
      <w:r>
        <w:t xml:space="preserve">. New York, NY: Oxford University Press.</w:t>
      </w:r>
    </w:p>
    <w:bookmarkEnd w:id="91"/>
    <w:bookmarkStart w:id="93"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92">
        <w:r>
          <w:rPr>
            <w:rStyle w:val="Hyperlink"/>
          </w:rPr>
          <w:t xml:space="preserve">https://doi.org/10.1073/pnas.0710672105</w:t>
        </w:r>
      </w:hyperlink>
      <w:r>
        <w:t xml:space="preserve">.</w:t>
      </w:r>
    </w:p>
    <w:bookmarkEnd w:id="93"/>
    <w:bookmarkStart w:id="95"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94">
        <w:r>
          <w:rPr>
            <w:rStyle w:val="Hyperlink"/>
          </w:rPr>
          <w:t xml:space="preserve">https://doi.org/10.1016/j.jtbi.2011.03.019</w:t>
        </w:r>
      </w:hyperlink>
      <w:r>
        <w:t xml:space="preserve">.</w:t>
      </w:r>
    </w:p>
    <w:bookmarkEnd w:id="95"/>
    <w:bookmarkStart w:id="97"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
          <w:iCs/>
        </w:rPr>
        <w:t xml:space="preserve">Methods in Ecology and Evolution</w:t>
      </w:r>
      <w:r>
        <w:t xml:space="preserve"> </w:t>
      </w:r>
      <w:r>
        <w:t xml:space="preserve">14 (5): 1333–45.</w:t>
      </w:r>
      <w:r>
        <w:t xml:space="preserve"> </w:t>
      </w:r>
      <w:hyperlink r:id="rId96">
        <w:r>
          <w:rPr>
            <w:rStyle w:val="Hyperlink"/>
          </w:rPr>
          <w:t xml:space="preserve">https://doi.org/10.1111/2041-210X.14071</w:t>
        </w:r>
      </w:hyperlink>
      <w:r>
        <w:t xml:space="preserve">.</w:t>
      </w:r>
    </w:p>
    <w:bookmarkEnd w:id="97"/>
    <w:bookmarkStart w:id="99"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98">
        <w:r>
          <w:rPr>
            <w:rStyle w:val="Hyperlink"/>
          </w:rPr>
          <w:t xml:space="preserve">https://doi.org/10.1111/jbi.14127</w:t>
        </w:r>
      </w:hyperlink>
      <w:r>
        <w:t xml:space="preserve">.</w:t>
      </w:r>
    </w:p>
    <w:bookmarkEnd w:id="99"/>
    <w:bookmarkStart w:id="101"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100">
        <w:r>
          <w:rPr>
            <w:rStyle w:val="Hyperlink"/>
          </w:rPr>
          <w:t xml:space="preserve">https://doi.org/10.1111/oik.01719</w:t>
        </w:r>
      </w:hyperlink>
      <w:r>
        <w:t xml:space="preserve">.</w:t>
      </w:r>
    </w:p>
    <w:bookmarkEnd w:id="101"/>
    <w:bookmarkStart w:id="103"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
          <w:iCs/>
        </w:rPr>
        <w:t xml:space="preserve">Methods in Ecology and Evolution</w:t>
      </w:r>
      <w:r>
        <w:t xml:space="preserve"> </w:t>
      </w:r>
      <w:r>
        <w:t xml:space="preserve">10 (3): 356–67.</w:t>
      </w:r>
      <w:r>
        <w:t xml:space="preserve"> </w:t>
      </w:r>
      <w:hyperlink r:id="rId102">
        <w:r>
          <w:rPr>
            <w:rStyle w:val="Hyperlink"/>
          </w:rPr>
          <w:t xml:space="preserve">https://doi.org/10.1111/2041-210X.13125</w:t>
        </w:r>
      </w:hyperlink>
      <w:r>
        <w:t xml:space="preserve">.</w:t>
      </w:r>
    </w:p>
    <w:bookmarkEnd w:id="103"/>
    <w:bookmarkStart w:id="10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104">
        <w:r>
          <w:rPr>
            <w:rStyle w:val="Hyperlink"/>
          </w:rPr>
          <w:t xml:space="preserve">https://doi.org/10.1086/653667</w:t>
        </w:r>
      </w:hyperlink>
      <w:r>
        <w:t xml:space="preserve">.</w:t>
      </w:r>
    </w:p>
    <w:bookmarkEnd w:id="105"/>
    <w:bookmarkStart w:id="107"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6">
        <w:r>
          <w:rPr>
            <w:rStyle w:val="Hyperlink"/>
          </w:rPr>
          <w:t xml:space="preserve">https://doi.org/10.1101/2024.01.30.578036</w:t>
        </w:r>
      </w:hyperlink>
      <w:r>
        <w:t xml:space="preserve">.</w:t>
      </w:r>
    </w:p>
    <w:bookmarkEnd w:id="107"/>
    <w:bookmarkStart w:id="109"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108">
        <w:r>
          <w:rPr>
            <w:rStyle w:val="Hyperlink"/>
          </w:rPr>
          <w:t xml:space="preserve">https://doi.org/10.1111/2041-210X.13835</w:t>
        </w:r>
      </w:hyperlink>
      <w:r>
        <w:t xml:space="preserve">.</w:t>
      </w:r>
    </w:p>
    <w:bookmarkEnd w:id="109"/>
    <w:bookmarkStart w:id="111"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110">
        <w:r>
          <w:rPr>
            <w:rStyle w:val="Hyperlink"/>
          </w:rPr>
          <w:t xml:space="preserve">https://doi.org/10.1111/2041-210X.14228</w:t>
        </w:r>
      </w:hyperlink>
      <w:r>
        <w:t xml:space="preserve">.</w:t>
      </w:r>
    </w:p>
    <w:bookmarkEnd w:id="111"/>
    <w:bookmarkStart w:id="113"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12">
        <w:r>
          <w:rPr>
            <w:rStyle w:val="Hyperlink"/>
          </w:rPr>
          <w:t xml:space="preserve">https://doi.org/10.1098/rstb.2021.0063</w:t>
        </w:r>
      </w:hyperlink>
      <w:r>
        <w:t xml:space="preserve">.</w:t>
      </w:r>
    </w:p>
    <w:bookmarkEnd w:id="113"/>
    <w:bookmarkStart w:id="115"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
          <w:iCs/>
        </w:rPr>
        <w:t xml:space="preserve">Frontiers in Ecology and Evolution</w:t>
      </w:r>
      <w:r>
        <w:t xml:space="preserve"> </w:t>
      </w:r>
      <w:r>
        <w:t xml:space="preserve">9.</w:t>
      </w:r>
      <w:r>
        <w:t xml:space="preserve"> </w:t>
      </w:r>
      <w:hyperlink r:id="rId114">
        <w:r>
          <w:rPr>
            <w:rStyle w:val="Hyperlink"/>
          </w:rPr>
          <w:t xml:space="preserve">https://doi.org/10.3389/fevo.2021.623141</w:t>
        </w:r>
      </w:hyperlink>
      <w:r>
        <w:t xml:space="preserve">.</w:t>
      </w:r>
    </w:p>
    <w:bookmarkEnd w:id="115"/>
    <w:bookmarkStart w:id="11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16">
        <w:r>
          <w:rPr>
            <w:rStyle w:val="Hyperlink"/>
          </w:rPr>
          <w:t xml:space="preserve">https://doi.org/10.1371/journal.pbio.3000494</w:t>
        </w:r>
      </w:hyperlink>
      <w:r>
        <w:t xml:space="preserve">.</w:t>
      </w:r>
    </w:p>
    <w:bookmarkEnd w:id="117"/>
    <w:bookmarkStart w:id="11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18">
        <w:r>
          <w:rPr>
            <w:rStyle w:val="Hyperlink"/>
          </w:rPr>
          <w:t xml:space="preserve">https://doi.org/10.1016/j.tree.2022.11.004</w:t>
        </w:r>
      </w:hyperlink>
      <w:r>
        <w:t xml:space="preserve">.</w:t>
      </w:r>
    </w:p>
    <w:bookmarkEnd w:id="119"/>
    <w:bookmarkStart w:id="121"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20">
        <w:r>
          <w:rPr>
            <w:rStyle w:val="Hyperlink"/>
          </w:rPr>
          <w:t xml:space="preserve">https://doi.org/10.1038/35004572</w:t>
        </w:r>
      </w:hyperlink>
      <w:r>
        <w:t xml:space="preserve">.</w:t>
      </w:r>
    </w:p>
    <w:bookmarkEnd w:id="121"/>
    <w:bookmarkStart w:id="123"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22">
        <w:r>
          <w:rPr>
            <w:rStyle w:val="Hyperlink"/>
          </w:rPr>
          <w:t xml:space="preserve">https://doi.org/10.1111/j.1365-2656.2008.01362.x</w:t>
        </w:r>
      </w:hyperlink>
      <w:r>
        <w:t xml:space="preserve">.</w:t>
      </w:r>
    </w:p>
    <w:bookmarkEnd w:id="123"/>
    <w:bookmarkStart w:id="12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24">
        <w:r>
          <w:rPr>
            <w:rStyle w:val="Hyperlink"/>
          </w:rPr>
          <w:t xml:space="preserve">https://doi.org/10.1890/13-1917.1</w:t>
        </w:r>
      </w:hyperlink>
      <w:r>
        <w:t xml:space="preserve">.</w:t>
      </w:r>
    </w:p>
    <w:bookmarkEnd w:id="125"/>
    <w:bookmarkStart w:id="127"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
          <w:iCs/>
        </w:rPr>
        <w:t xml:space="preserve">Scientific Reports</w:t>
      </w:r>
      <w:r>
        <w:t xml:space="preserve"> </w:t>
      </w:r>
      <w:r>
        <w:t xml:space="preserve">7 (1): 5269.</w:t>
      </w:r>
      <w:r>
        <w:t xml:space="preserve"> </w:t>
      </w:r>
      <w:hyperlink r:id="rId126">
        <w:r>
          <w:rPr>
            <w:rStyle w:val="Hyperlink"/>
          </w:rPr>
          <w:t xml:space="preserve">https://doi.org/10.1038/s41598-017-05585-6</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2024-03-26T14:07:02Z</dcterms:created>
  <dcterms:modified xsi:type="dcterms:W3CDTF">2024-03-26T14:07:02Z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