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w:t>
      </w:r>
      <w:r>
        <w:t xml:space="preserve"> </w:t>
      </w:r>
      <w:r>
        <w:t xml:space="preserve">is</w:t>
      </w:r>
      <w:r>
        <w:t xml:space="preserve"> </w:t>
      </w:r>
      <w:r>
        <w:t xml:space="preserve">for</w:t>
      </w:r>
      <w:r>
        <w:t xml:space="preserve"> </w:t>
      </w:r>
      <w:r>
        <w:t xml:space="preserve">Topology</w:t>
      </w:r>
    </w:p>
    <w:p>
      <w:pPr>
        <w:pStyle w:val="Author"/>
      </w:pPr>
      <w:r>
        <w:t xml:space="preserve">Tanya</w:t>
      </w:r>
      <w:r>
        <w:t xml:space="preserve"> </w:t>
      </w:r>
      <w:r>
        <w:t xml:space="preserve">Strydom</w:t>
      </w:r>
    </w:p>
    <w:p>
      <w:pPr>
        <w:pStyle w:val="Author"/>
      </w:pPr>
      <w:r>
        <w:t xml:space="preserve">Andrew</w:t>
      </w:r>
      <w:r>
        <w:t xml:space="preserve"> </w:t>
      </w:r>
      <w:r>
        <w:t xml:space="preserve">P.</w:t>
      </w:r>
      <w:r>
        <w:t xml:space="preserve"> </w:t>
      </w:r>
      <w:r>
        <w:t xml:space="preserve">Beckerman</w:t>
      </w:r>
    </w:p>
    <w:p>
      <w:pPr>
        <w:pStyle w:val="Date"/>
      </w:pPr>
      <w:r>
        <w:t xml:space="preserve">2024-02-12</w:t>
      </w:r>
    </w:p>
    <w:p>
      <w:pPr>
        <w:pStyle w:val="AbstractTitle"/>
      </w:pPr>
      <w:r>
        <w:t xml:space="preserve">Abstract</w:t>
      </w:r>
    </w:p>
    <w:p>
      <w:pPr>
        <w:pStyle w:val="Abstract"/>
      </w:pPr>
      <w:r>
        <w:t xml:space="preserve">Pending…</w:t>
      </w:r>
    </w:p>
    <w:bookmarkStart w:id="20" w:name="introduction"/>
    <w:p>
      <w:pPr>
        <w:pStyle w:val="Heading2"/>
      </w:pPr>
      <w:r>
        <w:t xml:space="preserve">1 Introduction</w:t>
      </w:r>
    </w:p>
    <w:p>
      <w:pPr>
        <w:pStyle w:val="FirstParagraph"/>
      </w:pPr>
      <w:r>
        <w:t xml:space="preserve">The standard run of the mill that we cannot always feasibly construct networks because 1. hard, 2. time (yay dinosaurs, but also the future and impending doom I guess), and 3. probably something else meaningful that’s just slipping my mind at the moment. Some of the usual culprits will come in here like:</w:t>
      </w:r>
      <w:r>
        <w:t xml:space="preserve"> </w:t>
      </w:r>
      <w:r>
        <w:t xml:space="preserve">Jordano (2016b)</w:t>
      </w:r>
      <w:r>
        <w:t xml:space="preserve">;</w:t>
      </w:r>
      <w:r>
        <w:t xml:space="preserve"> </w:t>
      </w:r>
      <w:r>
        <w:t xml:space="preserve">(Jordano 2016a)</w:t>
      </w:r>
      <w:r>
        <w:t xml:space="preserve">;</w:t>
      </w:r>
      <w:r>
        <w:t xml:space="preserve"> </w:t>
      </w:r>
      <w:r>
        <w:t xml:space="preserve">Poisot et al. (2021)</w:t>
      </w:r>
      <w:r>
        <w:t xml:space="preserve">;</w:t>
      </w:r>
      <w:r>
        <w:t xml:space="preserve"> </w:t>
      </w:r>
      <w:r>
        <w:t xml:space="preserve">Strydom et al. (2021)</w:t>
      </w:r>
      <w:r>
        <w:t xml:space="preserve"> </w:t>
      </w:r>
      <w:r>
        <w:t xml:space="preserve">(shameless self plug)</w:t>
      </w:r>
    </w:p>
    <w:p>
      <w:pPr>
        <w:pStyle w:val="BodyText"/>
      </w:pPr>
      <w:r>
        <w:t xml:space="preserve">Maybe a brief history of the development of predictive tools/topo generators? Sort of where the theory/body of work was based and how that has changed? IS there a difference between toppo generator and predictive tool - I’m inclined to think that it aligns with the whole debate of high level structure vs node-level perfection</w:t>
      </w:r>
    </w:p>
    <w:p>
      <w:pPr>
        <w:pStyle w:val="BodyText"/>
      </w:pPr>
      <w:r>
        <w:t xml:space="preserve">Maybe start here with discussing the core mechanistic differences that models will work at — some are really concerned about (and thus constrained by) structure, others are more mechanistic in nature</w:t>
      </w:r>
      <w:r>
        <w:t xml:space="preserve"> </w:t>
      </w:r>
      <w:r>
        <w:rPr>
          <w:iCs/>
          <w:i/>
        </w:rPr>
        <w:t xml:space="preserve">i.e.,</w:t>
      </w:r>
      <w:r>
        <w:t xml:space="preserve"> </w:t>
      </w:r>
      <w:r>
        <w:t xml:space="preserve">species</w:t>
      </w:r>
      <w:r>
        <w:t xml:space="preserve"> </w:t>
      </w:r>
      <w:r>
        <w:rPr>
          <w:iCs/>
          <w:i/>
        </w:rPr>
        <w:t xml:space="preserve">a</w:t>
      </w:r>
      <w:r>
        <w:t xml:space="preserve"> </w:t>
      </w:r>
      <w:r>
        <w:t xml:space="preserve">has the capacity to eat species</w:t>
      </w:r>
      <w:r>
        <w:t xml:space="preserve"> </w:t>
      </w:r>
      <w:r>
        <w:rPr>
          <w:iCs/>
          <w:i/>
        </w:rPr>
        <w:t xml:space="preserve">b</w:t>
      </w:r>
      <w:r>
        <w:t xml:space="preserve"> </w:t>
      </w:r>
      <w:r>
        <w:t xml:space="preserve">because traits (read gob size), and then you get</w:t>
      </w:r>
      <w:r>
        <w:t xml:space="preserve"> </w:t>
      </w:r>
      <w:r>
        <w:t xml:space="preserve">Rohr et al. (2010)</w:t>
      </w:r>
      <w:r>
        <w:t xml:space="preserve"> </w:t>
      </w:r>
      <w:r>
        <w:t xml:space="preserve">and</w:t>
      </w:r>
      <w:r>
        <w:t xml:space="preserve"> </w:t>
      </w:r>
      <w:r>
        <w:t xml:space="preserve">Strydom et al. (2022)</w:t>
      </w:r>
      <w:r>
        <w:t xml:space="preserve"> </w:t>
      </w:r>
      <w:r>
        <w:t xml:space="preserve">that sit in the weird liminal latent space…</w:t>
      </w:r>
    </w:p>
    <w:p>
      <w:pPr>
        <w:pStyle w:val="BodyText"/>
      </w:pPr>
      <w:r>
        <w:t xml:space="preserve">Here I will probably get on my (newly discovered) soapbox and wax lyrical about how in certain situations structure is enough (and that will probably be for some high-level things like thinking about energy flows etc., I can also see a world in which maybe you want to do some sort of robustness/extinction work - since then you’re usually doing</w:t>
      </w:r>
      <w:r>
        <w:t xml:space="preserve"> </w:t>
      </w:r>
      <w:r>
        <w:t xml:space="preserve">‘</w:t>
      </w:r>
      <w:r>
        <w:t xml:space="preserve">random</w:t>
      </w:r>
      <w:r>
        <w:t xml:space="preserve">’</w:t>
      </w:r>
      <w:r>
        <w:t xml:space="preserve"> </w:t>
      </w:r>
      <w:r>
        <w:t xml:space="preserve">(within limits) extinctions) but there may be use cases where we are really interested in the node-level interactions</w:t>
      </w:r>
      <w:r>
        <w:t xml:space="preserve"> </w:t>
      </w:r>
      <w:r>
        <w:rPr>
          <w:iCs/>
          <w:i/>
        </w:rPr>
        <w:t xml:space="preserve">i.e.,</w:t>
      </w:r>
      <w:r>
        <w:t xml:space="preserve"> </w:t>
      </w:r>
      <w:r>
        <w:t xml:space="preserve">species identity is like a thing we need to care about and also be able to retrieve specific interactions at specific nodes correctly. What is the purpose of generating a network? Is it an element of a bigger question we are asking,</w:t>
      </w:r>
      <w:r>
        <w:t xml:space="preserve"> </w:t>
      </w:r>
      <w:r>
        <w:rPr>
          <w:iCs/>
          <w:i/>
        </w:rPr>
        <w:t xml:space="preserve">e.g.,</w:t>
      </w:r>
      <w:r>
        <w:t xml:space="preserve"> </w:t>
      </w:r>
      <w:r>
        <w:t xml:space="preserve">I want to generate a series of networks to do some extinction simulations/bioenergetic stuff OR are we looking for a</w:t>
      </w:r>
      <w:r>
        <w:t xml:space="preserve"> </w:t>
      </w:r>
      <w:r>
        <w:t xml:space="preserve">‘</w:t>
      </w:r>
      <w:r>
        <w:t xml:space="preserve">final product</w:t>
      </w:r>
      <w:r>
        <w:t xml:space="preserve">’</w:t>
      </w:r>
      <w:r>
        <w:t xml:space="preserve"> </w:t>
      </w:r>
      <w:r>
        <w:t xml:space="preserve">network that is relevant to a specific location? (this can still be broad in geographic scope).</w:t>
      </w:r>
    </w:p>
    <w:p>
      <w:pPr>
        <w:pStyle w:val="BodyText"/>
      </w:pPr>
      <w:r>
        <w:t xml:space="preserve">At some point we are going to need to discuss the key differences and implications between predicting a metaweb (</w:t>
      </w:r>
      <w:r>
        <w:rPr>
          <w:iCs/>
          <w:i/>
        </w:rPr>
        <w:t xml:space="preserve">sensu</w:t>
      </w:r>
      <w:r>
        <w:t xml:space="preserve"> </w:t>
      </w:r>
      <w:r>
        <w:t xml:space="preserve">Jennifer A. Dunne (2006)</w:t>
      </w:r>
      <w:r>
        <w:t xml:space="preserve">) and a network realisation. And here I can’t help but think about</w:t>
      </w:r>
      <w:r>
        <w:t xml:space="preserve"> </w:t>
      </w:r>
      <w:r>
        <w:t xml:space="preserve">Poisot, Stouffer, and Gravel (2015)</w:t>
      </w:r>
      <w:r>
        <w:t xml:space="preserve"> </w:t>
      </w:r>
      <w:r>
        <w:t xml:space="preserve">(and probably other papers) that discuss how the local factors are going to play a role and even the same pair of species may interact differently in different points in the landscape.</w:t>
      </w:r>
    </w:p>
    <w:p>
      <w:pPr>
        <w:pStyle w:val="BlockText"/>
      </w:pPr>
      <w:r>
        <w:t xml:space="preserve">Do we need to delve into individual-based networks? (</w:t>
      </w:r>
      <w:r>
        <w:rPr>
          <w:iCs/>
          <w:i/>
        </w:rPr>
        <w:t xml:space="preserve">sensu</w:t>
      </w:r>
      <w:r>
        <w:t xml:space="preserve"> </w:t>
      </w:r>
      <w:r>
        <w:t xml:space="preserve">Tinker 2012, Araújo 2008) I think its probably a step too far and one starts creeping into apples and pears type of comparisons. Especially since these work off of already existing networks (I seem to recall) and its more about about</w:t>
      </w:r>
      <w:r>
        <w:t xml:space="preserve"> </w:t>
      </w:r>
      <w:r>
        <w:t xml:space="preserve">‘</w:t>
      </w:r>
      <w:r>
        <w:t xml:space="preserve">tweaking</w:t>
      </w:r>
      <w:r>
        <w:t xml:space="preserve">’</w:t>
      </w:r>
      <w:r>
        <w:t xml:space="preserve"> </w:t>
      </w:r>
      <w:r>
        <w:t xml:space="preserve">those - so not so much</w:t>
      </w:r>
      <w:r>
        <w:t xml:space="preserve"> </w:t>
      </w:r>
      <w:r>
        <w:rPr>
          <w:iCs/>
          <w:i/>
        </w:rPr>
        <w:t xml:space="preserve">de novo</w:t>
      </w:r>
      <w:r>
        <w:t xml:space="preserve"> </w:t>
      </w:r>
      <w:r>
        <w:t xml:space="preserve">predictions. Although this might be useful to keep in mind when it comes to re-wiring… Also on that note do we opn the re-wiring door here in this ms or wait it out a bit.</w:t>
      </w:r>
    </w:p>
    <w:bookmarkEnd w:id="20"/>
    <w:bookmarkStart w:id="26" w:name="sec-data-methods"/>
    <w:p>
      <w:pPr>
        <w:pStyle w:val="Heading2"/>
      </w:pPr>
      <w:r>
        <w:t xml:space="preserve">2 Data &amp; Methods</w:t>
      </w:r>
    </w:p>
    <w:bookmarkStart w:id="22" w:name="overview-of-topology-generators"/>
    <w:p>
      <w:pPr>
        <w:pStyle w:val="Heading3"/>
      </w:pPr>
      <w:r>
        <w:t xml:space="preserve">2.1 Overview of topology generators</w:t>
      </w:r>
    </w:p>
    <w:p>
      <w:pPr>
        <w:pStyle w:val="FirstParagraph"/>
      </w:pPr>
      <w:r>
        <w:t xml:space="preserve">I know table are awful but in this case they may make more sense. Also I don’t think I’m at the point where I can say that the table is complete/comprehensive but it getting there Not sure about putting in some papers that have used the model - totes happy to drop those I think…</w:t>
      </w:r>
    </w:p>
    <w:tbl>
      <w:tblPr>
        <w:tblStyle w:val="Table"/>
        <w:tblW w:type="pct" w:w="5000"/>
        <w:tblLook w:firstRow="0" w:lastRow="0" w:firstColumn="0" w:lastColumn="0" w:noHBand="0" w:noVBand="0" w:val="0000"/>
        <w:jc w:val="start"/>
        <w:tblLayout w:type="fixed"/>
      </w:tblPr>
      <w:tblGrid>
        <w:gridCol w:w="7920"/>
      </w:tblGrid>
      <w:tr>
        <w:tc>
          <w:tcPr/>
          <w:bookmarkStart w:id="21" w:name="tbl-history"/>
          <w:p>
            <w:pPr>
              <w:jc w:val="center"/>
            </w:pPr>
            <w:pPr>
              <w:jc w:val="start"/>
              <w:spacing w:before="200"/>
              <w:pStyle w:val="ImageCaption"/>
            </w:pPr>
            <w:r>
              <w:t xml:space="preserve">Table 1: Lets make a table that gives an overview of the different topology generators that we will look at</w:t>
            </w:r>
          </w:p>
          <w:tbl>
            <w:tblPr>
              <w:tblStyle w:val="Table"/>
              <w:tblW w:type="pct" w:w="5000"/>
              <w:tblLook w:firstRow="1" w:lastRow="0" w:firstColumn="0" w:lastColumn="0" w:noHBand="0" w:noVBand="0" w:val="0020"/>
              <w:jc w:val="start"/>
              <w:tblLayout w:type="fixed"/>
            </w:tblPr>
            <w:tblGrid>
              <w:gridCol w:w="737"/>
              <w:gridCol w:w="1785"/>
              <w:gridCol w:w="776"/>
              <w:gridCol w:w="776"/>
              <w:gridCol w:w="1785"/>
              <w:gridCol w:w="776"/>
              <w:gridCol w:w="776"/>
              <w:gridCol w:w="504"/>
            </w:tblGrid>
            <w:tr>
              <w:trPr>
                <w:tblHeader w:val="true"/>
              </w:trPr>
              <w:tc>
                <w:tcPr/>
                <w:p>
                  <w:pPr>
                    <w:pStyle w:val="Compact"/>
                    <w:jc w:val="left"/>
                    <w:jc w:val="center"/>
                  </w:pPr>
                  <w:r>
                    <w:t xml:space="preserve">Approach</w:t>
                  </w:r>
                </w:p>
              </w:tc>
              <w:tc>
                <w:tcPr/>
                <w:p>
                  <w:pPr>
                    <w:pStyle w:val="Compact"/>
                    <w:jc w:val="left"/>
                    <w:jc w:val="center"/>
                  </w:pPr>
                  <w:r>
                    <w:t xml:space="preserve">Reference</w:t>
                  </w:r>
                </w:p>
              </w:tc>
              <w:tc>
                <w:tcPr/>
                <w:p>
                  <w:pPr>
                    <w:pStyle w:val="Compact"/>
                    <w:jc w:val="left"/>
                    <w:jc w:val="center"/>
                  </w:pPr>
                  <w:r>
                    <w:t xml:space="preserve">Core Mechanism</w:t>
                  </w:r>
                </w:p>
              </w:tc>
              <w:tc>
                <w:tcPr/>
                <w:p>
                  <w:pPr>
                    <w:pStyle w:val="Compact"/>
                    <w:jc w:val="left"/>
                    <w:jc w:val="center"/>
                  </w:pPr>
                  <w:r>
                    <w:rPr>
                      <w:iCs/>
                      <w:i/>
                    </w:rPr>
                    <w:t xml:space="preserve">e.g.,</w:t>
                  </w:r>
                  <w:r>
                    <w:t xml:space="preserve"> </w:t>
                  </w:r>
                  <w:r>
                    <w:t xml:space="preserve">uses</w:t>
                  </w:r>
                </w:p>
              </w:tc>
              <w:tc>
                <w:tcPr/>
                <w:p>
                  <w:pPr>
                    <w:pStyle w:val="Compact"/>
                    <w:jc w:val="left"/>
                    <w:jc w:val="center"/>
                  </w:pPr>
                  <w:r>
                    <w:t xml:space="preserve">Applications (potential)</w:t>
                  </w:r>
                </w:p>
              </w:tc>
              <w:tc>
                <w:tcPr/>
                <w:p>
                  <w:pPr>
                    <w:pStyle w:val="Compact"/>
                    <w:jc w:val="left"/>
                    <w:jc w:val="center"/>
                  </w:pPr>
                  <w:r>
                    <w:t xml:space="preserve">End product</w:t>
                  </w:r>
                </w:p>
              </w:tc>
              <w:tc>
                <w:tcPr/>
                <w:p>
                  <w:pPr>
                    <w:pStyle w:val="Compact"/>
                    <w:jc w:val="left"/>
                    <w:jc w:val="center"/>
                  </w:pPr>
                  <w:r>
                    <w:t xml:space="preserve">Theory basis</w:t>
                  </w:r>
                </w:p>
              </w:tc>
              <w:tc>
                <w:tcPr/>
                <w:p>
                  <w:pPr>
                    <w:pStyle w:val="Compact"/>
                    <w:jc w:val="left"/>
                    <w:jc w:val="center"/>
                  </w:pPr>
                  <w:r>
                    <w:t xml:space="preserve">Assumptions</w:t>
                  </w:r>
                </w:p>
              </w:tc>
            </w:tr>
            <w:tr>
              <w:tc>
                <w:tcPr/>
                <w:p>
                  <w:pPr>
                    <w:pStyle w:val="Compact"/>
                    <w:jc w:val="left"/>
                    <w:jc w:val="center"/>
                  </w:pPr>
                  <w:r>
                    <w:t xml:space="preserve">Cascade model</w:t>
                  </w:r>
                </w:p>
              </w:tc>
              <w:tc>
                <w:tcPr/>
                <w:p>
                  <w:pPr>
                    <w:pStyle w:val="Compact"/>
                    <w:jc w:val="left"/>
                    <w:jc w:val="center"/>
                  </w:pPr>
                  <w:r>
                    <w:t xml:space="preserve">Joel E. Cohen, Briand, and Newman (1990)</w:t>
                  </w:r>
                  <w:r>
                    <w:t xml:space="preserve">;</w:t>
                  </w:r>
                  <w:r>
                    <w:t xml:space="preserve"> </w:t>
                  </w:r>
                  <w:r>
                    <w:t xml:space="preserve">Joel E. Cohen, Newman, and Steele (1997)</w:t>
                  </w:r>
                </w:p>
              </w:tc>
              <w:tc>
                <w:tcPr/>
                <w:p>
                  <w:pPr>
                    <w:pStyle w:val="Compact"/>
                    <w:jc w:val="left"/>
                    <w:jc w:val="center"/>
                  </w:pPr>
                  <w:r>
                    <w:t xml:space="preserve">structural</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Niche model</w:t>
                  </w:r>
                </w:p>
              </w:tc>
              <w:tc>
                <w:tcPr/>
                <w:p>
                  <w:pPr>
                    <w:pStyle w:val="Compact"/>
                    <w:jc w:val="left"/>
                    <w:jc w:val="center"/>
                  </w:pPr>
                  <w:r>
                    <w:t xml:space="preserve">Williams and Martinez (2000)</w:t>
                  </w:r>
                  <w:r>
                    <w:t xml:space="preserve">;</w:t>
                  </w:r>
                  <w:r>
                    <w:t xml:space="preserve"> </w:t>
                  </w:r>
                  <w:r>
                    <w:t xml:space="preserve">Williams and Martinez (2008)</w:t>
                  </w:r>
                </w:p>
              </w:tc>
              <w:tc>
                <w:tcPr/>
                <w:p>
                  <w:pPr>
                    <w:pStyle w:val="Compact"/>
                    <w:jc w:val="left"/>
                    <w:jc w:val="center"/>
                  </w:pPr>
                  <w:r>
                    <w:t xml:space="preserve">structural</w:t>
                  </w:r>
                </w:p>
              </w:tc>
              <w:tc>
                <w:tcPr/>
                <w:p>
                  <w:pPr>
                    <w:pStyle w:val="Compact"/>
                  </w:pPr>
                </w:p>
              </w:tc>
              <w:tc>
                <w:tcPr/>
                <w:p>
                  <w:pPr>
                    <w:pStyle w:val="Compact"/>
                  </w:pPr>
                </w:p>
              </w:tc>
              <w:tc>
                <w:tcPr/>
                <w:p>
                  <w:pPr>
                    <w:pStyle w:val="Compact"/>
                    <w:jc w:val="left"/>
                    <w:jc w:val="center"/>
                  </w:pPr>
                  <w:r>
                    <w:t xml:space="preserve">networks have a finite number of links and species are partitioned along a resource</w:t>
                  </w:r>
                </w:p>
              </w:tc>
              <w:tc>
                <w:tcPr/>
                <w:p>
                  <w:pPr>
                    <w:pStyle w:val="Compact"/>
                    <w:jc w:val="left"/>
                    <w:jc w:val="center"/>
                  </w:pPr>
                  <w:r>
                    <w:t xml:space="preserve">A network configuration for a given number of species &amp; connectance</w:t>
                  </w:r>
                </w:p>
              </w:tc>
              <w:tc>
                <w:tcPr/>
                <w:p>
                  <w:pPr>
                    <w:pStyle w:val="Compact"/>
                    <w:jc w:val="left"/>
                    <w:jc w:val="center"/>
                  </w:pPr>
                  <w:r>
                    <w:t xml:space="preserve">connectance, and others</w:t>
                  </w:r>
                </w:p>
              </w:tc>
            </w:tr>
            <w:tr>
              <w:tc>
                <w:tcPr/>
                <w:p>
                  <w:pPr>
                    <w:pStyle w:val="Compact"/>
                    <w:jc w:val="left"/>
                    <w:jc w:val="center"/>
                  </w:pPr>
                  <w:r>
                    <w:t xml:space="preserve">PFIM</w:t>
                  </w:r>
                </w:p>
              </w:tc>
              <w:tc>
                <w:tcPr/>
                <w:p>
                  <w:pPr>
                    <w:pStyle w:val="Compact"/>
                    <w:jc w:val="left"/>
                    <w:jc w:val="center"/>
                  </w:pPr>
                  <w:r>
                    <w:t xml:space="preserve">Shaw et al. (2024)</w:t>
                  </w:r>
                </w:p>
              </w:tc>
              <w:tc>
                <w:tcPr/>
                <w:p>
                  <w:pPr>
                    <w:pStyle w:val="Compact"/>
                    <w:jc w:val="left"/>
                    <w:jc w:val="center"/>
                  </w:pPr>
                  <w:r>
                    <w:t xml:space="preserve">mechanistic</w:t>
                  </w:r>
                </w:p>
              </w:tc>
              <w:tc>
                <w:tcPr/>
                <w:p>
                  <w:pPr>
                    <w:pStyle w:val="Compact"/>
                    <w:jc w:val="left"/>
                    <w:jc w:val="center"/>
                  </w:pPr>
                  <w:r>
                    <w:t xml:space="preserve">Dunhill (in review)</w:t>
                  </w:r>
                </w:p>
              </w:tc>
              <w:tc>
                <w:tcPr/>
                <w:p>
                  <w:pPr>
                    <w:pStyle w:val="Compact"/>
                    <w:jc w:val="left"/>
                    <w:jc w:val="center"/>
                  </w:pPr>
                  <w:r>
                    <w:t xml:space="preserve">prehistoric networks (but can be modified)</w:t>
                  </w:r>
                </w:p>
              </w:tc>
              <w:tc>
                <w:tcPr/>
                <w:p>
                  <w:pPr>
                    <w:pStyle w:val="Compact"/>
                    <w:jc w:val="left"/>
                    <w:jc w:val="center"/>
                  </w:pPr>
                  <w:r>
                    <w:t xml:space="preserve">Metaweb (I’d argue)</w:t>
                  </w:r>
                </w:p>
              </w:tc>
              <w:tc>
                <w:tcPr/>
                <w:p>
                  <w:pPr>
                    <w:pStyle w:val="Compact"/>
                    <w:jc w:val="left"/>
                    <w:jc w:val="center"/>
                  </w:pPr>
                  <w:r>
                    <w:t xml:space="preserve">traits determine interactions</w:t>
                  </w:r>
                </w:p>
              </w:tc>
              <w:tc>
                <w:tcPr/>
                <w:p>
                  <w:pPr>
                    <w:pStyle w:val="Compact"/>
                    <w:jc w:val="left"/>
                    <w:jc w:val="center"/>
                  </w:pPr>
                  <w:r>
                    <w:t xml:space="preserve">feeding mechanisms are trait correlated</w:t>
                  </w:r>
                </w:p>
              </w:tc>
            </w:tr>
            <w:tr>
              <w:tc>
                <w:tcPr/>
                <w:p>
                  <w:pPr>
                    <w:pStyle w:val="Compact"/>
                    <w:jc w:val="left"/>
                    <w:jc w:val="center"/>
                  </w:pPr>
                  <w:r>
                    <w:t xml:space="preserve">Log-ratio</w:t>
                  </w:r>
                </w:p>
              </w:tc>
              <w:tc>
                <w:tcPr/>
                <w:p>
                  <w:pPr>
                    <w:pStyle w:val="Compact"/>
                    <w:jc w:val="left"/>
                    <w:jc w:val="center"/>
                  </w:pPr>
                  <w:r>
                    <w:t xml:space="preserve">Rohr et al. (2010)</w:t>
                  </w:r>
                </w:p>
              </w:tc>
              <w:tc>
                <w:tcPr/>
                <w:p>
                  <w:pPr>
                    <w:pStyle w:val="Compact"/>
                    <w:jc w:val="left"/>
                    <w:jc w:val="center"/>
                  </w:pPr>
                  <w:r>
                    <w:t xml:space="preserve">latent trait space</w:t>
                  </w:r>
                </w:p>
              </w:tc>
              <w:tc>
                <w:tcPr/>
                <w:p>
                  <w:pPr>
                    <w:pStyle w:val="Compact"/>
                    <w:jc w:val="left"/>
                    <w:jc w:val="center"/>
                  </w:pPr>
                  <w:r>
                    <w:t xml:space="preserve">Yeakel et al. (2014)</w:t>
                  </w:r>
                  <w:r>
                    <w:t xml:space="preserve">,</w:t>
                  </w:r>
                  <w:r>
                    <w:t xml:space="preserve"> </w:t>
                  </w:r>
                  <w:r>
                    <w:t xml:space="preserve">Pires et al. (2020)</w:t>
                  </w:r>
                  <w:r>
                    <w:t xml:space="preserve"> </w:t>
                  </w:r>
                  <w:r>
                    <w:t xml:space="preserve">(?)</w:t>
                  </w: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Nested hierarchy</w:t>
                  </w:r>
                </w:p>
              </w:tc>
              <w:tc>
                <w:tcPr/>
                <w:p>
                  <w:pPr>
                    <w:pStyle w:val="Compact"/>
                    <w:jc w:val="left"/>
                    <w:jc w:val="center"/>
                  </w:pPr>
                  <w:r>
                    <w:t xml:space="preserve">Cattin et al. (2004)</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ADBM</w:t>
                  </w:r>
                </w:p>
              </w:tc>
              <w:tc>
                <w:tcPr/>
                <w:p>
                  <w:pPr>
                    <w:pStyle w:val="Compact"/>
                    <w:jc w:val="left"/>
                    <w:jc w:val="center"/>
                  </w:pPr>
                  <w:r>
                    <w:t xml:space="preserve">Petchey et al. (2008)</w:t>
                  </w:r>
                </w:p>
              </w:tc>
              <w:tc>
                <w:tcPr/>
                <w:p>
                  <w:pPr>
                    <w:pStyle w:val="Compact"/>
                    <w:jc w:val="left"/>
                    <w:jc w:val="center"/>
                  </w:pPr>
                  <w:r>
                    <w:t xml:space="preserve">mechanistic</w:t>
                  </w:r>
                </w:p>
              </w:tc>
              <w:tc>
                <w:tcPr/>
                <w:p>
                  <w:pPr>
                    <w:pStyle w:val="Compact"/>
                    <w:jc w:val="left"/>
                    <w:jc w:val="center"/>
                  </w:pPr>
                  <w:r>
                    <w:t xml:space="preserve">probably multiple</w:t>
                  </w:r>
                </w:p>
              </w:tc>
              <w:tc>
                <w:tcPr/>
                <w:p>
                  <w:pPr>
                    <w:pStyle w:val="Compact"/>
                  </w:pPr>
                </w:p>
              </w:tc>
              <w:tc>
                <w:tcPr/>
                <w:p>
                  <w:pPr>
                    <w:pStyle w:val="Compact"/>
                    <w:jc w:val="left"/>
                    <w:jc w:val="center"/>
                  </w:pPr>
                  <w:r>
                    <w:t xml:space="preserve">working on it…</w:t>
                  </w:r>
                </w:p>
              </w:tc>
              <w:tc>
                <w:tcPr/>
                <w:p>
                  <w:pPr>
                    <w:pStyle w:val="Compact"/>
                    <w:jc w:val="left"/>
                    <w:jc w:val="center"/>
                  </w:pPr>
                  <w:r>
                    <w:t xml:space="preserve">diet and body size determine interactions</w:t>
                  </w:r>
                </w:p>
              </w:tc>
              <w:tc>
                <w:tcPr/>
                <w:p>
                  <w:pPr>
                    <w:pStyle w:val="Compact"/>
                    <w:jc w:val="left"/>
                    <w:jc w:val="center"/>
                  </w:pPr>
                  <w:r>
                    <w:t xml:space="preserve">size and resources (many) limitations</w:t>
                  </w:r>
                </w:p>
              </w:tc>
            </w:tr>
            <w:tr>
              <w:tc>
                <w:tcPr/>
                <w:p>
                  <w:pPr>
                    <w:pStyle w:val="Compact"/>
                    <w:jc w:val="left"/>
                    <w:jc w:val="center"/>
                  </w:pPr>
                  <w:r>
                    <w:t xml:space="preserve">Stochastic</w:t>
                  </w:r>
                </w:p>
              </w:tc>
              <w:tc>
                <w:tcPr/>
                <w:p>
                  <w:pPr>
                    <w:pStyle w:val="Compact"/>
                    <w:jc w:val="left"/>
                    <w:jc w:val="center"/>
                  </w:pPr>
                  <w:r>
                    <w:t xml:space="preserve">Rossberg et al. (2006)</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Graph Embedding</w:t>
                  </w:r>
                </w:p>
              </w:tc>
              <w:tc>
                <w:tcPr/>
                <w:p>
                  <w:pPr>
                    <w:pStyle w:val="Compact"/>
                    <w:jc w:val="left"/>
                    <w:jc w:val="center"/>
                  </w:pPr>
                  <w:r>
                    <w:t xml:space="preserve">Strydom et al. (2023)</w:t>
                  </w:r>
                </w:p>
              </w:tc>
              <w:tc>
                <w:tcPr/>
                <w:p>
                  <w:pPr>
                    <w:pStyle w:val="Compact"/>
                    <w:jc w:val="left"/>
                    <w:jc w:val="center"/>
                  </w:pPr>
                  <w:r>
                    <w:t xml:space="preserve">latent trait space</w:t>
                  </w:r>
                </w:p>
              </w:tc>
              <w:tc>
                <w:tcPr/>
                <w:p>
                  <w:pPr>
                    <w:pStyle w:val="Compact"/>
                    <w:jc w:val="left"/>
                    <w:jc w:val="center"/>
                  </w:pPr>
                  <w:r>
                    <w:t xml:space="preserve">Strydom et al. (2022)</w:t>
                  </w:r>
                </w:p>
              </w:tc>
              <w:tc>
                <w:tcPr/>
                <w:p>
                  <w:pPr>
                    <w:pStyle w:val="Compact"/>
                    <w:jc w:val="left"/>
                    <w:jc w:val="center"/>
                  </w:pPr>
                  <w:r>
                    <w:t xml:space="preserve">Generate metaweb for specific species pool</w:t>
                  </w:r>
                </w:p>
              </w:tc>
              <w:tc>
                <w:tcPr/>
                <w:p>
                  <w:pPr>
                    <w:pStyle w:val="Compact"/>
                    <w:jc w:val="left"/>
                    <w:jc w:val="center"/>
                  </w:pPr>
                  <w:r>
                    <w:t xml:space="preserve">Probabilistic metaweb</w:t>
                  </w:r>
                </w:p>
              </w:tc>
              <w:tc>
                <w:tcPr/>
                <w:p>
                  <w:pPr>
                    <w:pStyle w:val="Compact"/>
                    <w:jc w:val="left"/>
                    <w:jc w:val="center"/>
                  </w:pPr>
                  <w:r>
                    <w:t xml:space="preserve">interactions are</w:t>
                  </w:r>
                  <w:r>
                    <w:t xml:space="preserve"> </w:t>
                  </w:r>
                  <w:r>
                    <w:t xml:space="preserve">‘</w:t>
                  </w:r>
                  <w:r>
                    <w:t xml:space="preserve">encoded</w:t>
                  </w:r>
                  <w:r>
                    <w:t xml:space="preserve">’</w:t>
                  </w:r>
                  <w:r>
                    <w:t xml:space="preserve"> </w:t>
                  </w:r>
                  <w:r>
                    <w:t xml:space="preserve">and can thus be extracted and transferred to similar species</w:t>
                  </w:r>
                </w:p>
              </w:tc>
              <w:tc>
                <w:tcPr/>
                <w:p>
                  <w:pPr>
                    <w:pStyle w:val="Compact"/>
                    <w:jc w:val="left"/>
                    <w:jc w:val="center"/>
                  </w:pPr>
                  <w:r>
                    <w:t xml:space="preserve">evolutionary backbones/signals</w:t>
                  </w:r>
                </w:p>
              </w:tc>
            </w:tr>
            <w:tr>
              <w:tc>
                <w:tcPr/>
                <w:p>
                  <w:pPr>
                    <w:pStyle w:val="Compact"/>
                    <w:jc w:val="left"/>
                    <w:jc w:val="center"/>
                  </w:pPr>
                  <w:r>
                    <w:t xml:space="preserve">Trait-based</w:t>
                  </w:r>
                </w:p>
              </w:tc>
              <w:tc>
                <w:tcPr/>
                <w:p>
                  <w:pPr>
                    <w:pStyle w:val="Compact"/>
                    <w:jc w:val="left"/>
                    <w:jc w:val="center"/>
                  </w:pPr>
                  <w:r>
                    <w:t xml:space="preserve">Caron et al. (2022)</w:t>
                  </w:r>
                </w:p>
              </w:tc>
              <w:tc>
                <w:tcPr/>
                <w:p>
                  <w:pPr>
                    <w:pStyle w:val="Compact"/>
                    <w:jc w:val="left"/>
                    <w:jc w:val="center"/>
                  </w:pPr>
                  <w:r>
                    <w:t xml:space="preserve">mechanistic</w:t>
                  </w:r>
                </w:p>
              </w:tc>
              <w:tc>
                <w:tcPr/>
                <w:p>
                  <w:pPr>
                    <w:pStyle w:val="Compact"/>
                    <w:jc w:val="left"/>
                    <w:jc w:val="center"/>
                  </w:pPr>
                  <w:r>
                    <w:t xml:space="preserve">Caron et al. (2023)</w:t>
                  </w:r>
                </w:p>
              </w:tc>
              <w:tc>
                <w:tcPr/>
                <w:p>
                  <w:pPr>
                    <w:pStyle w:val="Compact"/>
                  </w:pPr>
                </w:p>
              </w:tc>
              <w:tc>
                <w:tcPr/>
                <w:p>
                  <w:pPr>
                    <w:pStyle w:val="Compact"/>
                    <w:jc w:val="left"/>
                    <w:jc w:val="center"/>
                  </w:pPr>
                  <w:r>
                    <w:t xml:space="preserve">metaweb</w:t>
                  </w:r>
                </w:p>
              </w:tc>
              <w:tc>
                <w:tcPr/>
                <w:p>
                  <w:pPr>
                    <w:pStyle w:val="Compact"/>
                    <w:jc w:val="left"/>
                    <w:jc w:val="center"/>
                  </w:pPr>
                  <w:r>
                    <w:t xml:space="preserve">traits determine interactions</w:t>
                  </w:r>
                </w:p>
              </w:tc>
              <w:tc>
                <w:tcPr/>
                <w:p>
                  <w:pPr>
                    <w:pStyle w:val="Compact"/>
                    <w:jc w:val="left"/>
                    <w:jc w:val="center"/>
                  </w:pPr>
                  <w:r>
                    <w:t xml:space="preserve">feeding mechanisms are trait correlated</w:t>
                  </w:r>
                </w:p>
              </w:tc>
            </w:tr>
            <w:tr>
              <w:tc>
                <w:tcPr/>
                <w:p>
                  <w:pPr>
                    <w:pStyle w:val="Compact"/>
                    <w:jc w:val="left"/>
                    <w:jc w:val="center"/>
                  </w:pPr>
                  <w:r>
                    <w:t xml:space="preserve">Random</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jc w:val="center"/>
                  </w:pPr>
                  <w:r>
                    <w:t xml:space="preserve">chaos and anarchy</w:t>
                  </w:r>
                </w:p>
              </w:tc>
            </w:tr>
          </w:tbl>
          <w:bookmarkEnd w:id="21"/>
          <w:p/>
        </w:tc>
      </w:tr>
    </w:tbl>
    <w:p>
      <w:pPr>
        <w:pStyle w:val="BlockText"/>
      </w:pPr>
      <w:r>
        <w:t xml:space="preserve">Might be nice to have a little appendix/supp mat that breaks down the models in detail so that they are all in one place so that someone (grad student being told they need to build networks) some day can go and educate themselves with slightly lower effort. This will also be useful for me should I end up having to do some actual coding - think of this as step one in the pseudo code process.</w:t>
      </w:r>
    </w:p>
    <w:bookmarkEnd w:id="22"/>
    <w:bookmarkStart w:id="23" w:name="datasets-used"/>
    <w:p>
      <w:pPr>
        <w:pStyle w:val="Heading3"/>
      </w:pPr>
      <w:r>
        <w:t xml:space="preserve">2.2 Datasets used</w:t>
      </w:r>
    </w:p>
    <w:p>
      <w:pPr>
        <w:pStyle w:val="FirstParagraph"/>
      </w:pPr>
      <w:r>
        <w:t xml:space="preserve">Here I think we need to span a variety of domains, at minimum aquatic and terrestrial but maybe there should be a</w:t>
      </w:r>
      <w:r>
        <w:t xml:space="preserve"> </w:t>
      </w:r>
      <w:r>
        <w:t xml:space="preserve">‘</w:t>
      </w:r>
      <w:r>
        <w:t xml:space="preserve">scale</w:t>
      </w:r>
      <w:r>
        <w:t xml:space="preserve">’</w:t>
      </w:r>
      <w:r>
        <w:t xml:space="preserve"> </w:t>
      </w:r>
      <w:r>
        <w:t xml:space="preserve">element as well</w:t>
      </w:r>
      <w:r>
        <w:t xml:space="preserve"> </w:t>
      </w:r>
      <w:r>
        <w:rPr>
          <w:iCs/>
          <w:i/>
        </w:rPr>
        <w:t xml:space="preserve">i.e.,</w:t>
      </w:r>
      <w:r>
        <w:t xml:space="preserve"> </w:t>
      </w:r>
      <w:r>
        <w:t xml:space="preserve">a regional and local network. I think there is going to be a</w:t>
      </w:r>
      <w:r>
        <w:t xml:space="preserve"> </w:t>
      </w:r>
      <w:r>
        <w:t xml:space="preserve">‘</w:t>
      </w:r>
      <w:r>
        <w:t xml:space="preserve">turning point</w:t>
      </w:r>
      <w:r>
        <w:t xml:space="preserve">’</w:t>
      </w:r>
      <w:r>
        <w:t xml:space="preserve"> </w:t>
      </w:r>
      <w:r>
        <w:t xml:space="preserve">where structural will take over from mechanistic in terms of performance. More specifically at local scales bioenergetic constraints (and co-occurrence) may play a bigger role in structuring a network whereas at the metaweb level then mechanistic may make more (since by default its about who can potentially interact and obviously not constrained by real-world scenarios)</w:t>
      </w:r>
      <w:r>
        <w:t xml:space="preserve"> </w:t>
      </w:r>
      <w:r>
        <w:rPr>
          <w:iCs/>
          <w:i/>
        </w:rPr>
        <w:t xml:space="preserve">sensu</w:t>
      </w:r>
      <w:r>
        <w:t xml:space="preserve"> </w:t>
      </w:r>
      <w:r>
        <w:t xml:space="preserve">Caron et al. (2023)</w:t>
      </w:r>
      <w:r>
        <w:t xml:space="preserve">. Although having said that I feel that contradicts the idea of backbones (</w:t>
      </w:r>
      <w:r>
        <w:rPr>
          <w:iCs/>
          <w:i/>
        </w:rPr>
        <w:t xml:space="preserve">sensu</w:t>
      </w:r>
      <w:r>
        <w:t xml:space="preserve"> </w:t>
      </w:r>
      <w:r>
        <w:t xml:space="preserve">Bramon Mora (sp?) et al &amp; Stouffer et al) But that might be where we get the idea of core</w:t>
      </w:r>
      <w:r>
        <w:t xml:space="preserve"> </w:t>
      </w:r>
      <w:r>
        <w:rPr>
          <w:iCs/>
          <w:i/>
        </w:rPr>
        <w:t xml:space="preserve">structure</w:t>
      </w:r>
      <w:r>
        <w:t xml:space="preserve"> </w:t>
      </w:r>
      <w:r>
        <w:t xml:space="preserve">vs something like linkage density. So core things like trophic level/chain length will be conserved but connectance might not (I think I understand what I’m trying to say here)</w:t>
      </w:r>
    </w:p>
    <w:p>
      <w:pPr>
        <w:pStyle w:val="BodyText"/>
      </w:pPr>
      <w:r>
        <w:t xml:space="preserve">I think we should also use the Dunne (I think) Cambrian (also think) network (I was correct and its this one</w:t>
      </w:r>
      <w:r>
        <w:t xml:space="preserve"> </w:t>
      </w:r>
      <w:r>
        <w:t xml:space="preserve">Jennifer A. Dunne et al. (2008)</w:t>
      </w:r>
      <w:r>
        <w:t xml:space="preserve">). Because 1) it gives the paleo-centric methods their moment in the sun and 2) I think it also brings up the interesting question of can we use modern structure to predict past ones? Here one might expect a more mechanistic approach to shine.</w:t>
      </w:r>
    </w:p>
    <w:p>
      <w:pPr>
        <w:pStyle w:val="BodyText"/>
      </w:pPr>
      <w:r>
        <w:t xml:space="preserve">Draw the other datasets from</w:t>
      </w:r>
      <w:r>
        <w:t xml:space="preserve"> </w:t>
      </w:r>
      <w:r>
        <w:rPr>
          <w:rStyle w:val="VerbatimChar"/>
        </w:rPr>
        <w:t xml:space="preserve">Mangal</w:t>
      </w:r>
      <w:r>
        <w:t xml:space="preserve"> </w:t>
      </w:r>
      <w:r>
        <w:t xml:space="preserve">because they will be nicely formatted and essentially at point and shoot level</w:t>
      </w:r>
    </w:p>
    <w:bookmarkEnd w:id="23"/>
    <w:bookmarkStart w:id="25" w:name="comparing-different-models"/>
    <w:p>
      <w:pPr>
        <w:pStyle w:val="Heading3"/>
      </w:pPr>
      <w:r>
        <w:t xml:space="preserve">2.3 Comparing different models</w:t>
      </w:r>
    </w:p>
    <w:p>
      <w:pPr>
        <w:pStyle w:val="FirstParagraph"/>
      </w:pPr>
      <w:r>
        <w:t xml:space="preserve">For now the (still essentially pending) workflow/associated code can be found at the following repository</w:t>
      </w:r>
      <w:r>
        <w:t xml:space="preserve"> </w:t>
      </w:r>
      <w:hyperlink r:id="rId24">
        <w:r>
          <w:rPr>
            <w:rStyle w:val="Hyperlink"/>
          </w:rPr>
          <w:t xml:space="preserve">BecksLab/topology_generators</w:t>
        </w:r>
      </w:hyperlink>
    </w:p>
    <w:p>
      <w:pPr>
        <w:numPr>
          <w:ilvl w:val="0"/>
          <w:numId w:val="1001"/>
        </w:numPr>
        <w:pStyle w:val="Compact"/>
      </w:pPr>
      <w:r>
        <w:t xml:space="preserve">Shortlist/finalise the different topo generators</w:t>
      </w:r>
    </w:p>
    <w:p>
      <w:pPr>
        <w:numPr>
          <w:ilvl w:val="0"/>
          <w:numId w:val="1001"/>
        </w:numPr>
        <w:pStyle w:val="Compact"/>
      </w:pPr>
      <w:r>
        <w:t xml:space="preserve">collate/translate into</w:t>
      </w:r>
      <w:r>
        <w:t xml:space="preserve"> </w:t>
      </w:r>
      <w:r>
        <w:rPr>
          <w:rStyle w:val="VerbatimChar"/>
        </w:rPr>
        <w:t xml:space="preserve">Julia</w:t>
      </w:r>
    </w:p>
    <w:p>
      <w:pPr>
        <w:numPr>
          <w:ilvl w:val="1"/>
          <w:numId w:val="1002"/>
        </w:numPr>
        <w:pStyle w:val="Compact"/>
      </w:pPr>
      <w:r>
        <w:rPr>
          <w:iCs/>
          <w:i/>
        </w:rPr>
        <w:t xml:space="preserve">e.g.,</w:t>
      </w:r>
      <w:r>
        <w:t xml:space="preserve"> </w:t>
      </w:r>
      <w:r>
        <w:t xml:space="preserve">some models wil be in SpeciesInteractionNetworks.jl (new EcoNet); I know (parts of) the transfer learning stuff is and the niche model</w:t>
      </w:r>
    </w:p>
    <w:p>
      <w:pPr>
        <w:numPr>
          <w:ilvl w:val="1"/>
          <w:numId w:val="1002"/>
        </w:numPr>
        <w:pStyle w:val="Compact"/>
      </w:pPr>
      <w:r>
        <w:t xml:space="preserve">others will need to be coded out (the more simpler models should be easier)</w:t>
      </w:r>
    </w:p>
    <w:p>
      <w:pPr>
        <w:numPr>
          <w:ilvl w:val="1"/>
          <w:numId w:val="1002"/>
        </w:numPr>
        <w:pStyle w:val="Compact"/>
      </w:pPr>
      <w:r>
        <w:t xml:space="preserve">can also consider</w:t>
      </w:r>
      <w:r>
        <w:t xml:space="preserve"> </w:t>
      </w:r>
      <w:r>
        <w:rPr>
          <w:rStyle w:val="VerbatimChar"/>
        </w:rPr>
        <w:t xml:space="preserve">R</w:t>
      </w:r>
      <w:r>
        <w:t xml:space="preserve"> </w:t>
      </w:r>
      <w:r>
        <w:t xml:space="preserve">but then it becomes a case of porting things left and right depending on how we decide to do the post analyses</w:t>
      </w:r>
    </w:p>
    <w:p>
      <w:pPr>
        <w:numPr>
          <w:ilvl w:val="0"/>
          <w:numId w:val="1001"/>
        </w:numPr>
        <w:pStyle w:val="Compact"/>
      </w:pPr>
      <w:r>
        <w:t xml:space="preserve">Curate networks for the different datasets/scenarios we select - I feel like there might be some scenarios that we can’t do all models for all datasets but maybe I’m being a pessimist.</w:t>
      </w:r>
    </w:p>
    <w:p>
      <w:pPr>
        <w:numPr>
          <w:ilvl w:val="1"/>
          <w:numId w:val="1003"/>
        </w:numPr>
        <w:pStyle w:val="Compact"/>
      </w:pPr>
      <w:r>
        <w:t xml:space="preserve">Need to also think about where one might find the additional data for some of the models…</w:t>
      </w:r>
    </w:p>
    <w:p>
      <w:pPr>
        <w:numPr>
          <w:ilvl w:val="2"/>
          <w:numId w:val="1004"/>
        </w:numPr>
        <w:pStyle w:val="Compact"/>
      </w:pPr>
      <w:r>
        <w:t xml:space="preserve">Body size:</w:t>
      </w:r>
      <w:r>
        <w:t xml:space="preserve"> </w:t>
      </w:r>
      <w:r>
        <w:t xml:space="preserve">Herberstein et al. (2022)</w:t>
      </w:r>
      <w:r>
        <w:t xml:space="preserve"> </w:t>
      </w:r>
      <w:r>
        <w:t xml:space="preserve">- Although maybe Andrew has strong thotsTM RE the one true body size database to rule them all…</w:t>
      </w:r>
    </w:p>
    <w:p>
      <w:pPr>
        <w:numPr>
          <w:ilvl w:val="2"/>
          <w:numId w:val="1004"/>
        </w:numPr>
        <w:pStyle w:val="Compact"/>
      </w:pPr>
      <w:r>
        <w:t xml:space="preserve">Other trait sources:</w:t>
      </w:r>
      <w:r>
        <w:t xml:space="preserve"> </w:t>
      </w:r>
      <w:r>
        <w:t xml:space="preserve">Wilman et al. (2014)</w:t>
      </w:r>
      <w:r>
        <w:t xml:space="preserve"> </w:t>
      </w:r>
      <w:r>
        <w:t xml:space="preserve">and</w:t>
      </w:r>
      <w:r>
        <w:t xml:space="preserve"> </w:t>
      </w:r>
      <w:r>
        <w:t xml:space="preserve">Jones et al. (2009)</w:t>
      </w:r>
    </w:p>
    <w:p>
      <w:pPr>
        <w:numPr>
          <w:ilvl w:val="2"/>
          <w:numId w:val="1004"/>
        </w:numPr>
        <w:pStyle w:val="Compact"/>
      </w:pPr>
      <w:r>
        <w:t xml:space="preserve">This is where we’ll get the paleo traits from if I’m correct</w:t>
      </w:r>
      <w:r>
        <w:t xml:space="preserve"> </w:t>
      </w:r>
      <w:r>
        <w:t xml:space="preserve">Bambach, Bush, and Erwin (2007)</w:t>
      </w:r>
    </w:p>
    <w:p>
      <w:pPr>
        <w:numPr>
          <w:ilvl w:val="2"/>
          <w:numId w:val="1004"/>
        </w:numPr>
        <w:pStyle w:val="Compact"/>
      </w:pPr>
      <w:r>
        <w:t xml:space="preserve">Phylogeny stuff:</w:t>
      </w:r>
      <w:r>
        <w:t xml:space="preserve"> </w:t>
      </w:r>
      <w:r>
        <w:t xml:space="preserve">Upham, Esselstyn, and Jetz (2019)</w:t>
      </w:r>
      <w:r>
        <w:t xml:space="preserve"> </w:t>
      </w:r>
      <w:r>
        <w:t xml:space="preserve">(what we used for TL but its only mammals…) but I’m sure there will be others</w:t>
      </w:r>
    </w:p>
    <w:p>
      <w:pPr>
        <w:numPr>
          <w:ilvl w:val="1"/>
          <w:numId w:val="1003"/>
        </w:numPr>
        <w:pStyle w:val="Compact"/>
      </w:pPr>
      <w:r>
        <w:t xml:space="preserve">Also limitation of scope…</w:t>
      </w:r>
      <w:r>
        <w:t xml:space="preserve"> </w:t>
      </w:r>
      <w:r>
        <w:rPr>
          <w:iCs/>
          <w:i/>
        </w:rPr>
        <w:t xml:space="preserve">e.g.,</w:t>
      </w:r>
      <w:r>
        <w:t xml:space="preserve"> </w:t>
      </w:r>
      <w:r>
        <w:t xml:space="preserve">do we even dare to think about including plants/basal producers (see</w:t>
      </w:r>
      <w:r>
        <w:t xml:space="preserve"> </w:t>
      </w:r>
      <w:r>
        <w:rPr>
          <w:iCs/>
          <w:i/>
        </w:rPr>
        <w:t xml:space="preserve">e.g.,</w:t>
      </w:r>
      <w:r>
        <w:t xml:space="preserve"> </w:t>
      </w:r>
      <w:r>
        <w:t xml:space="preserve">Valdovinos et al. (2023)</w:t>
      </w:r>
      <w:r>
        <w:t xml:space="preserve">)</w:t>
      </w:r>
    </w:p>
    <w:p>
      <w:pPr>
        <w:numPr>
          <w:ilvl w:val="1"/>
          <w:numId w:val="1003"/>
        </w:numPr>
        <w:pStyle w:val="Compact"/>
      </w:pPr>
      <w:r>
        <w:t xml:space="preserve">Taxonomic harmonisation - something to think about and check</w:t>
      </w:r>
    </w:p>
    <w:p>
      <w:pPr>
        <w:numPr>
          <w:ilvl w:val="0"/>
          <w:numId w:val="1001"/>
        </w:numPr>
        <w:pStyle w:val="Compact"/>
      </w:pPr>
      <w:r>
        <w:t xml:space="preserve">compare model performance based on the ideas currently listed in the results section.</w:t>
      </w:r>
    </w:p>
    <w:p>
      <w:pPr>
        <w:numPr>
          <w:ilvl w:val="0"/>
          <w:numId w:val="1001"/>
        </w:numPr>
        <w:pStyle w:val="Compact"/>
      </w:pPr>
      <w:r>
        <w:t xml:space="preserve">Make a pretty picture that summarises things - maybe overlapping Venn circles that showcase which models do well in the different spheres/aspects of life</w:t>
      </w:r>
    </w:p>
    <w:bookmarkEnd w:id="25"/>
    <w:bookmarkEnd w:id="26"/>
    <w:bookmarkStart w:id="33" w:name="results"/>
    <w:p>
      <w:pPr>
        <w:pStyle w:val="Heading2"/>
      </w:pPr>
      <w:r>
        <w:t xml:space="preserve">3 Results</w:t>
      </w:r>
    </w:p>
    <w:p>
      <w:pPr>
        <w:pStyle w:val="FirstParagraph"/>
      </w:pPr>
      <w:r>
        <w:t xml:space="preserve">How we want to compare and contrast. I think there won’t be a</w:t>
      </w:r>
      <w:r>
        <w:t xml:space="preserve"> </w:t>
      </w:r>
      <w:r>
        <w:t xml:space="preserve">‘</w:t>
      </w:r>
      <w:r>
        <w:t xml:space="preserve">winner</w:t>
      </w:r>
      <w:r>
        <w:t xml:space="preserve">’</w:t>
      </w:r>
      <w:r>
        <w:t xml:space="preserve"> </w:t>
      </w:r>
      <w:r>
        <w:t xml:space="preserve">and thus we need to think of</w:t>
      </w:r>
      <w:r>
        <w:t xml:space="preserve"> </w:t>
      </w:r>
      <w:r>
        <w:t xml:space="preserve">‘</w:t>
      </w:r>
      <w:r>
        <w:t xml:space="preserve">tests</w:t>
      </w:r>
      <w:r>
        <w:t xml:space="preserve">’</w:t>
      </w:r>
      <w:r>
        <w:t xml:space="preserve"> </w:t>
      </w:r>
      <w:r>
        <w:t xml:space="preserve">that are going to measure performance in different situations/settings. With that in mind I think some valuable points to consider would be:</w:t>
      </w:r>
    </w:p>
    <w:p>
      <w:pPr>
        <w:numPr>
          <w:ilvl w:val="0"/>
          <w:numId w:val="1005"/>
        </w:numPr>
        <w:pStyle w:val="Compact"/>
      </w:pPr>
      <w:r>
        <w:t xml:space="preserve">Structural vs pairwise link predictions (graph vs node level)</w:t>
      </w:r>
    </w:p>
    <w:p>
      <w:pPr>
        <w:numPr>
          <w:ilvl w:val="1"/>
          <w:numId w:val="1006"/>
        </w:numPr>
        <w:pStyle w:val="Compact"/>
      </w:pPr>
      <w:r>
        <w:t xml:space="preserve">% of links correctly retrieved</w:t>
      </w:r>
    </w:p>
    <w:p>
      <w:pPr>
        <w:numPr>
          <w:ilvl w:val="1"/>
          <w:numId w:val="1006"/>
        </w:numPr>
        <w:pStyle w:val="Compact"/>
      </w:pPr>
      <w:r>
        <w:t xml:space="preserve">connectance</w:t>
      </w:r>
    </w:p>
    <w:p>
      <w:pPr>
        <w:numPr>
          <w:ilvl w:val="1"/>
          <w:numId w:val="1006"/>
        </w:numPr>
        <w:pStyle w:val="Compact"/>
      </w:pPr>
      <w:r>
        <w:t xml:space="preserve">trophic level</w:t>
      </w:r>
    </w:p>
    <w:p>
      <w:pPr>
        <w:numPr>
          <w:ilvl w:val="1"/>
          <w:numId w:val="1006"/>
        </w:numPr>
        <w:pStyle w:val="Compact"/>
      </w:pPr>
      <w:r>
        <w:t xml:space="preserve">generalism vs specialism</w:t>
      </w:r>
    </w:p>
    <w:p>
      <w:pPr>
        <w:numPr>
          <w:ilvl w:val="1"/>
          <w:numId w:val="1006"/>
        </w:numPr>
        <w:pStyle w:val="Compact"/>
      </w:pPr>
      <w:r>
        <w:t xml:space="preserve">something related to false positives/negatives</w:t>
      </w:r>
    </w:p>
    <w:p>
      <w:pPr>
        <w:numPr>
          <w:ilvl w:val="1"/>
          <w:numId w:val="1006"/>
        </w:numPr>
        <w:pStyle w:val="Compact"/>
      </w:pPr>
      <w:r>
        <w:t xml:space="preserve">intervality</w:t>
      </w:r>
    </w:p>
    <w:p>
      <w:pPr>
        <w:numPr>
          <w:ilvl w:val="0"/>
          <w:numId w:val="1005"/>
        </w:numPr>
        <w:pStyle w:val="Compact"/>
      </w:pPr>
      <w:r>
        <w:t xml:space="preserve">Data</w:t>
      </w:r>
      <w:r>
        <w:t xml:space="preserve"> </w:t>
      </w:r>
      <w:r>
        <w:t xml:space="preserve">‘</w:t>
      </w:r>
      <w:r>
        <w:t xml:space="preserve">cost</w:t>
      </w:r>
      <w:r>
        <w:t xml:space="preserve">’</w:t>
      </w:r>
      <w:r>
        <w:t xml:space="preserve"> </w:t>
      </w:r>
      <w:r>
        <w:t xml:space="preserve">(some methods might need a lot lot of supporting data vs something very light weight)</w:t>
      </w:r>
    </w:p>
    <w:p>
      <w:pPr>
        <w:numPr>
          <w:ilvl w:val="0"/>
          <w:numId w:val="1005"/>
        </w:numPr>
        <w:pStyle w:val="Compact"/>
      </w:pPr>
      <w:r>
        <w:t xml:space="preserve">I think it would be remiss to not also take into consideration computational cost</w:t>
      </w:r>
    </w:p>
    <w:p>
      <w:pPr>
        <w:numPr>
          <w:ilvl w:val="0"/>
          <w:numId w:val="1005"/>
        </w:numPr>
        <w:pStyle w:val="Compact"/>
      </w:pPr>
      <w:r>
        <w:t xml:space="preserve">something about the network output - I’m acknowledging my biases and saying that probabilistic (or</w:t>
      </w:r>
      <w:r>
        <w:t xml:space="preserve"> </w:t>
      </w:r>
      <w:r>
        <w:rPr>
          <w:iCs/>
          <w:i/>
        </w:rPr>
        <w:t xml:space="preserve">maybe</w:t>
      </w:r>
      <w:r>
        <w:t xml:space="preserve"> </w:t>
      </w:r>
      <w:r>
        <w:t xml:space="preserve">weighted) links are the way</w:t>
      </w:r>
    </w:p>
    <w:p>
      <w:pPr>
        <w:pStyle w:val="BlockText"/>
      </w:pPr>
      <w:r>
        <w:t xml:space="preserve">maybe we can put these into broader categories - if we do start doing the venn overlap thing.</w:t>
      </w:r>
      <w:r>
        <w:t xml:space="preserve"> </w:t>
      </w:r>
      <w:r>
        <w:rPr>
          <w:iCs/>
          <w:i/>
        </w:rPr>
        <w:t xml:space="preserve">E.g.,</w:t>
      </w:r>
      <w:r>
        <w:t xml:space="preserve"> </w:t>
      </w:r>
      <w:r>
        <w:t xml:space="preserve">local scale predictions, regional scale predictions, pairwise interactions, structural (energetics), computationally cheap, low cost data</w:t>
      </w:r>
    </w:p>
    <w:bookmarkStart w:id="32" w:name="qualitative-stuff"/>
    <w:p>
      <w:pPr>
        <w:pStyle w:val="Heading3"/>
      </w:pPr>
      <w:r>
        <w:t xml:space="preserve">3.1 Qualitative stuff</w:t>
      </w:r>
    </w:p>
    <w:tbl>
      <w:tblPr>
        <w:tblStyle w:val="Table"/>
        <w:tblW w:type="pct" w:w="5000"/>
        <w:tblLook w:firstRow="0" w:lastRow="0" w:firstColumn="0" w:lastColumn="0" w:noHBand="0" w:noVBand="0" w:val="0000"/>
        <w:jc w:val="start"/>
        <w:tblLayout w:type="fixed"/>
      </w:tblPr>
      <w:tblGrid>
        <w:gridCol w:w="7920"/>
      </w:tblGrid>
      <w:tr>
        <w:tc>
          <w:tcPr/>
          <w:bookmarkStart w:id="30" w:name="fig-venn"/>
          <w:p>
            <w:pPr>
              <w:pStyle w:val="Compact"/>
              <w:jc w:val="center"/>
            </w:pPr>
            <w:r>
              <w:drawing>
                <wp:inline>
                  <wp:extent cx="5334000" cy="3810000"/>
                  <wp:effectExtent b="0" l="0" r="0" t="0"/>
                  <wp:docPr descr="" title="" id="28" name="Picture"/>
                  <a:graphic>
                    <a:graphicData uri="http://schemas.openxmlformats.org/drawingml/2006/picture">
                      <pic:pic>
                        <pic:nvPicPr>
                          <pic:cNvPr descr="index_files/figure-docx/notebooks-model_qualitative-fig-venn-output-1.png" id="29" name="Picture"/>
                          <pic:cNvPicPr>
                            <a:picLocks noChangeArrowheads="1" noChangeAspect="1"/>
                          </pic:cNvPicPr>
                        </pic:nvPicPr>
                        <pic:blipFill>
                          <a:blip r:embed="rId27"/>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Venn diagram for qualitative analysis/overview of the fancy maths things</w:t>
            </w:r>
          </w:p>
          <w:bookmarkEnd w:id="30"/>
        </w:tc>
      </w:tr>
    </w:tbl>
    <w:p>
      <w:pPr>
        <w:pStyle w:val="BodyText"/>
      </w:pPr>
      <w:r>
        <w:rPr>
          <w:vertAlign w:val="subscript"/>
        </w:rPr>
        <w:t xml:space="preserve">Source:</w:t>
      </w:r>
      <w:r>
        <w:rPr>
          <w:vertAlign w:val="subscript"/>
        </w:rPr>
        <w:t xml:space="preserve"> </w:t>
      </w:r>
      <w:hyperlink r:id="rId31">
        <w:r>
          <w:rPr>
            <w:rStyle w:val="Hyperlink"/>
            <w:vertAlign w:val="subscript"/>
          </w:rPr>
          <w:t xml:space="preserve">Article Notebook</w:t>
        </w:r>
      </w:hyperlink>
    </w:p>
    <w:bookmarkEnd w:id="32"/>
    <w:bookmarkEnd w:id="33"/>
    <w:bookmarkStart w:id="34" w:name="discussion"/>
    <w:p>
      <w:pPr>
        <w:pStyle w:val="Heading2"/>
      </w:pPr>
      <w:r>
        <w:t xml:space="preserve">4 Discussion</w:t>
      </w:r>
    </w:p>
    <w:p>
      <w:pPr>
        <w:pStyle w:val="FirstParagraph"/>
      </w:pPr>
      <w:r>
        <w:t xml:space="preserve">I think a big take home will (hopefully) be how different approaches do better in different situations and so you as an end user need to take this into consideration and pick accordingly. I think</w:t>
      </w:r>
      <w:r>
        <w:t xml:space="preserve"> </w:t>
      </w:r>
      <w:r>
        <w:t xml:space="preserve">Petchey et al. (2011)</w:t>
      </w:r>
      <w:r>
        <w:t xml:space="preserve"> </w:t>
      </w:r>
      <w:r>
        <w:t xml:space="preserve">might have (and share) some thoughts on this (thanks Andrew). I feel like I need to look at</w:t>
      </w:r>
      <w:r>
        <w:t xml:space="preserve"> </w:t>
      </w:r>
      <w:r>
        <w:t xml:space="preserve">Berlow, Brose, and Martinez (2008)</w:t>
      </w:r>
      <w:r>
        <w:t xml:space="preserve"> </w:t>
      </w:r>
      <w:r>
        <w:t xml:space="preserve">but maybe not exactly in this context but vaguely adjacent.</w:t>
      </w:r>
    </w:p>
    <w:p>
      <w:pPr>
        <w:pStyle w:val="BodyText"/>
      </w:pPr>
      <w:r>
        <w:t xml:space="preserve">An interesting thing to also think about (and arguably it will be addressed based on some of the other thoughts and ideas) is data dependant and data independent</w:t>
      </w:r>
      <w:r>
        <w:t xml:space="preserve"> </w:t>
      </w:r>
      <w:r>
        <w:t xml:space="preserve">‘</w:t>
      </w:r>
      <w:r>
        <w:t xml:space="preserve">parametrisation</w:t>
      </w:r>
      <w:r>
        <w:t xml:space="preserve">’</w:t>
      </w:r>
      <w:r>
        <w:t xml:space="preserve"> </w:t>
      </w:r>
      <w:r>
        <w:t xml:space="preserve">of the models…</w:t>
      </w:r>
    </w:p>
    <w:p>
      <w:pPr>
        <w:pStyle w:val="BodyText"/>
      </w:pPr>
      <w:r>
        <w:t xml:space="preserve">I probably think about this point too much but a point of discussion that I think will be interesting to bring up the idea that if a model is missing a specific pairwise link but doing well at the structural level then when does it matter? I think this is covered with the whole node vs graph level performance but I kind of just want to bring it up here again because also one of those things that I think about a bit too much probably…</w:t>
      </w:r>
    </w:p>
    <w:p>
      <w:pPr>
        <w:pStyle w:val="BlockText"/>
      </w:pPr>
      <w:r>
        <w:t xml:space="preserve">Thinking very long term here and maybe a bit beyond the scope but also thinking about a multi- model approach? So in other words using one model to build an initial network but maybe a second one to constrain it a bit better. I blame this thought on the over-connected PFIM food webs…</w:t>
      </w:r>
    </w:p>
    <w:bookmarkEnd w:id="34"/>
    <w:bookmarkStart w:id="94" w:name="references"/>
    <w:p>
      <w:pPr>
        <w:pStyle w:val="Heading2"/>
      </w:pPr>
      <w:r>
        <w:t xml:space="preserve">References</w:t>
      </w:r>
    </w:p>
    <w:p>
      <w:pPr>
        <w:pStyle w:val="FirstParagraph"/>
      </w:pPr>
      <w:r>
        <w:rPr>
          <w:vertAlign w:val="subscript"/>
        </w:rPr>
        <w:t xml:space="preserve">Source:</w:t>
      </w:r>
      <w:r>
        <w:rPr>
          <w:vertAlign w:val="subscript"/>
        </w:rPr>
        <w:t xml:space="preserve"> </w:t>
      </w:r>
      <w:hyperlink r:id="rId31">
        <w:r>
          <w:rPr>
            <w:rStyle w:val="Hyperlink"/>
            <w:vertAlign w:val="subscript"/>
          </w:rPr>
          <w:t xml:space="preserve">Article Notebook</w:t>
        </w:r>
      </w:hyperlink>
    </w:p>
    <w:bookmarkStart w:id="93" w:name="refs"/>
    <w:bookmarkStart w:id="36" w:name="ref-bambachAutecologyFillingEcospace2007"/>
    <w:p>
      <w:pPr>
        <w:pStyle w:val="Bibliography"/>
      </w:pPr>
      <w:r>
        <w:t xml:space="preserve">Bambach, Richard K., Andrew M. Bush, and Douglas H. Erwin. 2007.</w:t>
      </w:r>
      <w:r>
        <w:t xml:space="preserve"> </w:t>
      </w:r>
      <w:r>
        <w:t xml:space="preserve">“Autecology and the</w:t>
      </w:r>
      <w:r>
        <w:t xml:space="preserve"> </w:t>
      </w:r>
      <w:r>
        <w:t xml:space="preserve">Filling</w:t>
      </w:r>
      <w:r>
        <w:t xml:space="preserve"> </w:t>
      </w:r>
      <w:r>
        <w:t xml:space="preserve">of</w:t>
      </w:r>
      <w:r>
        <w:t xml:space="preserve"> </w:t>
      </w:r>
      <w:r>
        <w:t xml:space="preserve">Ecospace</w:t>
      </w:r>
      <w:r>
        <w:t xml:space="preserve">:</w:t>
      </w:r>
      <w:r>
        <w:t xml:space="preserve"> </w:t>
      </w:r>
      <w:r>
        <w:t xml:space="preserve">Key Metazoan Radiations</w:t>
      </w:r>
      <w:r>
        <w:t xml:space="preserve">.”</w:t>
      </w:r>
      <w:r>
        <w:t xml:space="preserve"> </w:t>
      </w:r>
      <w:r>
        <w:rPr>
          <w:iCs/>
          <w:i/>
        </w:rPr>
        <w:t xml:space="preserve">Palaeontology</w:t>
      </w:r>
      <w:r>
        <w:t xml:space="preserve"> </w:t>
      </w:r>
      <w:r>
        <w:t xml:space="preserve">50 (1): 1–22.</w:t>
      </w:r>
      <w:r>
        <w:t xml:space="preserve"> </w:t>
      </w:r>
      <w:hyperlink r:id="rId35">
        <w:r>
          <w:rPr>
            <w:rStyle w:val="Hyperlink"/>
          </w:rPr>
          <w:t xml:space="preserve">https://doi.org/10.1111/j.1475-4983.2006.00611.x</w:t>
        </w:r>
      </w:hyperlink>
      <w:r>
        <w:t xml:space="preserve">.</w:t>
      </w:r>
    </w:p>
    <w:bookmarkEnd w:id="36"/>
    <w:bookmarkStart w:id="38" w:name="ref-berlowGoldilocksFactorFood2008"/>
    <w:p>
      <w:pPr>
        <w:pStyle w:val="Bibliography"/>
      </w:pPr>
      <w:r>
        <w:t xml:space="preserve">Berlow, Eric L., Ulrich Brose, and Neo D. Martinez. 2008.</w:t>
      </w:r>
      <w:r>
        <w:t xml:space="preserve"> </w:t>
      </w:r>
      <w:r>
        <w:t xml:space="preserve">“The</w:t>
      </w:r>
      <w:r>
        <w:t xml:space="preserve"> </w:t>
      </w:r>
      <w:r>
        <w:t xml:space="preserve">‘</w:t>
      </w:r>
      <w:r>
        <w:t xml:space="preserve">Goldilocks</w:t>
      </w:r>
      <w:r>
        <w:t xml:space="preserve"> </w:t>
      </w:r>
      <w:r>
        <w:t xml:space="preserve">Factor’</w:t>
      </w:r>
      <w:r>
        <w:t xml:space="preserve"> </w:t>
      </w:r>
      <w:r>
        <w:t xml:space="preserve">in Food Webs.”</w:t>
      </w:r>
      <w:r>
        <w:t xml:space="preserve"> </w:t>
      </w:r>
      <w:r>
        <w:rPr>
          <w:iCs/>
          <w:i/>
        </w:rPr>
        <w:t xml:space="preserve">Proceedings of the National Academy of Sciences</w:t>
      </w:r>
      <w:r>
        <w:t xml:space="preserve"> </w:t>
      </w:r>
      <w:r>
        <w:t xml:space="preserve">105 (11): 4079–80.</w:t>
      </w:r>
      <w:r>
        <w:t xml:space="preserve"> </w:t>
      </w:r>
      <w:hyperlink r:id="rId37">
        <w:r>
          <w:rPr>
            <w:rStyle w:val="Hyperlink"/>
          </w:rPr>
          <w:t xml:space="preserve">https://doi.org/10.1073/pnas.0800967105</w:t>
        </w:r>
      </w:hyperlink>
      <w:r>
        <w:t xml:space="preserve">.</w:t>
      </w:r>
    </w:p>
    <w:bookmarkEnd w:id="38"/>
    <w:bookmarkStart w:id="40" w:name="ref-caronTrophicInteractionModels2023"/>
    <w:p>
      <w:pPr>
        <w:pStyle w:val="Bibliography"/>
      </w:pPr>
      <w:r>
        <w:t xml:space="preserve">Caron, Dominique, Ulrich Brose, Miguel Lurgi, Guillaume Blanchet, Dominique Gravel, and Laura J. Pollock. 2023.</w:t>
      </w:r>
      <w:r>
        <w:t xml:space="preserve"> </w:t>
      </w:r>
      <w:r>
        <w:t xml:space="preserve">“Trophic Interaction Models Predict Interactions Across Space, Not Food Webs.”</w:t>
      </w:r>
      <w:r>
        <w:t xml:space="preserve"> </w:t>
      </w:r>
      <w:r>
        <w:t xml:space="preserve">EcoEvoRxiv</w:t>
      </w:r>
      <w:r>
        <w:t xml:space="preserve">.</w:t>
      </w:r>
      <w:r>
        <w:t xml:space="preserve"> </w:t>
      </w:r>
      <w:hyperlink r:id="rId39">
        <w:r>
          <w:rPr>
            <w:rStyle w:val="Hyperlink"/>
          </w:rPr>
          <w:t xml:space="preserve">https://doi.org/10.32942/X29K55</w:t>
        </w:r>
      </w:hyperlink>
      <w:r>
        <w:t xml:space="preserve">.</w:t>
      </w:r>
    </w:p>
    <w:bookmarkEnd w:id="40"/>
    <w:bookmarkStart w:id="42" w:name="ref-caronAddressingEltonianShortfall2022"/>
    <w:p>
      <w:pPr>
        <w:pStyle w:val="Bibliography"/>
      </w:pPr>
      <w:r>
        <w:t xml:space="preserve">Caron, Dominique, Luigi Maiorano, Wilfried Thuiller, and Laura J. Pollock. 2022.</w:t>
      </w:r>
      <w:r>
        <w:t xml:space="preserve"> </w:t>
      </w:r>
      <w:r>
        <w:t xml:space="preserve">“Addressing the</w:t>
      </w:r>
      <w:r>
        <w:t xml:space="preserve"> </w:t>
      </w:r>
      <w:r>
        <w:t xml:space="preserve">Eltonian</w:t>
      </w:r>
      <w:r>
        <w:t xml:space="preserve"> </w:t>
      </w:r>
      <w:r>
        <w:t xml:space="preserve">Shortfall with Trait-Based Interaction Models.”</w:t>
      </w:r>
      <w:r>
        <w:t xml:space="preserve"> </w:t>
      </w:r>
      <w:r>
        <w:rPr>
          <w:iCs/>
          <w:i/>
        </w:rPr>
        <w:t xml:space="preserve">Ecology Letters</w:t>
      </w:r>
      <w:r>
        <w:t xml:space="preserve"> </w:t>
      </w:r>
      <w:r>
        <w:t xml:space="preserve">25 (4): 889–99.</w:t>
      </w:r>
      <w:r>
        <w:t xml:space="preserve"> </w:t>
      </w:r>
      <w:hyperlink r:id="rId41">
        <w:r>
          <w:rPr>
            <w:rStyle w:val="Hyperlink"/>
          </w:rPr>
          <w:t xml:space="preserve">https://doi.org/10.1111/ele.13966</w:t>
        </w:r>
      </w:hyperlink>
      <w:r>
        <w:t xml:space="preserve">.</w:t>
      </w:r>
    </w:p>
    <w:bookmarkEnd w:id="42"/>
    <w:bookmarkStart w:id="44" w:name="X5c779d5ad003a7245ae62c5694cc82a24ffb865"/>
    <w:p>
      <w:pPr>
        <w:pStyle w:val="Bibliography"/>
      </w:pPr>
      <w:r>
        <w:t xml:space="preserve">Cattin, Marie-France, Louis-Félix Bersier, Carolin Banašek-Richter, Richard Baltensperger, and Jean-Pierre Gabriel. 2004.</w:t>
      </w:r>
      <w:r>
        <w:t xml:space="preserve"> </w:t>
      </w:r>
      <w:r>
        <w:t xml:space="preserve">“Phylogenetic Constraints and Adaptation Explain Food-Web Structure.”</w:t>
      </w:r>
      <w:r>
        <w:t xml:space="preserve"> </w:t>
      </w:r>
      <w:r>
        <w:rPr>
          <w:iCs/>
          <w:i/>
        </w:rPr>
        <w:t xml:space="preserve">Nature</w:t>
      </w:r>
      <w:r>
        <w:t xml:space="preserve"> </w:t>
      </w:r>
      <w:r>
        <w:t xml:space="preserve">427 (6977): 835–39.</w:t>
      </w:r>
      <w:r>
        <w:t xml:space="preserve"> </w:t>
      </w:r>
      <w:hyperlink r:id="rId43">
        <w:r>
          <w:rPr>
            <w:rStyle w:val="Hyperlink"/>
          </w:rPr>
          <w:t xml:space="preserve">https://doi.org/10.1038/nature02327</w:t>
        </w:r>
      </w:hyperlink>
      <w:r>
        <w:t xml:space="preserve">.</w:t>
      </w:r>
    </w:p>
    <w:bookmarkEnd w:id="44"/>
    <w:bookmarkStart w:id="45" w:name="ref-cohenCommunityFoodWebs1990"/>
    <w:p>
      <w:pPr>
        <w:pStyle w:val="Bibliography"/>
      </w:pPr>
      <w:r>
        <w:t xml:space="preserve">Cohen, Joel E, Frederic Briand, and Charles Newman. 1990.</w:t>
      </w:r>
      <w:r>
        <w:t xml:space="preserve"> </w:t>
      </w:r>
      <w:r>
        <w:rPr>
          <w:iCs/>
          <w:i/>
        </w:rPr>
        <w:t xml:space="preserve">Community</w:t>
      </w:r>
      <w:r>
        <w:rPr>
          <w:iCs/>
          <w:i/>
        </w:rPr>
        <w:t xml:space="preserve"> </w:t>
      </w:r>
      <w:r>
        <w:rPr>
          <w:iCs/>
          <w:i/>
        </w:rPr>
        <w:t xml:space="preserve">Food Webs</w:t>
      </w:r>
      <w:r>
        <w:rPr>
          <w:iCs/>
          <w:i/>
        </w:rPr>
        <w:t xml:space="preserve">:</w:t>
      </w:r>
      <w:r>
        <w:rPr>
          <w:iCs/>
          <w:i/>
        </w:rPr>
        <w:t xml:space="preserve"> </w:t>
      </w:r>
      <w:r>
        <w:rPr>
          <w:iCs/>
          <w:i/>
        </w:rPr>
        <w:t xml:space="preserve">Data</w:t>
      </w:r>
      <w:r>
        <w:rPr>
          <w:iCs/>
          <w:i/>
        </w:rPr>
        <w:t xml:space="preserve"> </w:t>
      </w:r>
      <w:r>
        <w:rPr>
          <w:iCs/>
          <w:i/>
        </w:rPr>
        <w:t xml:space="preserve">and</w:t>
      </w:r>
      <w:r>
        <w:rPr>
          <w:iCs/>
          <w:i/>
        </w:rPr>
        <w:t xml:space="preserve"> </w:t>
      </w:r>
      <w:r>
        <w:rPr>
          <w:iCs/>
          <w:i/>
        </w:rPr>
        <w:t xml:space="preserve">Theory</w:t>
      </w:r>
      <w:r>
        <w:t xml:space="preserve">. Biomathematics.</w:t>
      </w:r>
      <w:r>
        <w:t xml:space="preserve"> </w:t>
      </w:r>
      <w:r>
        <w:t xml:space="preserve">Berlin Heidelberg</w:t>
      </w:r>
      <w:r>
        <w:t xml:space="preserve">:</w:t>
      </w:r>
      <w:r>
        <w:t xml:space="preserve"> </w:t>
      </w:r>
      <w:r>
        <w:t xml:space="preserve">Springer-Verlag</w:t>
      </w:r>
      <w:r>
        <w:t xml:space="preserve">.</w:t>
      </w:r>
    </w:p>
    <w:bookmarkEnd w:id="45"/>
    <w:bookmarkStart w:id="47" w:name="ref-cohenStochasticTheoryCommunity1997"/>
    <w:p>
      <w:pPr>
        <w:pStyle w:val="Bibliography"/>
      </w:pPr>
      <w:r>
        <w:t xml:space="preserve">Cohen, Joel E., C. M. Newman, and John Hyslop Steele. 1997.</w:t>
      </w:r>
      <w:r>
        <w:t xml:space="preserve"> </w:t>
      </w:r>
      <w:r>
        <w:t xml:space="preserve">“A Stochastic Theory of Community Food Webs</w:t>
      </w:r>
      <w:r>
        <w:t xml:space="preserve"> </w:t>
      </w:r>
      <w:r>
        <w:t xml:space="preserve">I</w:t>
      </w:r>
      <w:r>
        <w:t xml:space="preserve">.</w:t>
      </w:r>
      <w:r>
        <w:t xml:space="preserve"> </w:t>
      </w:r>
      <w:r>
        <w:t xml:space="preserve">Models</w:t>
      </w:r>
      <w:r>
        <w:t xml:space="preserve"> </w:t>
      </w:r>
      <w:r>
        <w:t xml:space="preserve">and Aggregated Data.”</w:t>
      </w:r>
      <w:r>
        <w:t xml:space="preserve"> </w:t>
      </w:r>
      <w:r>
        <w:rPr>
          <w:iCs/>
          <w:i/>
        </w:rPr>
        <w:t xml:space="preserve">Proceedings of the Royal Society of London. Series B. Biological Sciences</w:t>
      </w:r>
      <w:r>
        <w:t xml:space="preserve"> </w:t>
      </w:r>
      <w:r>
        <w:t xml:space="preserve">224 (1237): 421–48.</w:t>
      </w:r>
      <w:r>
        <w:t xml:space="preserve"> </w:t>
      </w:r>
      <w:hyperlink r:id="rId46">
        <w:r>
          <w:rPr>
            <w:rStyle w:val="Hyperlink"/>
          </w:rPr>
          <w:t xml:space="preserve">https://doi.org/10.1098/rspb.1985.0042</w:t>
        </w:r>
      </w:hyperlink>
      <w:r>
        <w:t xml:space="preserve">.</w:t>
      </w:r>
    </w:p>
    <w:bookmarkEnd w:id="47"/>
    <w:bookmarkStart w:id="48" w:name="ref-dunneNetworkStructureFood2006"/>
    <w:p>
      <w:pPr>
        <w:pStyle w:val="Bibliography"/>
      </w:pPr>
      <w:r>
        <w:t xml:space="preserve">Dunne, Jennifer A. 2006.</w:t>
      </w:r>
      <w:r>
        <w:t xml:space="preserve"> </w:t>
      </w:r>
      <w:r>
        <w:t xml:space="preserve">“The</w:t>
      </w:r>
      <w:r>
        <w:t xml:space="preserve"> </w:t>
      </w:r>
      <w:r>
        <w:t xml:space="preserve">Network Structure</w:t>
      </w:r>
      <w:r>
        <w:t xml:space="preserve"> </w:t>
      </w:r>
      <w:r>
        <w:t xml:space="preserve">of</w:t>
      </w:r>
      <w:r>
        <w:t xml:space="preserve"> </w:t>
      </w:r>
      <w:r>
        <w:t xml:space="preserve">Food Webs</w:t>
      </w:r>
      <w:r>
        <w:t xml:space="preserve">.”</w:t>
      </w:r>
      <w:r>
        <w:t xml:space="preserve"> </w:t>
      </w:r>
      <w:r>
        <w:t xml:space="preserve">In</w:t>
      </w:r>
      <w:r>
        <w:t xml:space="preserve"> </w:t>
      </w:r>
      <w:r>
        <w:rPr>
          <w:iCs/>
          <w:i/>
        </w:rPr>
        <w:t xml:space="preserve">Ecological Networks:</w:t>
      </w:r>
      <w:r>
        <w:rPr>
          <w:iCs/>
          <w:i/>
        </w:rPr>
        <w:t xml:space="preserve"> </w:t>
      </w:r>
      <w:r>
        <w:rPr>
          <w:iCs/>
          <w:i/>
        </w:rPr>
        <w:t xml:space="preserve">Linking</w:t>
      </w:r>
      <w:r>
        <w:rPr>
          <w:iCs/>
          <w:i/>
        </w:rPr>
        <w:t xml:space="preserve"> </w:t>
      </w:r>
      <w:r>
        <w:rPr>
          <w:iCs/>
          <w:i/>
        </w:rPr>
        <w:t xml:space="preserve">Structure and Dynamics</w:t>
      </w:r>
      <w:r>
        <w:t xml:space="preserve">, edited by Jennifer A Dunne and Mercedes Pascual, 27–86.</w:t>
      </w:r>
      <w:r>
        <w:t xml:space="preserve"> </w:t>
      </w:r>
      <w:r>
        <w:t xml:space="preserve">Oxford University Press</w:t>
      </w:r>
      <w:r>
        <w:t xml:space="preserve">.</w:t>
      </w:r>
    </w:p>
    <w:bookmarkEnd w:id="48"/>
    <w:bookmarkStart w:id="50" w:name="ref-dunneCompilationNetworkAnalyses2008"/>
    <w:p>
      <w:pPr>
        <w:pStyle w:val="Bibliography"/>
      </w:pPr>
      <w:r>
        <w:t xml:space="preserve">Dunne, Jennifer A., Richard J. Williams, Neo D. Martinez, Rachel A. Wood, and Douglas H. Erwin. 2008.</w:t>
      </w:r>
      <w:r>
        <w:t xml:space="preserve"> </w:t>
      </w:r>
      <w:r>
        <w:t xml:space="preserve">“Compilation and</w:t>
      </w:r>
      <w:r>
        <w:t xml:space="preserve"> </w:t>
      </w:r>
      <w:r>
        <w:t xml:space="preserve">Network Analyses</w:t>
      </w:r>
      <w:r>
        <w:t xml:space="preserve"> </w:t>
      </w:r>
      <w:r>
        <w:t xml:space="preserve">of</w:t>
      </w:r>
      <w:r>
        <w:t xml:space="preserve"> </w:t>
      </w:r>
      <w:r>
        <w:t xml:space="preserve">Cambrian Food Webs</w:t>
      </w:r>
      <w:r>
        <w:t xml:space="preserve">.”</w:t>
      </w:r>
      <w:r>
        <w:t xml:space="preserve"> </w:t>
      </w:r>
      <w:r>
        <w:rPr>
          <w:iCs/>
          <w:i/>
        </w:rPr>
        <w:t xml:space="preserve">PLOS Biology</w:t>
      </w:r>
      <w:r>
        <w:t xml:space="preserve"> </w:t>
      </w:r>
      <w:r>
        <w:t xml:space="preserve">6 (4): e102.</w:t>
      </w:r>
      <w:r>
        <w:t xml:space="preserve"> </w:t>
      </w:r>
      <w:hyperlink r:id="rId49">
        <w:r>
          <w:rPr>
            <w:rStyle w:val="Hyperlink"/>
          </w:rPr>
          <w:t xml:space="preserve">https://doi.org/10.1371/journal.pbio.0060102</w:t>
        </w:r>
      </w:hyperlink>
      <w:r>
        <w:t xml:space="preserve">.</w:t>
      </w:r>
    </w:p>
    <w:bookmarkEnd w:id="50"/>
    <w:bookmarkStart w:id="52" w:name="X71df985a3947d16253b3f31bba0a0cf887d8f0b"/>
    <w:p>
      <w:pPr>
        <w:pStyle w:val="Bibliography"/>
      </w:pPr>
      <w:r>
        <w:t xml:space="preserve">Herberstein, Marie E., Donald James McLean, Elizabeth Lowe, Jonas O. Wolff, Md Kawsar Khan, Kaitlyn Smith, Andrew P. Allen, et al. 2022.</w:t>
      </w:r>
      <w:r>
        <w:t xml:space="preserve"> </w:t>
      </w:r>
      <w:r>
        <w:t xml:space="preserve">“</w:t>
      </w:r>
      <w:r>
        <w:t xml:space="preserve">AnimalTraits</w:t>
      </w:r>
      <w:r>
        <w:t xml:space="preserve"> </w:t>
      </w:r>
      <w:r>
        <w:t xml:space="preserve">- a Curated Animal Trait Database for Body Mass, Metabolic Rate and Brain Size.”</w:t>
      </w:r>
      <w:r>
        <w:t xml:space="preserve"> </w:t>
      </w:r>
      <w:r>
        <w:rPr>
          <w:iCs/>
          <w:i/>
        </w:rPr>
        <w:t xml:space="preserve">Scientific Data</w:t>
      </w:r>
      <w:r>
        <w:t xml:space="preserve"> </w:t>
      </w:r>
      <w:r>
        <w:t xml:space="preserve">9 (1): 265.</w:t>
      </w:r>
      <w:r>
        <w:t xml:space="preserve"> </w:t>
      </w:r>
      <w:hyperlink r:id="rId51">
        <w:r>
          <w:rPr>
            <w:rStyle w:val="Hyperlink"/>
          </w:rPr>
          <w:t xml:space="preserve">https://doi.org/10.1038/s41597-022-01364-9</w:t>
        </w:r>
      </w:hyperlink>
      <w:r>
        <w:t xml:space="preserve">.</w:t>
      </w:r>
    </w:p>
    <w:bookmarkEnd w:id="52"/>
    <w:bookmarkStart w:id="54" w:name="X86d653ee97d7a95323716d8e0c0300171c8d8cb"/>
    <w:p>
      <w:pPr>
        <w:pStyle w:val="Bibliography"/>
      </w:pPr>
      <w:r>
        <w:t xml:space="preserve">Jones, Kate E., Jon Bielby, Marcel Cardillo, Susanne A. Fritz, Justin O’Dell, C. David L. Orme, Kamran Safi, et al. 2009.</w:t>
      </w:r>
      <w:r>
        <w:t xml:space="preserve"> </w:t>
      </w:r>
      <w:r>
        <w:t xml:space="preserve">“</w:t>
      </w:r>
      <w:r>
        <w:t xml:space="preserve">PanTHERIA</w:t>
      </w:r>
      <w:r>
        <w:t xml:space="preserve">: A Species-Level Database of Life History, Ecology, and Geography of Extant and Recently Extinct Mammals.”</w:t>
      </w:r>
      <w:r>
        <w:t xml:space="preserve"> </w:t>
      </w:r>
      <w:r>
        <w:rPr>
          <w:iCs/>
          <w:i/>
        </w:rPr>
        <w:t xml:space="preserve">Ecology</w:t>
      </w:r>
      <w:r>
        <w:t xml:space="preserve"> </w:t>
      </w:r>
      <w:r>
        <w:t xml:space="preserve">90 (9): 2648–48.</w:t>
      </w:r>
      <w:r>
        <w:t xml:space="preserve"> </w:t>
      </w:r>
      <w:hyperlink r:id="rId53">
        <w:r>
          <w:rPr>
            <w:rStyle w:val="Hyperlink"/>
          </w:rPr>
          <w:t xml:space="preserve">https://doi.org/10.1890/08-1494.1</w:t>
        </w:r>
      </w:hyperlink>
      <w:r>
        <w:t xml:space="preserve">.</w:t>
      </w:r>
    </w:p>
    <w:bookmarkEnd w:id="54"/>
    <w:bookmarkStart w:id="56" w:name="Xf53c03f1c3fea4e4289657cbb0682f5f23e8b1d"/>
    <w:p>
      <w:pPr>
        <w:pStyle w:val="Bibliography"/>
      </w:pPr>
      <w:r>
        <w:t xml:space="preserve">Jordano, Pedro. 2016a.</w:t>
      </w:r>
      <w:r>
        <w:t xml:space="preserve"> </w:t>
      </w:r>
      <w:r>
        <w:t xml:space="preserve">“Chasing</w:t>
      </w:r>
      <w:r>
        <w:t xml:space="preserve"> </w:t>
      </w:r>
      <w:r>
        <w:t xml:space="preserve">Ecological Interactions</w:t>
      </w:r>
      <w:r>
        <w:t xml:space="preserve">.”</w:t>
      </w:r>
      <w:r>
        <w:t xml:space="preserve"> </w:t>
      </w:r>
      <w:r>
        <w:rPr>
          <w:iCs/>
          <w:i/>
        </w:rPr>
        <w:t xml:space="preserve">PLOS Biology</w:t>
      </w:r>
      <w:r>
        <w:t xml:space="preserve"> </w:t>
      </w:r>
      <w:r>
        <w:t xml:space="preserve">14 (9): e1002559.</w:t>
      </w:r>
      <w:r>
        <w:t xml:space="preserve"> </w:t>
      </w:r>
      <w:hyperlink r:id="rId55">
        <w:r>
          <w:rPr>
            <w:rStyle w:val="Hyperlink"/>
          </w:rPr>
          <w:t xml:space="preserve">https://doi.org/10.1371/journal.pbio.1002559</w:t>
        </w:r>
      </w:hyperlink>
      <w:r>
        <w:t xml:space="preserve">.</w:t>
      </w:r>
    </w:p>
    <w:bookmarkEnd w:id="56"/>
    <w:bookmarkStart w:id="58" w:name="X2d6834cb08966b7d5da0c61c80079bb46b07a34"/>
    <w:p>
      <w:pPr>
        <w:pStyle w:val="Bibliography"/>
      </w:pPr>
      <w:r>
        <w:t xml:space="preserve">———. 2016b.</w:t>
      </w:r>
      <w:r>
        <w:t xml:space="preserve"> </w:t>
      </w:r>
      <w:r>
        <w:t xml:space="preserve">“Sampling Networks of Ecological Interactions.”</w:t>
      </w:r>
      <w:r>
        <w:t xml:space="preserve"> </w:t>
      </w:r>
      <w:r>
        <w:rPr>
          <w:iCs/>
          <w:i/>
        </w:rPr>
        <w:t xml:space="preserve">Functional Ecology</w:t>
      </w:r>
      <w:r>
        <w:t xml:space="preserve">, September.</w:t>
      </w:r>
      <w:r>
        <w:t xml:space="preserve"> </w:t>
      </w:r>
      <w:hyperlink r:id="rId57">
        <w:r>
          <w:rPr>
            <w:rStyle w:val="Hyperlink"/>
          </w:rPr>
          <w:t xml:space="preserve">https://doi.org/10.1111/1365-2435.12763</w:t>
        </w:r>
      </w:hyperlink>
      <w:r>
        <w:t xml:space="preserve">.</w:t>
      </w:r>
    </w:p>
    <w:bookmarkEnd w:id="58"/>
    <w:bookmarkStart w:id="60" w:name="ref-petcheySizeForagingFood2008"/>
    <w:p>
      <w:pPr>
        <w:pStyle w:val="Bibliography"/>
      </w:pPr>
      <w:r>
        <w:t xml:space="preserve">Petchey, Owen L., Andrew P. Beckerman, Jens O. Riede, and Philip H. Warren. 2008.</w:t>
      </w:r>
      <w:r>
        <w:t xml:space="preserve"> </w:t>
      </w:r>
      <w:r>
        <w:t xml:space="preserve">“Size, Foraging, and Food Web Structure.”</w:t>
      </w:r>
      <w:r>
        <w:t xml:space="preserve"> </w:t>
      </w:r>
      <w:r>
        <w:rPr>
          <w:iCs/>
          <w:i/>
        </w:rPr>
        <w:t xml:space="preserve">Proceedings of the National Academy of Sciences</w:t>
      </w:r>
      <w:r>
        <w:t xml:space="preserve"> </w:t>
      </w:r>
      <w:r>
        <w:t xml:space="preserve">105 (11): 4191–96.</w:t>
      </w:r>
      <w:r>
        <w:t xml:space="preserve"> </w:t>
      </w:r>
      <w:hyperlink r:id="rId59">
        <w:r>
          <w:rPr>
            <w:rStyle w:val="Hyperlink"/>
          </w:rPr>
          <w:t xml:space="preserve">https://doi.org/10.1073/pnas.0710672105</w:t>
        </w:r>
      </w:hyperlink>
      <w:r>
        <w:t xml:space="preserve">.</w:t>
      </w:r>
    </w:p>
    <w:bookmarkEnd w:id="60"/>
    <w:bookmarkStart w:id="62" w:name="ref-petcheyFitEfficiencyBiology2011"/>
    <w:p>
      <w:pPr>
        <w:pStyle w:val="Bibliography"/>
      </w:pPr>
      <w:r>
        <w:t xml:space="preserve">———. 2011.</w:t>
      </w:r>
      <w:r>
        <w:t xml:space="preserve"> </w:t>
      </w:r>
      <w:r>
        <w:t xml:space="preserve">“Fit, Efficiency, and Biology:</w:t>
      </w:r>
      <w:r>
        <w:t xml:space="preserve"> </w:t>
      </w:r>
      <w:r>
        <w:t xml:space="preserve">Some</w:t>
      </w:r>
      <w:r>
        <w:t xml:space="preserve"> </w:t>
      </w:r>
      <w:r>
        <w:t xml:space="preserve">Thoughts on Judging Food Web Models.”</w:t>
      </w:r>
      <w:r>
        <w:t xml:space="preserve"> </w:t>
      </w:r>
      <w:r>
        <w:rPr>
          <w:iCs/>
          <w:i/>
        </w:rPr>
        <w:t xml:space="preserve">Journal of Theoretical Biology</w:t>
      </w:r>
      <w:r>
        <w:t xml:space="preserve"> </w:t>
      </w:r>
      <w:r>
        <w:t xml:space="preserve">279 (1): 169–71.</w:t>
      </w:r>
      <w:r>
        <w:t xml:space="preserve"> </w:t>
      </w:r>
      <w:hyperlink r:id="rId61">
        <w:r>
          <w:rPr>
            <w:rStyle w:val="Hyperlink"/>
          </w:rPr>
          <w:t xml:space="preserve">https://doi.org/10.1016/j.jtbi.2011.03.019</w:t>
        </w:r>
      </w:hyperlink>
      <w:r>
        <w:t xml:space="preserve">.</w:t>
      </w:r>
    </w:p>
    <w:bookmarkEnd w:id="62"/>
    <w:bookmarkStart w:id="64" w:name="ref-piresMegafaunalExtinctionsHuman2020"/>
    <w:p>
      <w:pPr>
        <w:pStyle w:val="Bibliography"/>
      </w:pPr>
      <w:r>
        <w:t xml:space="preserve">Pires, Mathias M., Diego Rindel, Bruno Moscardi, Livia R. Cruz, Paulo R. Guimarães, Sergio F. dos Reis, and S. Ivan Perez. 2020.</w:t>
      </w:r>
      <w:r>
        <w:t xml:space="preserve"> </w:t>
      </w:r>
      <w:r>
        <w:t xml:space="preserve">“Before, During and After Megafaunal Extinctions:</w:t>
      </w:r>
      <w:r>
        <w:t xml:space="preserve"> </w:t>
      </w:r>
      <w:r>
        <w:t xml:space="preserve">Human</w:t>
      </w:r>
      <w:r>
        <w:t xml:space="preserve"> </w:t>
      </w:r>
      <w:r>
        <w:t xml:space="preserve">Impact on</w:t>
      </w:r>
      <w:r>
        <w:t xml:space="preserve"> </w:t>
      </w:r>
      <w:r>
        <w:t xml:space="preserve">Pleistocene-Holocene</w:t>
      </w:r>
      <w:r>
        <w:t xml:space="preserve"> </w:t>
      </w:r>
      <w:r>
        <w:t xml:space="preserve">Trophic Networks in</w:t>
      </w:r>
      <w:r>
        <w:t xml:space="preserve"> </w:t>
      </w:r>
      <w:r>
        <w:t xml:space="preserve">South Patagonia</w:t>
      </w:r>
      <w:r>
        <w:t xml:space="preserve">.”</w:t>
      </w:r>
      <w:r>
        <w:t xml:space="preserve"> </w:t>
      </w:r>
      <w:r>
        <w:rPr>
          <w:iCs/>
          <w:i/>
        </w:rPr>
        <w:t xml:space="preserve">Quaternary Science Reviews</w:t>
      </w:r>
      <w:r>
        <w:t xml:space="preserve"> </w:t>
      </w:r>
      <w:r>
        <w:t xml:space="preserve">250 (December): 106696.</w:t>
      </w:r>
      <w:r>
        <w:t xml:space="preserve"> </w:t>
      </w:r>
      <w:hyperlink r:id="rId63">
        <w:r>
          <w:rPr>
            <w:rStyle w:val="Hyperlink"/>
          </w:rPr>
          <w:t xml:space="preserve">https://doi.org/10.1016/j.quascirev.2020.106696</w:t>
        </w:r>
      </w:hyperlink>
      <w:r>
        <w:t xml:space="preserve">.</w:t>
      </w:r>
    </w:p>
    <w:bookmarkEnd w:id="64"/>
    <w:bookmarkStart w:id="66" w:name="ref-poisotGlobalKnowledgeGaps2021"/>
    <w:p>
      <w:pPr>
        <w:pStyle w:val="Bibliography"/>
      </w:pPr>
      <w:r>
        <w:t xml:space="preserve">Poisot, Timothée, Gabriel Bergeron, Kevin Cazelles, Tad Dallas, Dominique Gravel, Andrew MacDonald, Benjamin Mercier, Clément Violet, and Steve Vissault. 2021.</w:t>
      </w:r>
      <w:r>
        <w:t xml:space="preserve"> </w:t>
      </w:r>
      <w:r>
        <w:t xml:space="preserve">“Global Knowledge Gaps in Species Interaction Networks Data.”</w:t>
      </w:r>
      <w:r>
        <w:t xml:space="preserve"> </w:t>
      </w:r>
      <w:r>
        <w:rPr>
          <w:iCs/>
          <w:i/>
        </w:rPr>
        <w:t xml:space="preserve">Journal of Biogeography</w:t>
      </w:r>
      <w:r>
        <w:t xml:space="preserve"> </w:t>
      </w:r>
      <w:r>
        <w:t xml:space="preserve">n/a (n/a).</w:t>
      </w:r>
      <w:r>
        <w:t xml:space="preserve"> </w:t>
      </w:r>
      <w:hyperlink r:id="rId65">
        <w:r>
          <w:rPr>
            <w:rStyle w:val="Hyperlink"/>
          </w:rPr>
          <w:t xml:space="preserve">https://doi.org/10.1111/jbi.14127</w:t>
        </w:r>
      </w:hyperlink>
      <w:r>
        <w:t xml:space="preserve">.</w:t>
      </w:r>
    </w:p>
    <w:bookmarkEnd w:id="66"/>
    <w:bookmarkStart w:id="68" w:name="ref-poisotSpeciesWhyEcological2015"/>
    <w:p>
      <w:pPr>
        <w:pStyle w:val="Bibliography"/>
      </w:pPr>
      <w:r>
        <w:t xml:space="preserve">Poisot, Timothée, Daniel B. Stouffer, and Dominique Gravel. 2015.</w:t>
      </w:r>
      <w:r>
        <w:t xml:space="preserve"> </w:t>
      </w:r>
      <w:r>
        <w:t xml:space="preserve">“Beyond Species: Why Ecological Interaction Networks Vary Through Space and Time.”</w:t>
      </w:r>
      <w:r>
        <w:t xml:space="preserve"> </w:t>
      </w:r>
      <w:r>
        <w:rPr>
          <w:iCs/>
          <w:i/>
        </w:rPr>
        <w:t xml:space="preserve">Oikos</w:t>
      </w:r>
      <w:r>
        <w:t xml:space="preserve"> </w:t>
      </w:r>
      <w:r>
        <w:t xml:space="preserve">124 (3): 243–51.</w:t>
      </w:r>
      <w:r>
        <w:t xml:space="preserve"> </w:t>
      </w:r>
      <w:hyperlink r:id="rId67">
        <w:r>
          <w:rPr>
            <w:rStyle w:val="Hyperlink"/>
          </w:rPr>
          <w:t xml:space="preserve">https://doi.org/10.1111/oik.01719</w:t>
        </w:r>
      </w:hyperlink>
      <w:r>
        <w:t xml:space="preserve">.</w:t>
      </w:r>
    </w:p>
    <w:bookmarkEnd w:id="68"/>
    <w:bookmarkStart w:id="70" w:name="ref-rohrModelingFoodWebs2010"/>
    <w:p>
      <w:pPr>
        <w:pStyle w:val="Bibliography"/>
      </w:pPr>
      <w:r>
        <w:t xml:space="preserve">Rohr, Rudolf Philippe, Heike Scherer, Patrik Kehrli, Christian Mazza, and Louis-Félix Bersier. 2010.</w:t>
      </w:r>
      <w:r>
        <w:t xml:space="preserve"> </w:t>
      </w:r>
      <w:r>
        <w:t xml:space="preserve">“Modeling</w:t>
      </w:r>
      <w:r>
        <w:t xml:space="preserve"> </w:t>
      </w:r>
      <w:r>
        <w:t xml:space="preserve">Food Webs</w:t>
      </w:r>
      <w:r>
        <w:t xml:space="preserve">:</w:t>
      </w:r>
      <w:r>
        <w:t xml:space="preserve"> </w:t>
      </w:r>
      <w:r>
        <w:t xml:space="preserve">Exploring Unexplained Structure Using Latent Traits</w:t>
      </w:r>
      <w:r>
        <w:t xml:space="preserve">.”</w:t>
      </w:r>
      <w:r>
        <w:t xml:space="preserve"> </w:t>
      </w:r>
      <w:r>
        <w:rPr>
          <w:iCs/>
          <w:i/>
        </w:rPr>
        <w:t xml:space="preserve">The American Naturalist</w:t>
      </w:r>
      <w:r>
        <w:t xml:space="preserve"> </w:t>
      </w:r>
      <w:r>
        <w:t xml:space="preserve">176 (2): 170–77.</w:t>
      </w:r>
      <w:r>
        <w:t xml:space="preserve"> </w:t>
      </w:r>
      <w:hyperlink r:id="rId69">
        <w:r>
          <w:rPr>
            <w:rStyle w:val="Hyperlink"/>
          </w:rPr>
          <w:t xml:space="preserve">https://doi.org/10.1086/653667</w:t>
        </w:r>
      </w:hyperlink>
      <w:r>
        <w:t xml:space="preserve">.</w:t>
      </w:r>
    </w:p>
    <w:bookmarkEnd w:id="70"/>
    <w:bookmarkStart w:id="72" w:name="ref-rossbergFoodWebsExperts2006"/>
    <w:p>
      <w:pPr>
        <w:pStyle w:val="Bibliography"/>
      </w:pPr>
      <w:r>
        <w:t xml:space="preserve">Rossberg, A. G., H. Matsuda, T. Amemiya, and K. Itoh. 2006.</w:t>
      </w:r>
      <w:r>
        <w:t xml:space="preserve"> </w:t>
      </w:r>
      <w:r>
        <w:t xml:space="preserve">“Food Webs:</w:t>
      </w:r>
      <w:r>
        <w:t xml:space="preserve"> </w:t>
      </w:r>
      <w:r>
        <w:t xml:space="preserve">Experts</w:t>
      </w:r>
      <w:r>
        <w:t xml:space="preserve"> </w:t>
      </w:r>
      <w:r>
        <w:t xml:space="preserve">Consuming Families of Experts.”</w:t>
      </w:r>
      <w:r>
        <w:t xml:space="preserve"> </w:t>
      </w:r>
      <w:r>
        <w:rPr>
          <w:iCs/>
          <w:i/>
        </w:rPr>
        <w:t xml:space="preserve">Journal of Theoretical Biology</w:t>
      </w:r>
      <w:r>
        <w:t xml:space="preserve"> </w:t>
      </w:r>
      <w:r>
        <w:t xml:space="preserve">241 (3): 552–63.</w:t>
      </w:r>
      <w:r>
        <w:t xml:space="preserve"> </w:t>
      </w:r>
      <w:hyperlink r:id="rId71">
        <w:r>
          <w:rPr>
            <w:rStyle w:val="Hyperlink"/>
          </w:rPr>
          <w:t xml:space="preserve">https://doi.org/10.1016/j.jtbi.2005.12.021</w:t>
        </w:r>
      </w:hyperlink>
      <w:r>
        <w:t xml:space="preserve">.</w:t>
      </w:r>
    </w:p>
    <w:bookmarkEnd w:id="72"/>
    <w:bookmarkStart w:id="74" w:name="X0fb50f1746fa9d2b24f89ed5bfe6ae1a2f58cc2"/>
    <w:p>
      <w:pPr>
        <w:pStyle w:val="Bibliography"/>
      </w:pPr>
      <w:r>
        <w:t xml:space="preserve">Shaw, Jack O., Alexander M. Dunhill, Andrew P. Beckerman, Jennifer A. Dunne, and Pincelli M. Hull. 2024.</w:t>
      </w:r>
      <w:r>
        <w:t xml:space="preserve"> </w:t>
      </w:r>
      <w:r>
        <w:t xml:space="preserve">“A Framework for Reconstructing Ancient Food Webs Using Functional Trait Data.”</w:t>
      </w:r>
      <w:r>
        <w:t xml:space="preserve"> </w:t>
      </w:r>
      <w:r>
        <w:t xml:space="preserve">bioRxiv</w:t>
      </w:r>
      <w:r>
        <w:t xml:space="preserve">.</w:t>
      </w:r>
      <w:r>
        <w:t xml:space="preserve"> </w:t>
      </w:r>
      <w:hyperlink r:id="rId73">
        <w:r>
          <w:rPr>
            <w:rStyle w:val="Hyperlink"/>
          </w:rPr>
          <w:t xml:space="preserve">https://doi.org/10.1101/2024.01.30.578036</w:t>
        </w:r>
      </w:hyperlink>
      <w:r>
        <w:t xml:space="preserve">.</w:t>
      </w:r>
    </w:p>
    <w:bookmarkEnd w:id="74"/>
    <w:bookmarkStart w:id="76" w:name="ref-strydomFoodWebReconstruction2022"/>
    <w:p>
      <w:pPr>
        <w:pStyle w:val="Bibliography"/>
      </w:pPr>
      <w:r>
        <w:t xml:space="preserve">Strydom, Tanya, Salomé Bouskila, Francis Banville, Ceres Barros, Dominique Caron, Maxwell J. Farrell, Marie-Josée Fortin, et al. 2022.</w:t>
      </w:r>
      <w:r>
        <w:t xml:space="preserve"> </w:t>
      </w:r>
      <w:r>
        <w:t xml:space="preserve">“Food Web Reconstruction Through Phylogenetic Transfer of Low-Rank Network Representation.”</w:t>
      </w:r>
      <w:r>
        <w:t xml:space="preserve"> </w:t>
      </w:r>
      <w:r>
        <w:rPr>
          <w:iCs/>
          <w:i/>
        </w:rPr>
        <w:t xml:space="preserve">Methods in Ecology and Evolution</w:t>
      </w:r>
      <w:r>
        <w:t xml:space="preserve"> </w:t>
      </w:r>
      <w:r>
        <w:t xml:space="preserve">13 (12): 2838–49.</w:t>
      </w:r>
      <w:r>
        <w:t xml:space="preserve"> </w:t>
      </w:r>
      <w:hyperlink r:id="rId75">
        <w:r>
          <w:rPr>
            <w:rStyle w:val="Hyperlink"/>
          </w:rPr>
          <w:t xml:space="preserve">https://doi.org/10.1111/2041-210X.13835</w:t>
        </w:r>
      </w:hyperlink>
      <w:r>
        <w:t xml:space="preserve">.</w:t>
      </w:r>
    </w:p>
    <w:bookmarkEnd w:id="76"/>
    <w:bookmarkStart w:id="78" w:name="ref-strydomGraphEmbeddingTransfer2023"/>
    <w:p>
      <w:pPr>
        <w:pStyle w:val="Bibliography"/>
      </w:pPr>
      <w:r>
        <w:t xml:space="preserve">Strydom, Tanya, Salomé Bouskila, Francis Banville, Ceres Barros, Dominique Caron, Maxwell J. Farrell, Marie-Josée Fortin, et al. 2023.</w:t>
      </w:r>
      <w:r>
        <w:t xml:space="preserve"> </w:t>
      </w:r>
      <w:r>
        <w:t xml:space="preserve">“Graph Embedding and Transfer Learning Can Help Predict Potential Species Interaction Networks Despite Data Limitations.”</w:t>
      </w:r>
      <w:r>
        <w:t xml:space="preserve"> </w:t>
      </w:r>
      <w:r>
        <w:rPr>
          <w:iCs/>
          <w:i/>
        </w:rPr>
        <w:t xml:space="preserve">Methods in Ecology and Evolution</w:t>
      </w:r>
      <w:r>
        <w:t xml:space="preserve"> </w:t>
      </w:r>
      <w:r>
        <w:t xml:space="preserve">14 (12): 2917–30.</w:t>
      </w:r>
      <w:r>
        <w:t xml:space="preserve"> </w:t>
      </w:r>
      <w:hyperlink r:id="rId77">
        <w:r>
          <w:rPr>
            <w:rStyle w:val="Hyperlink"/>
          </w:rPr>
          <w:t xml:space="preserve">https://doi.org/10.1111/2041-210X.14228</w:t>
        </w:r>
      </w:hyperlink>
      <w:r>
        <w:t xml:space="preserve">.</w:t>
      </w:r>
    </w:p>
    <w:bookmarkEnd w:id="78"/>
    <w:bookmarkStart w:id="80" w:name="ref-strydomRoadmapPredictingSpecies2021"/>
    <w:p>
      <w:pPr>
        <w:pStyle w:val="Bibliography"/>
      </w:pPr>
      <w:r>
        <w:t xml:space="preserve">Strydom, Tanya, Michael D. Catchen, Francis Banville, Dominique Caron, Gabriel Dansereau, Philippe Desjardins-Proulx, Norma R. Forero-Muñoz, et al. 2021.</w:t>
      </w:r>
      <w:r>
        <w:t xml:space="preserve"> </w:t>
      </w:r>
      <w:r>
        <w:t xml:space="preserve">“A Roadmap Towards Predicting Species Interaction Networks (Across Space and Time).”</w:t>
      </w:r>
      <w:r>
        <w:t xml:space="preserve"> </w:t>
      </w:r>
      <w:r>
        <w:rPr>
          <w:iCs/>
          <w:i/>
        </w:rPr>
        <w:t xml:space="preserve">Philosophical Transactions of the Royal Society B: Biological Sciences</w:t>
      </w:r>
      <w:r>
        <w:t xml:space="preserve"> </w:t>
      </w:r>
      <w:r>
        <w:t xml:space="preserve">376 (1837): 20210063.</w:t>
      </w:r>
      <w:r>
        <w:t xml:space="preserve"> </w:t>
      </w:r>
      <w:hyperlink r:id="rId79">
        <w:r>
          <w:rPr>
            <w:rStyle w:val="Hyperlink"/>
          </w:rPr>
          <w:t xml:space="preserve">https://doi.org/10.1098/rstb.2021.0063</w:t>
        </w:r>
      </w:hyperlink>
      <w:r>
        <w:t xml:space="preserve">.</w:t>
      </w:r>
    </w:p>
    <w:bookmarkEnd w:id="80"/>
    <w:bookmarkStart w:id="82" w:name="ref-uphamInferringMammalTree2019"/>
    <w:p>
      <w:pPr>
        <w:pStyle w:val="Bibliography"/>
      </w:pPr>
      <w:r>
        <w:t xml:space="preserve">Upham, Nathan S., Jacob A. Esselstyn, and Walter Jetz. 2019.</w:t>
      </w:r>
      <w:r>
        <w:t xml:space="preserve"> </w:t>
      </w:r>
      <w:r>
        <w:t xml:space="preserve">“Inferring the Mammal Tree:</w:t>
      </w:r>
      <w:r>
        <w:t xml:space="preserve"> </w:t>
      </w:r>
      <w:r>
        <w:t xml:space="preserve">Species-level</w:t>
      </w:r>
      <w:r>
        <w:t xml:space="preserve"> </w:t>
      </w:r>
      <w:r>
        <w:t xml:space="preserve">Sets of Phylogenies for Questions in Ecology, Evolution, and Conservation.”</w:t>
      </w:r>
      <w:r>
        <w:t xml:space="preserve"> </w:t>
      </w:r>
      <w:r>
        <w:rPr>
          <w:iCs/>
          <w:i/>
        </w:rPr>
        <w:t xml:space="preserve">PLOS Biology</w:t>
      </w:r>
      <w:r>
        <w:t xml:space="preserve"> </w:t>
      </w:r>
      <w:r>
        <w:t xml:space="preserve">17 (12): e3000494.</w:t>
      </w:r>
      <w:r>
        <w:t xml:space="preserve"> </w:t>
      </w:r>
      <w:hyperlink r:id="rId81">
        <w:r>
          <w:rPr>
            <w:rStyle w:val="Hyperlink"/>
          </w:rPr>
          <w:t xml:space="preserve">https://doi.org/10.1371/journal.pbio.3000494</w:t>
        </w:r>
      </w:hyperlink>
      <w:r>
        <w:t xml:space="preserve">.</w:t>
      </w:r>
    </w:p>
    <w:bookmarkEnd w:id="82"/>
    <w:bookmarkStart w:id="84" w:name="X2cae758a57fb7b500a696ee22ace3d032a23796"/>
    <w:p>
      <w:pPr>
        <w:pStyle w:val="Bibliography"/>
      </w:pPr>
      <w:r>
        <w:t xml:space="preserve">Valdovinos, Fernanda S., Kayla R. S. Hale, Sabine Dritz, Paul R. Glaum, Kevin S. McCann, Sophia M. Simon, Elisa Thébault, William C. Wetzel, Kate L. Wootton, and Justin D. Yeakel. 2023.</w:t>
      </w:r>
      <w:r>
        <w:t xml:space="preserve"> </w:t>
      </w:r>
      <w:r>
        <w:t xml:space="preserve">“A Bioenergetic Framework for Aboveground Terrestrial Food Webs.”</w:t>
      </w:r>
      <w:r>
        <w:t xml:space="preserve"> </w:t>
      </w:r>
      <w:r>
        <w:rPr>
          <w:iCs/>
          <w:i/>
        </w:rPr>
        <w:t xml:space="preserve">Trends in Ecology &amp; Evolution</w:t>
      </w:r>
      <w:r>
        <w:t xml:space="preserve"> </w:t>
      </w:r>
      <w:r>
        <w:t xml:space="preserve">38 (3): 301–12.</w:t>
      </w:r>
      <w:r>
        <w:t xml:space="preserve"> </w:t>
      </w:r>
      <w:hyperlink r:id="rId83">
        <w:r>
          <w:rPr>
            <w:rStyle w:val="Hyperlink"/>
          </w:rPr>
          <w:t xml:space="preserve">https://doi.org/10.1016/j.tree.2022.11.004</w:t>
        </w:r>
      </w:hyperlink>
      <w:r>
        <w:t xml:space="preserve">.</w:t>
      </w:r>
    </w:p>
    <w:bookmarkEnd w:id="84"/>
    <w:bookmarkStart w:id="86" w:name="ref-williamsSimpleRulesYield2000"/>
    <w:p>
      <w:pPr>
        <w:pStyle w:val="Bibliography"/>
      </w:pPr>
      <w:r>
        <w:t xml:space="preserve">Williams, Richard J., and Neo D. Martinez. 2000.</w:t>
      </w:r>
      <w:r>
        <w:t xml:space="preserve"> </w:t>
      </w:r>
      <w:r>
        <w:t xml:space="preserve">“Simple Rules Yield Complex Food Webs.”</w:t>
      </w:r>
      <w:r>
        <w:t xml:space="preserve"> </w:t>
      </w:r>
      <w:r>
        <w:rPr>
          <w:iCs/>
          <w:i/>
        </w:rPr>
        <w:t xml:space="preserve">Nature</w:t>
      </w:r>
      <w:r>
        <w:t xml:space="preserve"> </w:t>
      </w:r>
      <w:r>
        <w:t xml:space="preserve">404 (6774): 180–83.</w:t>
      </w:r>
      <w:r>
        <w:t xml:space="preserve"> </w:t>
      </w:r>
      <w:hyperlink r:id="rId85">
        <w:r>
          <w:rPr>
            <w:rStyle w:val="Hyperlink"/>
          </w:rPr>
          <w:t xml:space="preserve">https://doi.org/10.1038/35004572</w:t>
        </w:r>
      </w:hyperlink>
      <w:r>
        <w:t xml:space="preserve">.</w:t>
      </w:r>
    </w:p>
    <w:bookmarkEnd w:id="86"/>
    <w:bookmarkStart w:id="88" w:name="ref-williamsSuccessItsLimits2008"/>
    <w:p>
      <w:pPr>
        <w:pStyle w:val="Bibliography"/>
      </w:pPr>
      <w:r>
        <w:t xml:space="preserve">———. 2008.</w:t>
      </w:r>
      <w:r>
        <w:t xml:space="preserve"> </w:t>
      </w:r>
      <w:r>
        <w:t xml:space="preserve">“Success and Its Limits Among Structural Models of Complex Food Webs.”</w:t>
      </w:r>
      <w:r>
        <w:t xml:space="preserve"> </w:t>
      </w:r>
      <w:r>
        <w:rPr>
          <w:iCs/>
          <w:i/>
        </w:rPr>
        <w:t xml:space="preserve">The Journal of Animal Ecology</w:t>
      </w:r>
      <w:r>
        <w:t xml:space="preserve"> </w:t>
      </w:r>
      <w:r>
        <w:t xml:space="preserve">77 (3): 512–19.</w:t>
      </w:r>
      <w:r>
        <w:t xml:space="preserve"> </w:t>
      </w:r>
      <w:hyperlink r:id="rId87">
        <w:r>
          <w:rPr>
            <w:rStyle w:val="Hyperlink"/>
          </w:rPr>
          <w:t xml:space="preserve">https://doi.org/10.1111/j.1365-2656.2008.01362.x</w:t>
        </w:r>
      </w:hyperlink>
      <w:r>
        <w:t xml:space="preserve">.</w:t>
      </w:r>
    </w:p>
    <w:bookmarkEnd w:id="88"/>
    <w:bookmarkStart w:id="90" w:name="X3fc2d14386dedf5f1ba7e24ee00e41a20bbf03b"/>
    <w:p>
      <w:pPr>
        <w:pStyle w:val="Bibliography"/>
      </w:pPr>
      <w:r>
        <w:t xml:space="preserve">Wilman, Hamish, Jonathan Belmaker, Jennifer Simpson, Carolina de la Rosa, Marcelo M. Rivadeneira, and Walter Jetz. 2014.</w:t>
      </w:r>
      <w:r>
        <w:t xml:space="preserve"> </w:t>
      </w:r>
      <w:r>
        <w:t xml:space="preserve">“</w:t>
      </w:r>
      <w:r>
        <w:t xml:space="preserve">EltonTraits</w:t>
      </w:r>
      <w:r>
        <w:t xml:space="preserve"> </w:t>
      </w:r>
      <w:r>
        <w:t xml:space="preserve">1.0:</w:t>
      </w:r>
      <w:r>
        <w:t xml:space="preserve"> </w:t>
      </w:r>
      <w:r>
        <w:t xml:space="preserve">Species-level</w:t>
      </w:r>
      <w:r>
        <w:t xml:space="preserve"> </w:t>
      </w:r>
      <w:r>
        <w:t xml:space="preserve">Foraging Attributes of the World’s Birds and Mammals.”</w:t>
      </w:r>
      <w:r>
        <w:t xml:space="preserve"> </w:t>
      </w:r>
      <w:r>
        <w:rPr>
          <w:iCs/>
          <w:i/>
        </w:rPr>
        <w:t xml:space="preserve">Ecology</w:t>
      </w:r>
      <w:r>
        <w:t xml:space="preserve"> </w:t>
      </w:r>
      <w:r>
        <w:t xml:space="preserve">95 (7): 2027–27.</w:t>
      </w:r>
      <w:r>
        <w:t xml:space="preserve"> </w:t>
      </w:r>
      <w:hyperlink r:id="rId89">
        <w:r>
          <w:rPr>
            <w:rStyle w:val="Hyperlink"/>
          </w:rPr>
          <w:t xml:space="preserve">https://doi.org/10.1890/13-1917.1</w:t>
        </w:r>
      </w:hyperlink>
      <w:r>
        <w:t xml:space="preserve">.</w:t>
      </w:r>
    </w:p>
    <w:bookmarkEnd w:id="90"/>
    <w:bookmarkStart w:id="92" w:name="ref-yeakelCollapseEcologicalNetwork2014"/>
    <w:p>
      <w:pPr>
        <w:pStyle w:val="Bibliography"/>
      </w:pPr>
      <w:r>
        <w:t xml:space="preserve">Yeakel, Justin D., Mathias M. Pires, Lars Rudolf, Nathaniel J. Dominy, Paul L. Koch, Paulo R. Guimarães, and Thilo Gross. 2014.</w:t>
      </w:r>
      <w:r>
        <w:t xml:space="preserve"> </w:t>
      </w:r>
      <w:r>
        <w:t xml:space="preserve">“Collapse of an Ecological Network in</w:t>
      </w:r>
      <w:r>
        <w:t xml:space="preserve"> </w:t>
      </w:r>
      <w:r>
        <w:t xml:space="preserve">Ancient Egypt</w:t>
      </w:r>
      <w:r>
        <w:t xml:space="preserve">.”</w:t>
      </w:r>
      <w:r>
        <w:t xml:space="preserve"> </w:t>
      </w:r>
      <w:r>
        <w:rPr>
          <w:iCs/>
          <w:i/>
        </w:rPr>
        <w:t xml:space="preserve">PNAS</w:t>
      </w:r>
      <w:r>
        <w:t xml:space="preserve"> </w:t>
      </w:r>
      <w:r>
        <w:t xml:space="preserve">111 (40): 14472–77.</w:t>
      </w:r>
      <w:r>
        <w:t xml:space="preserve"> </w:t>
      </w:r>
      <w:hyperlink r:id="rId91">
        <w:r>
          <w:rPr>
            <w:rStyle w:val="Hyperlink"/>
          </w:rPr>
          <w:t xml:space="preserve">https://doi.org/10.1073/pnas.1408471111</w:t>
        </w:r>
      </w:hyperlink>
      <w:r>
        <w:t xml:space="preserve">.</w:t>
      </w:r>
    </w:p>
    <w:bookmarkEnd w:id="92"/>
    <w:bookmarkEnd w:id="93"/>
    <w:bookmarkEnd w:id="9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b/>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b/>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hyperlink" Id="rId31" Target="https://BecksLab.github.io/ms_t_is_for_topology/index.qmd.html" TargetMode="External" /><Relationship Type="http://schemas.openxmlformats.org/officeDocument/2006/relationships/hyperlink" Id="rId71" Target="https://doi.org/10.1016/j.jtbi.2005.12.021" TargetMode="External" /><Relationship Type="http://schemas.openxmlformats.org/officeDocument/2006/relationships/hyperlink" Id="rId61" Target="https://doi.org/10.1016/j.jtbi.2011.03.019" TargetMode="External" /><Relationship Type="http://schemas.openxmlformats.org/officeDocument/2006/relationships/hyperlink" Id="rId63" Target="https://doi.org/10.1016/j.quascirev.2020.106696" TargetMode="External" /><Relationship Type="http://schemas.openxmlformats.org/officeDocument/2006/relationships/hyperlink" Id="rId83" Target="https://doi.org/10.1016/j.tree.2022.11.004" TargetMode="External" /><Relationship Type="http://schemas.openxmlformats.org/officeDocument/2006/relationships/hyperlink" Id="rId85" Target="https://doi.org/10.1038/35004572" TargetMode="External" /><Relationship Type="http://schemas.openxmlformats.org/officeDocument/2006/relationships/hyperlink" Id="rId43" Target="https://doi.org/10.1038/nature02327" TargetMode="External" /><Relationship Type="http://schemas.openxmlformats.org/officeDocument/2006/relationships/hyperlink" Id="rId51" Target="https://doi.org/10.1038/s41597-022-01364-9" TargetMode="External" /><Relationship Type="http://schemas.openxmlformats.org/officeDocument/2006/relationships/hyperlink" Id="rId59" Target="https://doi.org/10.1073/pnas.0710672105" TargetMode="External" /><Relationship Type="http://schemas.openxmlformats.org/officeDocument/2006/relationships/hyperlink" Id="rId37" Target="https://doi.org/10.1073/pnas.0800967105" TargetMode="External" /><Relationship Type="http://schemas.openxmlformats.org/officeDocument/2006/relationships/hyperlink" Id="rId91" Target="https://doi.org/10.1073/pnas.1408471111" TargetMode="External" /><Relationship Type="http://schemas.openxmlformats.org/officeDocument/2006/relationships/hyperlink" Id="rId69" Target="https://doi.org/10.1086/653667" TargetMode="External" /><Relationship Type="http://schemas.openxmlformats.org/officeDocument/2006/relationships/hyperlink" Id="rId46" Target="https://doi.org/10.1098/rspb.1985.0042" TargetMode="External" /><Relationship Type="http://schemas.openxmlformats.org/officeDocument/2006/relationships/hyperlink" Id="rId79" Target="https://doi.org/10.1098/rstb.2021.0063" TargetMode="External" /><Relationship Type="http://schemas.openxmlformats.org/officeDocument/2006/relationships/hyperlink" Id="rId73" Target="https://doi.org/10.1101/2024.01.30.578036" TargetMode="External" /><Relationship Type="http://schemas.openxmlformats.org/officeDocument/2006/relationships/hyperlink" Id="rId57" Target="https://doi.org/10.1111/1365-2435.12763" TargetMode="External" /><Relationship Type="http://schemas.openxmlformats.org/officeDocument/2006/relationships/hyperlink" Id="rId75" Target="https://doi.org/10.1111/2041-210X.13835" TargetMode="External" /><Relationship Type="http://schemas.openxmlformats.org/officeDocument/2006/relationships/hyperlink" Id="rId77" Target="https://doi.org/10.1111/2041-210X.14228" TargetMode="External" /><Relationship Type="http://schemas.openxmlformats.org/officeDocument/2006/relationships/hyperlink" Id="rId41" Target="https://doi.org/10.1111/ele.13966" TargetMode="External" /><Relationship Type="http://schemas.openxmlformats.org/officeDocument/2006/relationships/hyperlink" Id="rId87" Target="https://doi.org/10.1111/j.1365-2656.2008.01362.x" TargetMode="External" /><Relationship Type="http://schemas.openxmlformats.org/officeDocument/2006/relationships/hyperlink" Id="rId35" Target="https://doi.org/10.1111/j.1475-4983.2006.00611.x" TargetMode="External" /><Relationship Type="http://schemas.openxmlformats.org/officeDocument/2006/relationships/hyperlink" Id="rId65" Target="https://doi.org/10.1111/jbi.14127" TargetMode="External" /><Relationship Type="http://schemas.openxmlformats.org/officeDocument/2006/relationships/hyperlink" Id="rId67" Target="https://doi.org/10.1111/oik.01719" TargetMode="External" /><Relationship Type="http://schemas.openxmlformats.org/officeDocument/2006/relationships/hyperlink" Id="rId49" Target="https://doi.org/10.1371/journal.pbio.0060102" TargetMode="External" /><Relationship Type="http://schemas.openxmlformats.org/officeDocument/2006/relationships/hyperlink" Id="rId55" Target="https://doi.org/10.1371/journal.pbio.1002559" TargetMode="External" /><Relationship Type="http://schemas.openxmlformats.org/officeDocument/2006/relationships/hyperlink" Id="rId81" Target="https://doi.org/10.1371/journal.pbio.3000494" TargetMode="External" /><Relationship Type="http://schemas.openxmlformats.org/officeDocument/2006/relationships/hyperlink" Id="rId53" Target="https://doi.org/10.1890/08-1494.1" TargetMode="External" /><Relationship Type="http://schemas.openxmlformats.org/officeDocument/2006/relationships/hyperlink" Id="rId89" Target="https://doi.org/10.1890/13-1917.1" TargetMode="External" /><Relationship Type="http://schemas.openxmlformats.org/officeDocument/2006/relationships/hyperlink" Id="rId39" Target="https://doi.org/10.32942/X29K55" TargetMode="External" /><Relationship Type="http://schemas.openxmlformats.org/officeDocument/2006/relationships/hyperlink" Id="rId24" Target="https://github.com/BecksLab/topology_generators" TargetMode="External" /></Relationships>
</file>

<file path=word/_rels/footnotes.xml.rels><?xml version="1.0" encoding="UTF-8"?><Relationships xmlns="http://schemas.openxmlformats.org/package/2006/relationships"><Relationship Type="http://schemas.openxmlformats.org/officeDocument/2006/relationships/hyperlink" Id="rId31" Target="https://BecksLab.github.io/ms_t_is_for_topology/index.qmd.html" TargetMode="External" /><Relationship Type="http://schemas.openxmlformats.org/officeDocument/2006/relationships/hyperlink" Id="rId71" Target="https://doi.org/10.1016/j.jtbi.2005.12.021" TargetMode="External" /><Relationship Type="http://schemas.openxmlformats.org/officeDocument/2006/relationships/hyperlink" Id="rId61" Target="https://doi.org/10.1016/j.jtbi.2011.03.019" TargetMode="External" /><Relationship Type="http://schemas.openxmlformats.org/officeDocument/2006/relationships/hyperlink" Id="rId63" Target="https://doi.org/10.1016/j.quascirev.2020.106696" TargetMode="External" /><Relationship Type="http://schemas.openxmlformats.org/officeDocument/2006/relationships/hyperlink" Id="rId83" Target="https://doi.org/10.1016/j.tree.2022.11.004" TargetMode="External" /><Relationship Type="http://schemas.openxmlformats.org/officeDocument/2006/relationships/hyperlink" Id="rId85" Target="https://doi.org/10.1038/35004572" TargetMode="External" /><Relationship Type="http://schemas.openxmlformats.org/officeDocument/2006/relationships/hyperlink" Id="rId43" Target="https://doi.org/10.1038/nature02327" TargetMode="External" /><Relationship Type="http://schemas.openxmlformats.org/officeDocument/2006/relationships/hyperlink" Id="rId51" Target="https://doi.org/10.1038/s41597-022-01364-9" TargetMode="External" /><Relationship Type="http://schemas.openxmlformats.org/officeDocument/2006/relationships/hyperlink" Id="rId59" Target="https://doi.org/10.1073/pnas.0710672105" TargetMode="External" /><Relationship Type="http://schemas.openxmlformats.org/officeDocument/2006/relationships/hyperlink" Id="rId37" Target="https://doi.org/10.1073/pnas.0800967105" TargetMode="External" /><Relationship Type="http://schemas.openxmlformats.org/officeDocument/2006/relationships/hyperlink" Id="rId91" Target="https://doi.org/10.1073/pnas.1408471111" TargetMode="External" /><Relationship Type="http://schemas.openxmlformats.org/officeDocument/2006/relationships/hyperlink" Id="rId69" Target="https://doi.org/10.1086/653667" TargetMode="External" /><Relationship Type="http://schemas.openxmlformats.org/officeDocument/2006/relationships/hyperlink" Id="rId46" Target="https://doi.org/10.1098/rspb.1985.0042" TargetMode="External" /><Relationship Type="http://schemas.openxmlformats.org/officeDocument/2006/relationships/hyperlink" Id="rId79" Target="https://doi.org/10.1098/rstb.2021.0063" TargetMode="External" /><Relationship Type="http://schemas.openxmlformats.org/officeDocument/2006/relationships/hyperlink" Id="rId73" Target="https://doi.org/10.1101/2024.01.30.578036" TargetMode="External" /><Relationship Type="http://schemas.openxmlformats.org/officeDocument/2006/relationships/hyperlink" Id="rId57" Target="https://doi.org/10.1111/1365-2435.12763" TargetMode="External" /><Relationship Type="http://schemas.openxmlformats.org/officeDocument/2006/relationships/hyperlink" Id="rId75" Target="https://doi.org/10.1111/2041-210X.13835" TargetMode="External" /><Relationship Type="http://schemas.openxmlformats.org/officeDocument/2006/relationships/hyperlink" Id="rId77" Target="https://doi.org/10.1111/2041-210X.14228" TargetMode="External" /><Relationship Type="http://schemas.openxmlformats.org/officeDocument/2006/relationships/hyperlink" Id="rId41" Target="https://doi.org/10.1111/ele.13966" TargetMode="External" /><Relationship Type="http://schemas.openxmlformats.org/officeDocument/2006/relationships/hyperlink" Id="rId87" Target="https://doi.org/10.1111/j.1365-2656.2008.01362.x" TargetMode="External" /><Relationship Type="http://schemas.openxmlformats.org/officeDocument/2006/relationships/hyperlink" Id="rId35" Target="https://doi.org/10.1111/j.1475-4983.2006.00611.x" TargetMode="External" /><Relationship Type="http://schemas.openxmlformats.org/officeDocument/2006/relationships/hyperlink" Id="rId65" Target="https://doi.org/10.1111/jbi.14127" TargetMode="External" /><Relationship Type="http://schemas.openxmlformats.org/officeDocument/2006/relationships/hyperlink" Id="rId67" Target="https://doi.org/10.1111/oik.01719" TargetMode="External" /><Relationship Type="http://schemas.openxmlformats.org/officeDocument/2006/relationships/hyperlink" Id="rId49" Target="https://doi.org/10.1371/journal.pbio.0060102" TargetMode="External" /><Relationship Type="http://schemas.openxmlformats.org/officeDocument/2006/relationships/hyperlink" Id="rId55" Target="https://doi.org/10.1371/journal.pbio.1002559" TargetMode="External" /><Relationship Type="http://schemas.openxmlformats.org/officeDocument/2006/relationships/hyperlink" Id="rId81" Target="https://doi.org/10.1371/journal.pbio.3000494" TargetMode="External" /><Relationship Type="http://schemas.openxmlformats.org/officeDocument/2006/relationships/hyperlink" Id="rId53" Target="https://doi.org/10.1890/08-1494.1" TargetMode="External" /><Relationship Type="http://schemas.openxmlformats.org/officeDocument/2006/relationships/hyperlink" Id="rId89" Target="https://doi.org/10.1890/13-1917.1" TargetMode="External" /><Relationship Type="http://schemas.openxmlformats.org/officeDocument/2006/relationships/hyperlink" Id="rId39" Target="https://doi.org/10.32942/X29K55" TargetMode="External" /><Relationship Type="http://schemas.openxmlformats.org/officeDocument/2006/relationships/hyperlink" Id="rId24" Target="https://github.com/BecksLab/topology_generat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 is for Topology</dc:title>
  <dc:creator>Tanya Strydom; Andrew P. Beckerman</dc:creator>
  <cp:keywords>food web, network construction</cp:keywords>
  <dcterms:created xsi:type="dcterms:W3CDTF">2024-02-12T12:25:45Z</dcterms:created>
  <dcterms:modified xsi:type="dcterms:W3CDTF">2024-02-12T12:25:45Z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Pending…</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2024-02-12</vt:lpwstr>
  </property>
  <property fmtid="{D5CDD505-2E9C-101B-9397-08002B2CF9AE}" pid="12" name="funding">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jupyter">
    <vt:lpwstr>python3</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plain-language-summary">
    <vt:lpwstr>We want to know a bit more about the different network topology generators (predict tools) and how they differ - i.e., their strengths and weaknesses</vt:lpwstr>
  </property>
  <property fmtid="{D5CDD505-2E9C-101B-9397-08002B2CF9AE}" pid="23" name="quarto-internal">
    <vt:lpwstr/>
  </property>
  <property fmtid="{D5CDD505-2E9C-101B-9397-08002B2CF9AE}" pid="24" name="remove-hidden">
    <vt:lpwstr>all</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