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2024-05-16</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species, the reality is that nodes can often represent an aggregation of different (taxonomic)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It is thus not uncommon that networks often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say are they occurring to how likely they are to be occurring) does add an additional level of</w:t>
      </w:r>
      <w:r>
        <w:t xml:space="preserve"> </w:t>
      </w:r>
      <w:r>
        <w:t xml:space="preserve">‘</w:t>
      </w:r>
      <w:r>
        <w:t xml:space="preserve">complexity</w:t>
      </w:r>
      <w:r>
        <w:t xml:space="preserve">’</w:t>
      </w:r>
      <w:r>
        <w:t xml:space="preserve"> </w:t>
      </w:r>
      <w:r>
        <w:t xml:space="preserve">to the construction and interpretation of networks it ultimately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thus uses to construct networks from nodes and edges generates a unique representation of mechanism (see Box 1 - Mechanisms that determine feeding links) that allow inference and reasoning about the structure, aspects of dynamics (e.g. stability), and potentially the function of communities (e.g. 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[27]</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[28]</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[33]</w:t>
      </w:r>
      <w:r>
        <w:t xml:space="preserv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[44]</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2024-05-16T10:07:40Z</dcterms:created>
  <dcterms:modified xsi:type="dcterms:W3CDTF">2024-05-16T10:07:40Z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2024-05-16</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