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2024-06-21</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interactions,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
                <w:iCs/>
              </w:rPr>
              <w:t xml:space="preserve">sensu</w:t>
            </w:r>
            <w:r>
              <w:t xml:space="preserve"> </w:t>
            </w:r>
            <w:r>
              <w:t xml:space="preserve">Banville, in prep).</w:t>
            </w:r>
          </w:p>
          <w:p>
            <w:pPr>
              <w:pStyle w:val="BodyText"/>
            </w:pPr>
            <w:r>
              <w:rPr>
                <w:b/>
                <w:bCs/>
              </w:rPr>
              <w:t xml:space="preserve">2. (Co)occurrence interactions</w:t>
            </w:r>
          </w:p>
          <w:p>
            <w:pPr>
              <w:pStyle w:val="BodyText"/>
            </w:pPr>
            <w:r>
              <w:t xml:space="preserve">Although the outright assumption that because two species are co-occurring it must mean that they are interacting is inherently flawed</w:t>
            </w:r>
            <w:r>
              <w:t xml:space="preserve"> </w:t>
            </w:r>
            <w:r>
              <w:t xml:space="preserve">[29]</w:t>
            </w:r>
            <w:r>
              <w:t xml:space="preserve">, it is of course impossible for two species to interact (at least in terms of feeding links) if they are not co-occurring in time and space. Hence it is of course important to take into consideration the co-occurrence of both the resource and the consumer. An example of this would be the work from</w:t>
            </w:r>
            <w:r>
              <w:t xml:space="preserve"> </w:t>
            </w:r>
            <w:r>
              <w:t xml:space="preserve">[30]</w:t>
            </w:r>
            <w:r>
              <w:t xml:space="preserve">, where a metaweb (feasibility network)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
                <w:bCs/>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how I am presenting network prediction and more so a data parameter one needs… maybe…</w:t>
            </w:r>
          </w:p>
          <w:p>
            <w:pPr>
              <w:pStyle w:val="BodyText"/>
            </w:pPr>
            <w:r>
              <w:t xml:space="preserve">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(well at least past Tanya seemed to think so)</w:t>
            </w:r>
          </w:p>
          <w:p>
            <w:pPr>
              <w:pStyle w:val="BodyText"/>
            </w:pPr>
            <w:r>
              <w:rPr>
                <w:b/>
                <w:bCs/>
              </w:rPr>
              <w:t xml:space="preserve">4. Consumer–resource (energetic) interactions</w:t>
            </w:r>
          </w:p>
          <w:p>
            <w:pPr>
              <w:pStyle w:val="BodyText"/>
            </w:pPr>
            <w:r>
              <w:t xml:space="preserve">This is where we begin to move into the foraging ecology space - specifically consumption rate and how that pertains to energy acquisition</w:t>
            </w:r>
            <w:r>
              <w:t xml:space="preserve"> </w:t>
            </w:r>
            <w:r>
              <w:rPr>
                <w:i/>
                <w:iCs/>
              </w:rPr>
              <w:t xml:space="preserve">i.e.,</w:t>
            </w:r>
            <w:r>
              <w:t xml:space="preserve"> </w:t>
            </w:r>
            <w:r>
              <w:t xml:space="preserve">optimal foraging theory.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as informed by energetic cost (not just purely based on</w:t>
            </w:r>
            <w:r>
              <w:t xml:space="preserve"> </w:t>
            </w:r>
            <w:r>
              <w:rPr>
                <w:i/>
                <w:iCs/>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as well as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
                <w:bCs/>
              </w:rPr>
              <w:t xml:space="preserve">5. Consumer–environment (energetic)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[50]</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2024-06-21T12:57:44Z</dcterms:created>
  <dcterms:modified xsi:type="dcterms:W3CDTF">2024-06-21T12:57:44Z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