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
          <w:iCs/>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
          <w:iCs/>
        </w:rPr>
        <w:t xml:space="preserve">e.g.,</w:t>
      </w:r>
      <w:r>
        <w:t xml:space="preserve"> </w:t>
      </w:r>
      <w:r>
        <w:t xml:space="preserve">Thuiller et al. 2024)</w:t>
      </w:r>
      <w:r>
        <w:t xml:space="preserve"> </w:t>
      </w:r>
      <w:r>
        <w:t xml:space="preserve">and conservation biology</w:t>
      </w:r>
      <w:r>
        <w:t xml:space="preserve"> </w:t>
      </w:r>
      <w:r>
        <w:t xml:space="preserve">(</w:t>
      </w:r>
      <w:r>
        <w:rPr>
          <w:i/>
          <w:iCs/>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
          <w:iCs/>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t>
      </w:r>
      <w:r>
        <w:rPr>
          <w:i/>
          <w:iCs/>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
          <w:iCs/>
        </w:rPr>
        <w:t xml:space="preserve">a</w:t>
      </w:r>
      <w:r>
        <w:t xml:space="preserve"> </w:t>
      </w:r>
      <w:r>
        <w:t xml:space="preserve">has the ability to consume species</w:t>
      </w:r>
      <w:r>
        <w:t xml:space="preserve"> </w:t>
      </w:r>
      <w:r>
        <w:rPr>
          <w:i/>
          <w:iCs/>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
          <w:iCs/>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
          <w:iCs/>
        </w:rPr>
        <w:t xml:space="preserve">a</w:t>
      </w:r>
      <w:r>
        <w:t xml:space="preserve"> </w:t>
      </w:r>
      <w:r>
        <w:t xml:space="preserve">predate species</w:t>
      </w:r>
      <w:r>
        <w:t xml:space="preserve"> </w:t>
      </w:r>
      <w:r>
        <w:rPr>
          <w:i/>
          <w:iCs/>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
          <w:iCs/>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
          <w:iCs/>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
          <w:iCs/>
        </w:rPr>
        <w:t xml:space="preserve">e.g.,</w:t>
      </w:r>
      <w:r>
        <w:t xml:space="preserve"> </w:t>
      </w:r>
      <w:r>
        <w:t xml:space="preserve">understanding energy flows) in a more synthetic setting, whereby these networks do not require any level of species specificity</w:t>
      </w:r>
      <w:r>
        <w:t xml:space="preserve"> </w:t>
      </w:r>
      <w:r>
        <w:rPr>
          <w:i/>
          <w:iCs/>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ayout w:type="fixed"/>
        <w:tblLook w:firstRow="0" w:lastRow="0" w:firstColumn="0" w:lastColumn="0" w:noHBand="0" w:noVBand="0" w:val="0000"/>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
          <w:bCs/>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
          <w:iCs/>
        </w:rPr>
        <w:t xml:space="preserve">network</w:t>
      </w:r>
      <w:r>
        <w:t xml:space="preserve"> </w:t>
      </w:r>
      <w:r>
        <w:rPr>
          <w:i/>
          <w:iCs/>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ayout w:type="fixed"/>
        <w:tblLook w:firstRow="0" w:lastRow="0" w:firstColumn="0" w:lastColumn="0" w:noHBand="0" w:noVBand="0" w:val="0000"/>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
          <w:iCs/>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
          <w:iCs/>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
          <w:iCs/>
        </w:rPr>
        <w:t xml:space="preserve">e.g.,</w:t>
      </w:r>
      <w:r>
        <w:t xml:space="preserve"> </w:t>
      </w:r>
      <w:r>
        <w:t xml:space="preserve">the height (chain length) and…), links (</w:t>
      </w:r>
      <w:r>
        <w:rPr>
          <w:i/>
          <w:iCs/>
        </w:rPr>
        <w:t xml:space="preserve">e.g.,</w:t>
      </w:r>
      <w:r>
        <w:t xml:space="preserve"> </w:t>
      </w:r>
      <w:r>
        <w:t xml:space="preserve">connectance), internal structure (</w:t>
      </w:r>
      <w:r>
        <w:rPr>
          <w:i/>
          <w:iCs/>
        </w:rPr>
        <w:t xml:space="preserve">e.g.,</w:t>
      </w:r>
      <w:r>
        <w:t xml:space="preserve"> </w:t>
      </w:r>
      <w:r>
        <w:t xml:space="preserve">SVD entropy,</w:t>
      </w:r>
      <w:r>
        <w:t xml:space="preserve"> </w:t>
      </w:r>
      <w:r>
        <w:t xml:space="preserve">Strydom, Dalla Riva, and Poisot (2021)</w:t>
      </w:r>
      <w:r>
        <w:t xml:space="preserve">), and meso-level features (</w:t>
      </w:r>
      <w:r>
        <w:rPr>
          <w:i/>
          <w:iCs/>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
          <w:iCs/>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
          <w:iCs/>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6"/>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07"/>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5" w:name="references"/>
    <w:p>
      <w:pPr>
        <w:pStyle w:val="Heading2"/>
      </w:pPr>
      <w:r>
        <w:t xml:space="preserve">References</w:t>
      </w:r>
    </w:p>
    <w:bookmarkStart w:id="194"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
          <w:iCs/>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
          <w:iCs/>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
          <w:iCs/>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
          <w:iCs/>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
          <w:iCs/>
        </w:rPr>
        <w:t xml:space="preserve">On the</w:t>
      </w:r>
      <w:r>
        <w:rPr>
          <w:i/>
          <w:iCs/>
        </w:rPr>
        <w:t xml:space="preserve"> </w:t>
      </w:r>
      <w:r>
        <w:rPr>
          <w:i/>
          <w:iCs/>
        </w:rPr>
        <w:t xml:space="preserve">Origin</w:t>
      </w:r>
      <w:r>
        <w:rPr>
          <w:i/>
          <w:iCs/>
        </w:rPr>
        <w:t xml:space="preserve"> </w:t>
      </w:r>
      <w:r>
        <w:rPr>
          <w:i/>
          <w:iCs/>
        </w:rPr>
        <w:t xml:space="preserve">of</w:t>
      </w:r>
      <w:r>
        <w:rPr>
          <w:i/>
          <w:iCs/>
        </w:rPr>
        <w:t xml:space="preserve"> </w:t>
      </w:r>
      <w:r>
        <w:rPr>
          <w:i/>
          <w:iCs/>
        </w:rPr>
        <w:t xml:space="preserve">Species</w:t>
      </w:r>
      <w:r>
        <w:rPr>
          <w:i/>
          <w:iCs/>
        </w:rPr>
        <w:t xml:space="preserve"> </w:t>
      </w:r>
      <w:r>
        <w:rPr>
          <w:i/>
          <w:iCs/>
        </w:rPr>
        <w:t xml:space="preserve">by</w:t>
      </w:r>
      <w:r>
        <w:rPr>
          <w:i/>
          <w:iCs/>
        </w:rPr>
        <w:t xml:space="preserve"> </w:t>
      </w:r>
      <w:r>
        <w:rPr>
          <w:i/>
          <w:iCs/>
        </w:rPr>
        <w:t xml:space="preserve">Means</w:t>
      </w:r>
      <w:r>
        <w:rPr>
          <w:i/>
          <w:iCs/>
        </w:rPr>
        <w:t xml:space="preserve"> </w:t>
      </w:r>
      <w:r>
        <w:rPr>
          <w:i/>
          <w:iCs/>
        </w:rPr>
        <w:t xml:space="preserve">of</w:t>
      </w:r>
      <w:r>
        <w:rPr>
          <w:i/>
          <w:iCs/>
        </w:rPr>
        <w:t xml:space="preserve"> </w:t>
      </w:r>
      <w:r>
        <w:rPr>
          <w:i/>
          <w:iCs/>
        </w:rPr>
        <w:t xml:space="preserve">Natural Selection</w:t>
      </w:r>
      <w:r>
        <w:rPr>
          <w:i/>
          <w:iCs/>
        </w:rPr>
        <w:t xml:space="preserve">, or the</w:t>
      </w:r>
      <w:r>
        <w:rPr>
          <w:i/>
          <w:iCs/>
        </w:rPr>
        <w:t xml:space="preserve"> </w:t>
      </w:r>
      <w:r>
        <w:rPr>
          <w:i/>
          <w:iCs/>
        </w:rPr>
        <w:t xml:space="preserve">Preservation</w:t>
      </w:r>
      <w:r>
        <w:rPr>
          <w:i/>
          <w:iCs/>
        </w:rPr>
        <w:t xml:space="preserve"> </w:t>
      </w:r>
      <w:r>
        <w:rPr>
          <w:i/>
          <w:iCs/>
        </w:rPr>
        <w:t xml:space="preserve">of</w:t>
      </w:r>
      <w:r>
        <w:rPr>
          <w:i/>
          <w:iCs/>
        </w:rPr>
        <w:t xml:space="preserve"> </w:t>
      </w:r>
      <w:r>
        <w:rPr>
          <w:i/>
          <w:iCs/>
        </w:rPr>
        <w:t xml:space="preserve">Favoured Races</w:t>
      </w:r>
      <w:r>
        <w:rPr>
          <w:i/>
          <w:iCs/>
        </w:rPr>
        <w:t xml:space="preserve"> </w:t>
      </w:r>
      <w:r>
        <w:rPr>
          <w:i/>
          <w:iCs/>
        </w:rPr>
        <w:t xml:space="preserve">in the</w:t>
      </w:r>
      <w:r>
        <w:rPr>
          <w:i/>
          <w:iCs/>
        </w:rPr>
        <w:t xml:space="preserve"> </w:t>
      </w:r>
      <w:r>
        <w:rPr>
          <w:i/>
          <w:iCs/>
        </w:rPr>
        <w:t xml:space="preserve">Struggle</w:t>
      </w:r>
      <w:r>
        <w:rPr>
          <w:i/>
          <w:iCs/>
        </w:rPr>
        <w:t xml:space="preserve"> </w:t>
      </w:r>
      <w:r>
        <w:rPr>
          <w:i/>
          <w:iCs/>
        </w:rPr>
        <w:t xml:space="preserve">for</w:t>
      </w:r>
      <w:r>
        <w:rPr>
          <w:i/>
          <w:iCs/>
        </w:rPr>
        <w:t xml:space="preserve"> </w:t>
      </w:r>
      <w:r>
        <w:rPr>
          <w:i/>
          <w:iCs/>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
          <w:iCs/>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
          <w:iCs/>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
          <w:iCs/>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
          <w:iCs/>
        </w:rPr>
        <w:t xml:space="preserve">Ecology</w:t>
      </w:r>
      <w:r>
        <w:t xml:space="preserve"> </w:t>
      </w:r>
      <w:r>
        <w:t xml:space="preserve">23 (4): 399–417.</w:t>
      </w:r>
      <w:r>
        <w:t xml:space="preserve"> </w:t>
      </w:r>
      <w:hyperlink r:id="rId124">
        <w:r>
          <w:rPr>
            <w:rStyle w:val="Hyperlink"/>
          </w:rPr>
          <w:t xml:space="preserve">https://doi.org/10.2307/1930126</w:t>
        </w:r>
      </w:hyperlink>
      <w:r>
        <w:t xml:space="preserve">.</w:t>
      </w:r>
    </w:p>
    <w:bookmarkEnd w:id="125"/>
    <w:bookmarkStart w:id="12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26">
        <w:r>
          <w:rPr>
            <w:rStyle w:val="Hyperlink"/>
          </w:rPr>
          <w:t xml:space="preserve">https://doi.org/10.1111/ecog.06619</w:t>
        </w:r>
      </w:hyperlink>
      <w:r>
        <w:t xml:space="preserve">.</w:t>
      </w:r>
    </w:p>
    <w:bookmarkEnd w:id="127"/>
    <w:bookmarkStart w:id="12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28">
        <w:r>
          <w:rPr>
            <w:rStyle w:val="Hyperlink"/>
          </w:rPr>
          <w:t xml:space="preserve">https://doi.org/10.1111/geb.13138</w:t>
        </w:r>
      </w:hyperlink>
      <w:r>
        <w:t xml:space="preserve">.</w:t>
      </w:r>
    </w:p>
    <w:bookmarkEnd w:id="129"/>
    <w:bookmarkStart w:id="13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
          <w:iCs/>
        </w:rPr>
        <w:t xml:space="preserve">Biochimica Et Biophysica Acta (BBA) - Protein Structure</w:t>
      </w:r>
      <w:r>
        <w:t xml:space="preserve"> </w:t>
      </w:r>
      <w:r>
        <w:t xml:space="preserve">405 (2): 442–51.</w:t>
      </w:r>
      <w:r>
        <w:t xml:space="preserve"> </w:t>
      </w:r>
      <w:hyperlink r:id="rId130">
        <w:r>
          <w:rPr>
            <w:rStyle w:val="Hyperlink"/>
          </w:rPr>
          <w:t xml:space="preserve">https://doi.org/10.1016/0005-2795(75)90109-9</w:t>
        </w:r>
      </w:hyperlink>
      <w:r>
        <w:t xml:space="preserve">.</w:t>
      </w:r>
    </w:p>
    <w:bookmarkEnd w:id="131"/>
    <w:bookmarkStart w:id="13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32">
        <w:r>
          <w:rPr>
            <w:rStyle w:val="Hyperlink"/>
          </w:rPr>
          <w:t xml:space="preserve">https://doi.org/10.1016/j.tree.2015.03.014</w:t>
        </w:r>
      </w:hyperlink>
      <w:r>
        <w:t xml:space="preserve">.</w:t>
      </w:r>
    </w:p>
    <w:bookmarkEnd w:id="133"/>
    <w:bookmarkStart w:id="13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34">
        <w:r>
          <w:rPr>
            <w:rStyle w:val="Hyperlink"/>
          </w:rPr>
          <w:t xml:space="preserve">https://doi.org/10.1111/ele.13143</w:t>
        </w:r>
      </w:hyperlink>
      <w:r>
        <w:t xml:space="preserve">.</w:t>
      </w:r>
    </w:p>
    <w:bookmarkEnd w:id="135"/>
    <w:bookmarkStart w:id="13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36">
        <w:r>
          <w:rPr>
            <w:rStyle w:val="Hyperlink"/>
          </w:rPr>
          <w:t xml:space="preserve">https://doi.org/10.1073/pnas.0710672105</w:t>
        </w:r>
      </w:hyperlink>
      <w:r>
        <w:t xml:space="preserve">.</w:t>
      </w:r>
    </w:p>
    <w:bookmarkEnd w:id="137"/>
    <w:bookmarkStart w:id="13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38">
        <w:r>
          <w:rPr>
            <w:rStyle w:val="Hyperlink"/>
          </w:rPr>
          <w:t xml:space="preserve">https://doi.org/10.1016/j.jtbi.2011.03.019</w:t>
        </w:r>
      </w:hyperlink>
      <w:r>
        <w:t xml:space="preserve">.</w:t>
      </w:r>
    </w:p>
    <w:bookmarkEnd w:id="139"/>
    <w:bookmarkStart w:id="14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40">
        <w:r>
          <w:rPr>
            <w:rStyle w:val="Hyperlink"/>
          </w:rPr>
          <w:t xml:space="preserve">https://doi.org/10.1111/2041-210X.13329</w:t>
        </w:r>
      </w:hyperlink>
      <w:r>
        <w:t xml:space="preserve">.</w:t>
      </w:r>
    </w:p>
    <w:bookmarkEnd w:id="141"/>
    <w:bookmarkStart w:id="14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42">
        <w:r>
          <w:rPr>
            <w:rStyle w:val="Hyperlink"/>
          </w:rPr>
          <w:t xml:space="preserve">https://doi.org/10.1016/j.ecoinf.2014.08.005</w:t>
        </w:r>
      </w:hyperlink>
      <w:r>
        <w:t xml:space="preserve">.</w:t>
      </w:r>
    </w:p>
    <w:bookmarkEnd w:id="143"/>
    <w:bookmarkStart w:id="14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44">
        <w:r>
          <w:rPr>
            <w:rStyle w:val="Hyperlink"/>
          </w:rPr>
          <w:t xml:space="preserve">https://doi.org/10.1111/2041-210X.14071</w:t>
        </w:r>
      </w:hyperlink>
      <w:r>
        <w:t xml:space="preserve">.</w:t>
      </w:r>
    </w:p>
    <w:bookmarkEnd w:id="145"/>
    <w:bookmarkStart w:id="14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46">
        <w:r>
          <w:rPr>
            <w:rStyle w:val="Hyperlink"/>
          </w:rPr>
          <w:t xml:space="preserve">https://doi.org/10.1111/ecog.00976</w:t>
        </w:r>
      </w:hyperlink>
      <w:r>
        <w:t xml:space="preserve">.</w:t>
      </w:r>
    </w:p>
    <w:bookmarkEnd w:id="147"/>
    <w:bookmarkStart w:id="14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48">
        <w:r>
          <w:rPr>
            <w:rStyle w:val="Hyperlink"/>
          </w:rPr>
          <w:t xml:space="preserve">https://doi.org/10.1111/jbi.14127</w:t>
        </w:r>
      </w:hyperlink>
      <w:r>
        <w:t xml:space="preserve">.</w:t>
      </w:r>
    </w:p>
    <w:bookmarkEnd w:id="149"/>
    <w:bookmarkStart w:id="15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
          <w:iCs/>
        </w:rPr>
        <w:t xml:space="preserve">Methods in Ecology and Evolution</w:t>
      </w:r>
      <w:r>
        <w:t xml:space="preserve"> </w:t>
      </w:r>
      <w:r>
        <w:t xml:space="preserve">7 (3): 303–12.</w:t>
      </w:r>
      <w:r>
        <w:t xml:space="preserve"> </w:t>
      </w:r>
      <w:hyperlink r:id="rId150">
        <w:r>
          <w:rPr>
            <w:rStyle w:val="Hyperlink"/>
          </w:rPr>
          <w:t xml:space="preserve">https://doi.org/10</w:t>
        </w:r>
      </w:hyperlink>
      <w:r>
        <w:t xml:space="preserve">.</w:t>
      </w:r>
    </w:p>
    <w:bookmarkEnd w:id="151"/>
    <w:bookmarkStart w:id="15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
          <w:iCs/>
        </w:rPr>
        <w:t xml:space="preserve">Ecography</w:t>
      </w:r>
      <w:r>
        <w:t xml:space="preserve"> </w:t>
      </w:r>
      <w:r>
        <w:t xml:space="preserve">39 (4): 402–8.</w:t>
      </w:r>
      <w:r>
        <w:t xml:space="preserve"> </w:t>
      </w:r>
      <w:hyperlink r:id="rId152">
        <w:r>
          <w:rPr>
            <w:rStyle w:val="Hyperlink"/>
          </w:rPr>
          <w:t xml:space="preserve">https://doi.org/10.1111/ecog.01941</w:t>
        </w:r>
      </w:hyperlink>
      <w:r>
        <w:t xml:space="preserve">.</w:t>
      </w:r>
    </w:p>
    <w:bookmarkEnd w:id="153"/>
    <w:bookmarkStart w:id="15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54">
        <w:r>
          <w:rPr>
            <w:rStyle w:val="Hyperlink"/>
          </w:rPr>
          <w:t xml:space="preserve">https://doi.org/10.1111/oik.01719</w:t>
        </w:r>
      </w:hyperlink>
      <w:r>
        <w:t xml:space="preserve">.</w:t>
      </w:r>
    </w:p>
    <w:bookmarkEnd w:id="155"/>
    <w:bookmarkStart w:id="15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56">
        <w:r>
          <w:rPr>
            <w:rStyle w:val="Hyperlink"/>
          </w:rPr>
          <w:t xml:space="preserve">https://www.jstor.org/stable/48582345</w:t>
        </w:r>
      </w:hyperlink>
      <w:r>
        <w:t xml:space="preserve">.</w:t>
      </w:r>
    </w:p>
    <w:bookmarkEnd w:id="157"/>
    <w:bookmarkStart w:id="15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58">
        <w:r>
          <w:rPr>
            <w:rStyle w:val="Hyperlink"/>
          </w:rPr>
          <w:t xml:space="preserve">https://doi.org/10.1111/2041-210X.13125</w:t>
        </w:r>
      </w:hyperlink>
      <w:r>
        <w:t xml:space="preserve">.</w:t>
      </w:r>
    </w:p>
    <w:bookmarkEnd w:id="159"/>
    <w:bookmarkStart w:id="16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60">
        <w:r>
          <w:rPr>
            <w:rStyle w:val="Hyperlink"/>
          </w:rPr>
          <w:t xml:space="preserve">https://doi.org/10.1515/9780691195322-020</w:t>
        </w:r>
      </w:hyperlink>
      <w:r>
        <w:t xml:space="preserve">.</w:t>
      </w:r>
    </w:p>
    <w:bookmarkEnd w:id="161"/>
    <w:bookmarkStart w:id="16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62">
        <w:r>
          <w:rPr>
            <w:rStyle w:val="Hyperlink"/>
          </w:rPr>
          <w:t xml:space="preserve">https://doi.org/10.1146/annurev-ecolsys-110218-024908</w:t>
        </w:r>
      </w:hyperlink>
      <w:r>
        <w:t xml:space="preserve">.</w:t>
      </w:r>
    </w:p>
    <w:bookmarkEnd w:id="163"/>
    <w:bookmarkStart w:id="16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64">
        <w:r>
          <w:rPr>
            <w:rStyle w:val="Hyperlink"/>
          </w:rPr>
          <w:t xml:space="preserve">https://doi.org/10.1016/j.tree.2005.04.004</w:t>
        </w:r>
      </w:hyperlink>
      <w:r>
        <w:t xml:space="preserve">.</w:t>
      </w:r>
    </w:p>
    <w:bookmarkEnd w:id="165"/>
    <w:bookmarkStart w:id="16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66">
        <w:r>
          <w:rPr>
            <w:rStyle w:val="Hyperlink"/>
          </w:rPr>
          <w:t xml:space="preserve">https://doi.org/10.1086/653667</w:t>
        </w:r>
      </w:hyperlink>
      <w:r>
        <w:t xml:space="preserve">.</w:t>
      </w:r>
    </w:p>
    <w:bookmarkEnd w:id="167"/>
    <w:bookmarkStart w:id="169"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
          <w:iCs/>
        </w:rPr>
        <w:t xml:space="preserve">Journal of Animal Ecology</w:t>
      </w:r>
      <w:r>
        <w:t xml:space="preserve"> </w:t>
      </w:r>
      <w:r>
        <w:t xml:space="preserve">91 (3): 630–42.</w:t>
      </w:r>
      <w:r>
        <w:t xml:space="preserve"> </w:t>
      </w:r>
      <w:hyperlink r:id="rId168">
        <w:r>
          <w:rPr>
            <w:rStyle w:val="Hyperlink"/>
          </w:rPr>
          <w:t xml:space="preserve">https://doi.org/10.1111/1365-2656.13652</w:t>
        </w:r>
      </w:hyperlink>
      <w:r>
        <w:t xml:space="preserve">.</w:t>
      </w:r>
    </w:p>
    <w:bookmarkEnd w:id="169"/>
    <w:bookmarkStart w:id="17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0">
        <w:r>
          <w:rPr>
            <w:rStyle w:val="Hyperlink"/>
          </w:rPr>
          <w:t xml:space="preserve">https://doi.org/10.1101/2024.01.30.578036</w:t>
        </w:r>
      </w:hyperlink>
      <w:r>
        <w:t xml:space="preserve">.</w:t>
      </w:r>
    </w:p>
    <w:bookmarkEnd w:id="171"/>
    <w:bookmarkStart w:id="17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72">
        <w:r>
          <w:rPr>
            <w:rStyle w:val="Hyperlink"/>
          </w:rPr>
          <w:t xml:space="preserve">https://doi.org/10.1098/rspb.2007.0571</w:t>
        </w:r>
      </w:hyperlink>
      <w:r>
        <w:t xml:space="preserve">.</w:t>
      </w:r>
    </w:p>
    <w:bookmarkEnd w:id="173"/>
    <w:bookmarkStart w:id="17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74">
        <w:r>
          <w:rPr>
            <w:rStyle w:val="Hyperlink"/>
          </w:rPr>
          <w:t xml:space="preserve">https://doi.org/10.1111/2041-210X.13835</w:t>
        </w:r>
      </w:hyperlink>
      <w:r>
        <w:t xml:space="preserve">.</w:t>
      </w:r>
    </w:p>
    <w:bookmarkEnd w:id="175"/>
    <w:bookmarkStart w:id="17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76">
        <w:r>
          <w:rPr>
            <w:rStyle w:val="Hyperlink"/>
          </w:rPr>
          <w:t xml:space="preserve">https://doi.org/10.1111/2041-210X.14228</w:t>
        </w:r>
      </w:hyperlink>
      <w:r>
        <w:t xml:space="preserve">.</w:t>
      </w:r>
    </w:p>
    <w:bookmarkEnd w:id="177"/>
    <w:bookmarkStart w:id="17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78">
        <w:r>
          <w:rPr>
            <w:rStyle w:val="Hyperlink"/>
          </w:rPr>
          <w:t xml:space="preserve">https://doi.org/10.1098/rstb.2021.0063</w:t>
        </w:r>
      </w:hyperlink>
      <w:r>
        <w:t xml:space="preserve">.</w:t>
      </w:r>
    </w:p>
    <w:bookmarkEnd w:id="179"/>
    <w:bookmarkStart w:id="18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80">
        <w:r>
          <w:rPr>
            <w:rStyle w:val="Hyperlink"/>
          </w:rPr>
          <w:t xml:space="preserve">https://doi.org/10.3389/fevo.2021.623141</w:t>
        </w:r>
      </w:hyperlink>
      <w:r>
        <w:t xml:space="preserve">.</w:t>
      </w:r>
    </w:p>
    <w:bookmarkEnd w:id="181"/>
    <w:bookmarkStart w:id="183"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
          <w:iCs/>
        </w:rPr>
        <w:t xml:space="preserve">Plant-Animal Interactions in</w:t>
      </w:r>
      <w:r>
        <w:rPr>
          <w:i/>
          <w:iCs/>
        </w:rPr>
        <w:t xml:space="preserve"> </w:t>
      </w:r>
      <w:r>
        <w:rPr>
          <w:i/>
          <w:iCs/>
        </w:rPr>
        <w:t xml:space="preserve">Mediterranean-type</w:t>
      </w:r>
      <w:r>
        <w:rPr>
          <w:i/>
          <w:iCs/>
        </w:rPr>
        <w:t xml:space="preserve"> </w:t>
      </w:r>
      <w:r>
        <w:rPr>
          <w:i/>
          <w:iCs/>
        </w:rPr>
        <w:t xml:space="preserve">Ecosystems</w:t>
      </w:r>
      <w:r>
        <w:t xml:space="preserve">, edited by M. Arianoutsou and R. H. Groves, 3–11. Dordrecht: Springer Netherlands.</w:t>
      </w:r>
      <w:r>
        <w:t xml:space="preserve"> </w:t>
      </w:r>
      <w:hyperlink r:id="rId182">
        <w:r>
          <w:rPr>
            <w:rStyle w:val="Hyperlink"/>
          </w:rPr>
          <w:t xml:space="preserve">https://doi.org/10.1007/978-94-011-0908-6_1</w:t>
        </w:r>
      </w:hyperlink>
      <w:r>
        <w:t xml:space="preserve">.</w:t>
      </w:r>
    </w:p>
    <w:bookmarkEnd w:id="183"/>
    <w:bookmarkStart w:id="185"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84">
        <w:r>
          <w:rPr>
            <w:rStyle w:val="Hyperlink"/>
          </w:rPr>
          <w:t xml:space="preserve">https://doi.org/10.1111/jbi.14734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92">
        <w:r>
          <w:rPr>
            <w:rStyle w:val="Hyperlink"/>
          </w:rPr>
          <w:t xml:space="preserve">https://doi.org/10.1038/s41598-017-05585-6</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2024-05-02T15:21:04Z</dcterms:created>
  <dcterms:modified xsi:type="dcterms:W3CDTF">2024-05-02T15:21:04Z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