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45.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2024-11-13</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will be embedding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w:t>
      </w:r>
      <w:r>
        <w:rPr>
          <w:i/>
          <w:iCs/>
        </w:rPr>
        <w:t xml:space="preserve">a note on how there has been developments in the</w:t>
      </w:r>
      <w:r>
        <w:rPr>
          <w:i/>
          <w:iCs/>
        </w:rPr>
        <w:t xml:space="preserve"> </w:t>
      </w:r>
      <w:r>
        <w:rPr>
          <w:i/>
          <w:iCs/>
        </w:rPr>
        <w:t xml:space="preserve">‘bipartite space’</w:t>
      </w:r>
      <w:r>
        <w:rPr>
          <w:i/>
          <w:iCs/>
        </w:rPr>
        <w:t xml:space="preserve"> </w:t>
      </w:r>
      <w:r>
        <w:rPr>
          <w:i/>
          <w:iCs/>
        </w:rPr>
        <w:t xml:space="preserve">and it would be flawed to try and view them in tandem as food webs and non-trophic webs are two very different conceptualisations</w:t>
      </w:r>
      <w:r>
        <w:t xml:space="preserve">), particularly how these relate to the terminology used to define a network, and how this influenced by both the processes that determine networks as well as how this relates to the way in which we construct networks. The provision of this detail ultimately leads to a set of insights and conclusions about whether, when. and under what conditions network representations of biodiversity can contribute to the advancement of ecological theory and generate value in predictive ecology. Specifically, we finish this perspective with an overview of fundamental questions in ecology that we think can benefit from network thinking and a proposal that such thinking can accelerate our capacity to predict the impact of multiple stressors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the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w:t>
      </w:r>
      <w:r>
        <w:t xml:space="preserve">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alternative links can represent fluxes within the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population and community dynamics on predator choice. In the context of definitions and semantics the links that are represented by a metaweb and a realised network are different; links that are absent in a metaweb can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predator choice,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possible.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such as the abundance of species.</w:t>
      </w:r>
    </w:p>
    <w:bookmarkEnd w:id="29"/>
    <w:bookmarkEnd w:id="30"/>
    <w:bookmarkStart w:id="42"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[52–54]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r>
              <w:t xml:space="preserve"> </w:t>
            </w:r>
            <w:r>
              <w:rPr>
                <w:i/>
                <w:iCs/>
              </w:rPr>
              <w:t xml:space="preserve">not3 that for now I am using</w:t>
            </w:r>
            <w:r>
              <w:rPr>
                <w:i/>
                <w:iCs/>
              </w:rPr>
              <w:t xml:space="preserve"> </w:t>
            </w:r>
            <w:hyperlink w:anchor="fig-box">
              <w:r>
                <w:rPr>
                  <w:rStyle w:val="Hyperlink"/>
                  <w:i/>
                  <w:iCs/>
                </w:rPr>
                <w:t xml:space="preserve">Figure 2</w:t>
              </w:r>
            </w:hyperlink>
            <w:r>
              <w:rPr>
                <w:i/>
                <w:iCs/>
              </w:rPr>
              <w:t xml:space="preserve"> </w:t>
            </w:r>
            <w:r>
              <w:rPr>
                <w:i/>
                <w:iCs/>
              </w:rPr>
              <w:t xml:space="preserve">for layout experimentation purposes</w:t>
            </w:r>
          </w:p>
          <w:tbl>
            <w:tblPr>
              <w:tblStyle w:val="Table"/>
              <w:tblW w:type="pct" w:w="5000"/>
              <w:tblLayout w:type="fixed"/>
              <w:tblLook w:firstRow="0" w:lastRow="0" w:firstColumn="0" w:lastColumn="0" w:noHBand="0" w:noVBand="0" w:val="0000"/>
            </w:tblPr>
            <w:tblGrid>
              <w:gridCol w:w="7920"/>
            </w:tblGrid>
            <w:tr>
              <w:tc>
                <w:tcPr/>
                <w:bookmarkStart w:id="38" w:name="fig-box"/>
                <w:p>
                  <w:pPr>
                    <w:pStyle w:val="Compact"/>
                    <w:jc w:val="center"/>
                  </w:pPr>
                  <w:bookmarkStart w:id="37" w:name="fig-box"/>
                  <w:r>
                    <w:drawing>
                      <wp:inline>
                        <wp:extent cx="5334000" cy="7183612"/>
                        <wp:effectExtent b="0" l="0" r="0" t="0"/>
                        <wp:docPr descr="" title="" id="35" name="Picture"/>
                        <a:graphic>
                          <a:graphicData uri="http://schemas.openxmlformats.org/drawingml/2006/picture">
                            <pic:pic>
                              <pic:nvPicPr>
                                <pic:cNvPr descr="images/Box1.png" id="36" name="Picture"/>
                                <pic:cNvPicPr>
                                  <a:picLocks noChangeArrowheads="1" noChangeAspect="1"/>
                                </pic:cNvPicPr>
                              </pic:nvPicPr>
                              <pic:blipFill>
                                <a:blip r:embed="rId34"/>
                                <a:stretch>
                                  <a:fillRect/>
                                </a:stretch>
                              </pic:blipFill>
                              <pic:spPr bwMode="auto">
                                <a:xfrm>
                                  <a:off x="0" y="0"/>
                                  <a:ext cx="5334000" cy="7183612"/>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2</w:t>
                  </w:r>
                </w:p>
                <w:bookmarkEnd w:id="38"/>
              </w:tc>
            </w:tr>
          </w:tbl>
        </w:tc>
      </w:tr>
    </w:tbl>
    <w:bookmarkStart w:id="39"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9"/>
    <w:bookmarkStart w:id="40"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40"/>
    <w:bookmarkStart w:id="41"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41"/>
    <w:bookmarkEnd w:id="42"/>
    <w:bookmarkStart w:id="50" w:name="making-progress-with-networks"/>
    <w:p>
      <w:pPr>
        <w:pStyle w:val="Heading1"/>
      </w:pPr>
      <w:r>
        <w:t xml:space="preserve">4. Making Progress with Networks</w:t>
      </w:r>
    </w:p>
    <w:bookmarkStart w:id="43"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43"/>
    <w:bookmarkStart w:id="44"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appropriate networks for different research questions</w:t>
      </w:r>
      <w:r>
        <w:t xml:space="preserve"> </w:t>
      </w:r>
      <w:hyperlink w:anchor="fig-future">
        <w:r>
          <w:rPr>
            <w:rStyle w:val="Hyperlink"/>
          </w:rPr>
          <w:t xml:space="preserve">Figure 3</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44"/>
    <w:bookmarkStart w:id="49"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3</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8" w:name="fig-future"/>
          <w:p>
            <w:pPr>
              <w:pStyle w:val="Compact"/>
              <w:jc w:val="center"/>
            </w:pPr>
            <w:r>
              <w:drawing>
                <wp:inline>
                  <wp:extent cx="5334000" cy="3000375"/>
                  <wp:effectExtent b="0" l="0" r="0" t="0"/>
                  <wp:docPr descr="" title="" id="46" name="Picture"/>
                  <a:graphic>
                    <a:graphicData uri="http://schemas.openxmlformats.org/drawingml/2006/picture">
                      <pic:pic>
                        <pic:nvPicPr>
                          <pic:cNvPr descr="images/NetworkFuture.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Here we highlight some of the outstanding questions in both network as well as general ecology, as well as some of the outstanding methodological challenges we face.</w:t>
            </w:r>
          </w:p>
          <w:bookmarkEnd w:id="48"/>
        </w:tc>
      </w:tr>
    </w:tbl>
    <w:p>
      <w:pPr>
        <w:pStyle w:val="BodyText"/>
      </w:pPr>
      <w:r>
        <w:t xml:space="preserve"> </w:t>
      </w:r>
    </w:p>
    <w:p>
      <w:pPr>
        <w:pStyle w:val="TableCaption"/>
      </w:pPr>
      <w:r>
        <w:t xml:space="preserve">This table represents an alternative approach to try and think about mapping questions to the different network representations.</w:t>
      </w:r>
    </w:p>
    <w:tbl>
      <w:tblPr>
        <w:tblStyle w:val="Table"/>
        <w:tblW w:type="pct" w:w="5000"/>
        <w:tblLayout w:type="fixed"/>
        <w:tblLook w:firstRow="1" w:lastRow="0" w:firstColumn="0" w:lastColumn="0" w:noHBand="0" w:noVBand="0" w:val="0020"/>
        <w:tblCaption w:val="This table represents an alternative approach to try and think about mapping questions to the different network representations."/>
      </w:tblPr>
      <w:tblGrid>
        <w:gridCol w:w="1952"/>
        <w:gridCol w:w="2820"/>
        <w:gridCol w:w="3146"/>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9"/>
    <w:bookmarkEnd w:id="50"/>
    <w:bookmarkStart w:id="51"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51"/>
    <w:bookmarkStart w:id="272" w:name="references"/>
    <w:p>
      <w:pPr>
        <w:pStyle w:val="Heading1"/>
      </w:pPr>
      <w:r>
        <w:t xml:space="preserve">References</w:t>
      </w:r>
    </w:p>
    <w:bookmarkStart w:id="271" w:name="refs"/>
    <w:bookmarkStart w:id="53"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52">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53"/>
    <w:bookmarkStart w:id="54"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4"/>
    <w:bookmarkStart w:id="56" w:name="ref-bluthgenWhyNetworkAnalysis2010"/>
    <w:p>
      <w:pPr>
        <w:pStyle w:val="Bibliography"/>
      </w:pPr>
      <w:r>
        <w:t xml:space="preserve">3.</w:t>
      </w:r>
      <w:r>
        <w:t xml:space="preserve"> </w:t>
      </w:r>
      <w:r>
        <w:t xml:space="preserve">	</w:t>
      </w:r>
      <w:r>
        <w:t xml:space="preserve">Blüthgen, N. (2010)</w:t>
      </w:r>
      <w:r>
        <w:t xml:space="preserve"> </w:t>
      </w:r>
      <w:hyperlink r:id="rId55">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6"/>
    <w:bookmarkStart w:id="58" w:name="X9d1f927846a542925bb5e07ec25c6794de0a124"/>
    <w:p>
      <w:pPr>
        <w:pStyle w:val="Bibliography"/>
      </w:pPr>
      <w:r>
        <w:t xml:space="preserve">4.</w:t>
      </w:r>
      <w:r>
        <w:t xml:space="preserve"> </w:t>
      </w:r>
      <w:r>
        <w:t xml:space="preserve">	</w:t>
      </w:r>
      <w:r>
        <w:t xml:space="preserve">Blüthgen, N. and Staab, M. (2024)</w:t>
      </w:r>
      <w:r>
        <w:t xml:space="preserve"> </w:t>
      </w:r>
      <w:hyperlink r:id="rId57">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8"/>
    <w:bookmarkStart w:id="60"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9">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60"/>
    <w:bookmarkStart w:id="62"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61">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62"/>
    <w:bookmarkStart w:id="64"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3">
        <w:r>
          <w:rPr>
            <w:rStyle w:val="Hyperlink"/>
          </w:rPr>
          <w:t xml:space="preserve">The scaling of trophic specialization in interaction networks across levels of organization</w:t>
        </w:r>
      </w:hyperlink>
      <w:r>
        <w:t xml:space="preserve">Authorea</w:t>
      </w:r>
    </w:p>
    <w:bookmarkEnd w:id="64"/>
    <w:bookmarkStart w:id="66" w:name="ref-pringleResolvingFoodWebStructure2020"/>
    <w:p>
      <w:pPr>
        <w:pStyle w:val="Bibliography"/>
      </w:pPr>
      <w:r>
        <w:t xml:space="preserve">8.</w:t>
      </w:r>
      <w:r>
        <w:t xml:space="preserve"> </w:t>
      </w:r>
      <w:r>
        <w:t xml:space="preserve">	</w:t>
      </w:r>
      <w:r>
        <w:t xml:space="preserve">Pringle, R.M. and Hutchinson, M.C. (2020)</w:t>
      </w:r>
      <w:r>
        <w:t xml:space="preserve"> </w:t>
      </w:r>
      <w:hyperlink r:id="rId65">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6"/>
    <w:bookmarkStart w:id="68" w:name="ref-polisComplexTrophicInteractions1991"/>
    <w:p>
      <w:pPr>
        <w:pStyle w:val="Bibliography"/>
      </w:pPr>
      <w:r>
        <w:t xml:space="preserve">9.</w:t>
      </w:r>
      <w:r>
        <w:t xml:space="preserve"> </w:t>
      </w:r>
      <w:r>
        <w:t xml:space="preserve">	</w:t>
      </w:r>
      <w:r>
        <w:t xml:space="preserve">Polis, G.A. (1991)</w:t>
      </w:r>
      <w:r>
        <w:t xml:space="preserve"> </w:t>
      </w:r>
      <w:hyperlink r:id="rId67">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8"/>
    <w:bookmarkStart w:id="70"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9">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70"/>
    <w:bookmarkStart w:id="72"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1">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2"/>
    <w:bookmarkStart w:id="74"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3">
        <w:r>
          <w:rPr>
            <w:rStyle w:val="Hyperlink"/>
          </w:rPr>
          <w:t xml:space="preserve">Deciphering probabilistic species interaction networks</w:t>
        </w:r>
      </w:hyperlink>
      <w:r>
        <w:t xml:space="preserve">EcoEvoRxiv</w:t>
      </w:r>
    </w:p>
    <w:bookmarkEnd w:id="74"/>
    <w:bookmarkStart w:id="76" w:name="Xf1526616b81e2f92af827aa5b123838b8d56bfd"/>
    <w:p>
      <w:pPr>
        <w:pStyle w:val="Bibliography"/>
      </w:pPr>
      <w:r>
        <w:t xml:space="preserve">13.</w:t>
      </w:r>
      <w:r>
        <w:t xml:space="preserve"> </w:t>
      </w:r>
      <w:r>
        <w:t xml:space="preserve">	</w:t>
      </w:r>
      <w:r>
        <w:t xml:space="preserve">Yodzis, P. (1982)</w:t>
      </w:r>
      <w:r>
        <w:t xml:space="preserve"> </w:t>
      </w:r>
      <w:hyperlink r:id="rId75">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6"/>
    <w:bookmarkStart w:id="78" w:name="ref-williamsSimpleRulesYield2000"/>
    <w:p>
      <w:pPr>
        <w:pStyle w:val="Bibliography"/>
      </w:pPr>
      <w:r>
        <w:t xml:space="preserve">14.</w:t>
      </w:r>
      <w:r>
        <w:t xml:space="preserve"> </w:t>
      </w:r>
      <w:r>
        <w:t xml:space="preserve">	</w:t>
      </w:r>
      <w:r>
        <w:t xml:space="preserve">Williams, R.J. and Martinez, N.D. (2000)</w:t>
      </w:r>
      <w:r>
        <w:t xml:space="preserve"> </w:t>
      </w:r>
      <w:hyperlink r:id="rId7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8"/>
    <w:bookmarkStart w:id="80"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9">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80"/>
    <w:bookmarkStart w:id="82" w:name="ref-pringleUntanglingFoodWebs2020"/>
    <w:p>
      <w:pPr>
        <w:pStyle w:val="Bibliography"/>
      </w:pPr>
      <w:r>
        <w:t xml:space="preserve">16.</w:t>
      </w:r>
      <w:r>
        <w:t xml:space="preserve"> </w:t>
      </w:r>
      <w:r>
        <w:t xml:space="preserve">	</w:t>
      </w:r>
      <w:r>
        <w:t xml:space="preserve">Pringle, R.M. (2020)</w:t>
      </w:r>
      <w:r>
        <w:t xml:space="preserve"> </w:t>
      </w:r>
      <w:hyperlink r:id="rId81">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2"/>
    <w:bookmarkStart w:id="83"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3"/>
    <w:bookmarkStart w:id="85" w:name="Xe227781537312aad81566d289906b7942bbcf13"/>
    <w:p>
      <w:pPr>
        <w:pStyle w:val="Bibliography"/>
      </w:pPr>
      <w:r>
        <w:t xml:space="preserve">18.</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7"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6">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7"/>
    <w:bookmarkStart w:id="89"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8">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9"/>
    <w:bookmarkStart w:id="91"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0">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1"/>
    <w:bookmarkStart w:id="93"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2">
        <w:r>
          <w:rPr>
            <w:rStyle w:val="Hyperlink"/>
          </w:rPr>
          <w:t xml:space="preserve">10.1111/1365-2435.12763</w:t>
        </w:r>
      </w:hyperlink>
    </w:p>
    <w:bookmarkEnd w:id="93"/>
    <w:bookmarkStart w:id="95"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5"/>
    <w:bookmarkStart w:id="97"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6">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7"/>
    <w:bookmarkStart w:id="99"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8">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9"/>
    <w:bookmarkStart w:id="101"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100">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1"/>
    <w:bookmarkStart w:id="103"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2">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3"/>
    <w:bookmarkStart w:id="105" w:name="ref-soberonGrinnellianEltonianNiches2007"/>
    <w:p>
      <w:pPr>
        <w:pStyle w:val="Bibliography"/>
      </w:pPr>
      <w:r>
        <w:t xml:space="preserve">28.</w:t>
      </w:r>
      <w:r>
        <w:t xml:space="preserve"> </w:t>
      </w:r>
      <w:r>
        <w:t xml:space="preserve">	</w:t>
      </w:r>
      <w:r>
        <w:t xml:space="preserve">Soberón, J. (2007)</w:t>
      </w:r>
      <w:r>
        <w:t xml:space="preserve"> </w:t>
      </w:r>
      <w:hyperlink r:id="rId104">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5"/>
    <w:bookmarkStart w:id="107"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6">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7"/>
    <w:bookmarkStart w:id="109"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8">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9"/>
    <w:bookmarkStart w:id="111"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10">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11"/>
    <w:bookmarkStart w:id="113"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12">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13"/>
    <w:bookmarkStart w:id="115"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14">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5"/>
    <w:bookmarkStart w:id="117"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6">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7"/>
    <w:bookmarkStart w:id="119"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8">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9"/>
    <w:bookmarkStart w:id="121"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0">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1"/>
    <w:bookmarkStart w:id="123"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22">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23"/>
    <w:bookmarkStart w:id="125" w:name="ref-pykeOptimalForagingTheory1984"/>
    <w:p>
      <w:pPr>
        <w:pStyle w:val="Bibliography"/>
      </w:pPr>
      <w:r>
        <w:t xml:space="preserve">38.</w:t>
      </w:r>
      <w:r>
        <w:t xml:space="preserve"> </w:t>
      </w:r>
      <w:r>
        <w:t xml:space="preserve">	</w:t>
      </w:r>
      <w:r>
        <w:t xml:space="preserve">Pyke, G. (1984)</w:t>
      </w:r>
      <w:r>
        <w:t xml:space="preserve"> </w:t>
      </w:r>
      <w:hyperlink r:id="rId124">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5"/>
    <w:bookmarkStart w:id="127"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6">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7"/>
    <w:bookmarkStart w:id="129"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8">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9"/>
    <w:bookmarkStart w:id="131"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3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31"/>
    <w:bookmarkStart w:id="133" w:name="ref-golubskiModifyingModifiersWhat2011"/>
    <w:p>
      <w:pPr>
        <w:pStyle w:val="Bibliography"/>
      </w:pPr>
      <w:r>
        <w:t xml:space="preserve">42.</w:t>
      </w:r>
      <w:r>
        <w:t xml:space="preserve"> </w:t>
      </w:r>
      <w:r>
        <w:t xml:space="preserve">	</w:t>
      </w:r>
      <w:r>
        <w:t xml:space="preserve">Golubski, A.J. and Abrams, P.A. (2011)</w:t>
      </w:r>
      <w:r>
        <w:t xml:space="preserve"> </w:t>
      </w:r>
      <w:hyperlink r:id="rId132">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3"/>
    <w:bookmarkStart w:id="135"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4">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5"/>
    <w:bookmarkStart w:id="137"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6">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7"/>
    <w:bookmarkStart w:id="139"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8">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9"/>
    <w:bookmarkStart w:id="141"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0">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1"/>
    <w:bookmarkStart w:id="143"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2">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3"/>
    <w:bookmarkStart w:id="145"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4">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5"/>
    <w:bookmarkStart w:id="147"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6">
        <w:r>
          <w:rPr>
            <w:rStyle w:val="Hyperlink"/>
          </w:rPr>
          <w:t xml:space="preserve">Downscaling mutualistic networks from species to individuals reveals consistent interaction niches and roles within plant populations</w:t>
        </w:r>
      </w:hyperlink>
      <w:r>
        <w:t xml:space="preserve">bioRxiv, 2024.02.02.578595</w:t>
      </w:r>
    </w:p>
    <w:bookmarkEnd w:id="147"/>
    <w:bookmarkStart w:id="149" w:name="Xf53c03f1c3fea4e4289657cbb0682f5f23e8b1d"/>
    <w:p>
      <w:pPr>
        <w:pStyle w:val="Bibliography"/>
      </w:pPr>
      <w:r>
        <w:t xml:space="preserve">50.</w:t>
      </w:r>
      <w:r>
        <w:t xml:space="preserve"> </w:t>
      </w:r>
      <w:r>
        <w:t xml:space="preserve">	</w:t>
      </w:r>
      <w:r>
        <w:t xml:space="preserve">Jordano, P. (2016)</w:t>
      </w:r>
      <w:r>
        <w:t xml:space="preserve"> </w:t>
      </w:r>
      <w:hyperlink r:id="rId148">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9"/>
    <w:bookmarkStart w:id="151"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1"/>
    <w:bookmarkStart w:id="152"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2"/>
    <w:bookmarkStart w:id="153"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3"/>
    <w:bookmarkStart w:id="155"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4">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5"/>
    <w:bookmarkStart w:id="157" w:name="ref-stoufferAllEcologicalModels2019"/>
    <w:p>
      <w:pPr>
        <w:pStyle w:val="Bibliography"/>
      </w:pPr>
      <w:r>
        <w:t xml:space="preserve">55.</w:t>
      </w:r>
      <w:r>
        <w:t xml:space="preserve"> </w:t>
      </w:r>
      <w:r>
        <w:t xml:space="preserve">	</w:t>
      </w:r>
      <w:r>
        <w:t xml:space="preserve">Stouffer, D.B. (2019)</w:t>
      </w:r>
      <w:r>
        <w:t xml:space="preserve"> </w:t>
      </w:r>
      <w:hyperlink r:id="rId156">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7"/>
    <w:bookmarkStart w:id="159" w:name="ref-songRigorousValidationEcological2024"/>
    <w:p>
      <w:pPr>
        <w:pStyle w:val="Bibliography"/>
      </w:pPr>
      <w:r>
        <w:t xml:space="preserve">56.</w:t>
      </w:r>
      <w:r>
        <w:t xml:space="preserve"> </w:t>
      </w:r>
      <w:r>
        <w:t xml:space="preserve">	</w:t>
      </w:r>
      <w:r>
        <w:t xml:space="preserve">Song, C. and Levine, J.M. (2024)</w:t>
      </w:r>
      <w:r>
        <w:t xml:space="preserve"> </w:t>
      </w:r>
      <w:hyperlink r:id="rId158">
        <w:r>
          <w:rPr>
            <w:rStyle w:val="Hyperlink"/>
          </w:rPr>
          <w:t xml:space="preserve">Rigorous (in)validation of ecological models</w:t>
        </w:r>
      </w:hyperlink>
      <w:r>
        <w:t xml:space="preserve">bioRxiv, 2024.09.19.613075</w:t>
      </w:r>
    </w:p>
    <w:bookmarkEnd w:id="159"/>
    <w:bookmarkStart w:id="161"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0">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1"/>
    <w:bookmarkStart w:id="163"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62">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63"/>
    <w:bookmarkStart w:id="165"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64">
        <w:r>
          <w:rPr>
            <w:rStyle w:val="Hyperlink"/>
          </w:rPr>
          <w:t xml:space="preserve">A framework for reconstructing ancient food webs using functional trait data</w:t>
        </w:r>
      </w:hyperlink>
      <w:r>
        <w:t xml:space="preserve">bioRxiv, 2024.01.30.578036</w:t>
      </w:r>
    </w:p>
    <w:bookmarkEnd w:id="165"/>
    <w:bookmarkStart w:id="167"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6">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7"/>
    <w:bookmarkStart w:id="168"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8"/>
    <w:bookmarkStart w:id="170"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9">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70"/>
    <w:bookmarkStart w:id="172"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71">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72"/>
    <w:bookmarkStart w:id="174"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73">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74"/>
    <w:bookmarkStart w:id="176"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5">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6"/>
    <w:bookmarkStart w:id="178"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7">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8"/>
    <w:bookmarkStart w:id="180"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9">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0"/>
    <w:bookmarkStart w:id="182"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81">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82"/>
    <w:bookmarkStart w:id="184"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83">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84"/>
    <w:bookmarkStart w:id="186"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5">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6"/>
    <w:bookmarkStart w:id="188"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7">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8"/>
    <w:bookmarkStart w:id="190" w:name="X023758d2a089016cd8f0c9d2421079cf7d062ff"/>
    <w:p>
      <w:pPr>
        <w:pStyle w:val="Bibliography"/>
      </w:pPr>
      <w:r>
        <w:t xml:space="preserve">72.</w:t>
      </w:r>
      <w:r>
        <w:t xml:space="preserve"> </w:t>
      </w:r>
      <w:r>
        <w:t xml:space="preserve">	</w:t>
      </w:r>
      <w:r>
        <w:t xml:space="preserve">Poisot, T. (2023)</w:t>
      </w:r>
      <w:r>
        <w:t xml:space="preserve"> </w:t>
      </w:r>
      <w:hyperlink r:id="rId189">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90"/>
    <w:bookmarkStart w:id="192"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91">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92"/>
    <w:bookmarkStart w:id="194"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93">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94"/>
    <w:bookmarkStart w:id="196"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5">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6"/>
    <w:bookmarkStart w:id="198"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7">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8"/>
    <w:bookmarkStart w:id="200"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9">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200"/>
    <w:bookmarkStart w:id="202"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201">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202"/>
    <w:bookmarkStart w:id="204" w:name="ref-yodzisBodySizeConsumerResource1992"/>
    <w:p>
      <w:pPr>
        <w:pStyle w:val="Bibliography"/>
      </w:pPr>
      <w:r>
        <w:t xml:space="preserve">79.</w:t>
      </w:r>
      <w:r>
        <w:t xml:space="preserve"> </w:t>
      </w:r>
      <w:r>
        <w:t xml:space="preserve">	</w:t>
      </w:r>
      <w:r>
        <w:t xml:space="preserve">Yodzis, P. and Innes, S. (1992)</w:t>
      </w:r>
      <w:r>
        <w:t xml:space="preserve"> </w:t>
      </w:r>
      <w:hyperlink r:id="rId203">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204"/>
    <w:bookmarkStart w:id="206"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5">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6"/>
    <w:bookmarkStart w:id="208"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7">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8"/>
    <w:bookmarkStart w:id="210"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0"/>
    <w:bookmarkStart w:id="212"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1">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2"/>
    <w:bookmarkStart w:id="214"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3">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4"/>
    <w:bookmarkStart w:id="216"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5">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6"/>
    <w:bookmarkStart w:id="218"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7">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8"/>
    <w:bookmarkStart w:id="220"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9">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0"/>
    <w:bookmarkStart w:id="222" w:name="ref-allesinaFoodWebModels2009"/>
    <w:p>
      <w:pPr>
        <w:pStyle w:val="Bibliography"/>
      </w:pPr>
      <w:r>
        <w:t xml:space="preserve">88.</w:t>
      </w:r>
      <w:r>
        <w:t xml:space="preserve"> </w:t>
      </w:r>
      <w:r>
        <w:t xml:space="preserve">	</w:t>
      </w:r>
      <w:r>
        <w:t xml:space="preserve">Allesina, S. and Pascual, M. (2009)</w:t>
      </w:r>
      <w:r>
        <w:t xml:space="preserve"> </w:t>
      </w:r>
      <w:hyperlink r:id="rId221">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2"/>
    <w:bookmarkStart w:id="224"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23">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24"/>
    <w:bookmarkStart w:id="226" w:name="ref-williamsSuccessItsLimits2008"/>
    <w:p>
      <w:pPr>
        <w:pStyle w:val="Bibliography"/>
      </w:pPr>
      <w:r>
        <w:t xml:space="preserve">90.</w:t>
      </w:r>
      <w:r>
        <w:t xml:space="preserve"> </w:t>
      </w:r>
      <w:r>
        <w:t xml:space="preserve">	</w:t>
      </w:r>
      <w:r>
        <w:t xml:space="preserve">Williams, R.J. and Martinez, N.D. (2008)</w:t>
      </w:r>
      <w:r>
        <w:t xml:space="preserve"> </w:t>
      </w:r>
      <w:hyperlink r:id="rId225">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6"/>
    <w:bookmarkStart w:id="228"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7">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8"/>
    <w:bookmarkStart w:id="230" w:name="ref-terryFindingMissingLinks2020"/>
    <w:p>
      <w:pPr>
        <w:pStyle w:val="Bibliography"/>
      </w:pPr>
      <w:r>
        <w:t xml:space="preserve">92.</w:t>
      </w:r>
      <w:r>
        <w:t xml:space="preserve"> </w:t>
      </w:r>
      <w:r>
        <w:t xml:space="preserve">	</w:t>
      </w:r>
      <w:r>
        <w:t xml:space="preserve">Terry, J.C.D. and Lewis, O.T. (2020)</w:t>
      </w:r>
      <w:r>
        <w:t xml:space="preserve"> </w:t>
      </w:r>
      <w:hyperlink r:id="rId229">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0"/>
    <w:bookmarkStart w:id="232" w:name="X0db465d2ec8683a81b001c1b3069bfe5ad58a88"/>
    <w:p>
      <w:pPr>
        <w:pStyle w:val="Bibliography"/>
      </w:pPr>
      <w:r>
        <w:t xml:space="preserve">93.</w:t>
      </w:r>
      <w:r>
        <w:t xml:space="preserve"> </w:t>
      </w:r>
      <w:r>
        <w:t xml:space="preserve">	</w:t>
      </w:r>
      <w:r>
        <w:t xml:space="preserve">Roopnarine, P.D. (2006)</w:t>
      </w:r>
      <w:r>
        <w:t xml:space="preserve"> </w:t>
      </w:r>
      <w:hyperlink r:id="rId231">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2"/>
    <w:bookmarkStart w:id="234" w:name="Xbaff3560a889f1fb322d0535bb421927828d4bf"/>
    <w:p>
      <w:pPr>
        <w:pStyle w:val="Bibliography"/>
      </w:pPr>
      <w:r>
        <w:t xml:space="preserve">94.</w:t>
      </w:r>
      <w:r>
        <w:t xml:space="preserve"> </w:t>
      </w:r>
      <w:r>
        <w:t xml:space="preserve">	</w:t>
      </w:r>
      <w:r>
        <w:t xml:space="preserve">Wells, K. and O’Hara, R.B. (2013)</w:t>
      </w:r>
      <w:r>
        <w:t xml:space="preserve"> </w:t>
      </w:r>
      <w:hyperlink r:id="rId233">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34"/>
    <w:bookmarkStart w:id="235"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5"/>
    <w:bookmarkStart w:id="237"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6">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7"/>
    <w:bookmarkStart w:id="238"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8"/>
    <w:bookmarkStart w:id="240"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9">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40"/>
    <w:bookmarkStart w:id="242" w:name="ref-moralesEffectSpacePlant2008"/>
    <w:p>
      <w:pPr>
        <w:pStyle w:val="Bibliography"/>
      </w:pPr>
      <w:r>
        <w:t xml:space="preserve">99.</w:t>
      </w:r>
      <w:r>
        <w:t xml:space="preserve"> </w:t>
      </w:r>
      <w:r>
        <w:t xml:space="preserve">	</w:t>
      </w:r>
      <w:r>
        <w:t xml:space="preserve">Morales, J.M. and Vázquez, D.P. (2008)</w:t>
      </w:r>
      <w:r>
        <w:t xml:space="preserve"> </w:t>
      </w:r>
      <w:hyperlink r:id="rId241">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42"/>
    <w:bookmarkStart w:id="244" w:name="Xbccccc7604428cf5f917028618b6ae7fc496466"/>
    <w:p>
      <w:pPr>
        <w:pStyle w:val="Bibliography"/>
      </w:pPr>
      <w:r>
        <w:t xml:space="preserve">100.</w:t>
      </w:r>
      <w:r>
        <w:t xml:space="preserve"> </w:t>
      </w:r>
      <w:r>
        <w:t xml:space="preserve">	</w:t>
      </w:r>
      <w:r>
        <w:t xml:space="preserve">Blüthgen, N. and Staab, M. (2021)</w:t>
      </w:r>
      <w:r>
        <w:t xml:space="preserve"> </w:t>
      </w:r>
      <w:hyperlink r:id="rId243">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44"/>
    <w:bookmarkStart w:id="246"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5">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6"/>
    <w:bookmarkStart w:id="248"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7">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8"/>
    <w:bookmarkStart w:id="250"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50"/>
    <w:bookmarkStart w:id="252"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51">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52"/>
    <w:bookmarkStart w:id="254"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53">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54"/>
    <w:bookmarkStart w:id="256"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5">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6"/>
    <w:bookmarkStart w:id="258"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7">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8"/>
    <w:bookmarkStart w:id="260"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9">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60"/>
    <w:bookmarkStart w:id="262"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6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62"/>
    <w:bookmarkStart w:id="264"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63">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64"/>
    <w:bookmarkStart w:id="266"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5">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6"/>
    <w:bookmarkStart w:id="268" w:name="ref-huiHowInvadeEcological2019"/>
    <w:p>
      <w:pPr>
        <w:pStyle w:val="Bibliography"/>
      </w:pPr>
      <w:r>
        <w:t xml:space="preserve">112.</w:t>
      </w:r>
      <w:r>
        <w:t xml:space="preserve"> </w:t>
      </w:r>
      <w:r>
        <w:t xml:space="preserve">	</w:t>
      </w:r>
      <w:r>
        <w:t xml:space="preserve">Hui, C. and Richardson, D.M. (2019)</w:t>
      </w:r>
      <w:r>
        <w:t xml:space="preserve"> </w:t>
      </w:r>
      <w:hyperlink r:id="rId267">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8"/>
    <w:bookmarkStart w:id="270"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9">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70"/>
    <w:bookmarkEnd w:id="271"/>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2024-11-13T13:55:52Z</dcterms:created>
  <dcterms:modified xsi:type="dcterms:W3CDTF">2024-11-13T13:55:52Z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2024-11-13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