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2024-05-17</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
          <w:iCs/>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
          <w:iCs/>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w:t>
      </w:r>
      <w:r>
        <w:t xml:space="preserve"> </w:t>
      </w:r>
      <w:r>
        <w:rPr>
          <w:i/>
          <w:iCs/>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
          <w:iCs/>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
          <w:iCs/>
        </w:rPr>
        <w:t xml:space="preserve">e.g.,</w:t>
      </w:r>
      <w:r>
        <w:t xml:space="preserve"> </w:t>
      </w:r>
      <w:r>
        <w:t xml:space="preserve">stability), and potentially the function of communities (</w:t>
      </w:r>
      <w:r>
        <w:rPr>
          <w:i/>
          <w:iCs/>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
                <w:iCs/>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
                <w:iCs/>
              </w:rPr>
              <w:t xml:space="preserve">i.e.,</w:t>
            </w:r>
            <w:r>
              <w:t xml:space="preserve"> </w:t>
            </w:r>
            <w:r>
              <w:t xml:space="preserve">the realisation of the interactions)</w:t>
            </w:r>
            <w:r>
              <w:t xml:space="preserve"> </w:t>
            </w:r>
            <w:r>
              <w:rPr>
                <w:i/>
                <w:iCs/>
              </w:rPr>
              <w:t xml:space="preserve">might</w:t>
            </w:r>
            <w:r>
              <w:t xml:space="preserve"> </w:t>
            </w:r>
            <w:r>
              <w:t xml:space="preserve">as well be (also probably even more relevant if one thinks about/works with trophic species…)</w:t>
            </w:r>
          </w:p>
          <w:p>
            <w:pPr>
              <w:pStyle w:val="BodyText"/>
            </w:pPr>
            <w:r>
              <w:rPr>
                <w:b/>
                <w:bCs/>
              </w:rPr>
              <w:t xml:space="preserve">Proximity</w:t>
            </w:r>
          </w:p>
          <w:p>
            <w:pPr>
              <w:pStyle w:val="BodyText"/>
            </w:pPr>
            <w:r>
              <w:t xml:space="preserve">We are co-occurring in space and in time and thus we can interact</w:t>
            </w:r>
            <w:r>
              <w:t xml:space="preserve"> </w:t>
            </w:r>
            <w:r>
              <w:t xml:space="preserve">[27]</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[28]</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
          <w:iCs/>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
          <w:bCs/>
        </w:rPr>
        <w:t xml:space="preserve">topology generators</w:t>
      </w:r>
      <w:r>
        <w:t xml:space="preserve"> </w:t>
      </w:r>
      <w:r>
        <w:t xml:space="preserve">and models developed to infer the interactions for a given species pool as</w:t>
      </w:r>
      <w:r>
        <w:t xml:space="preserve"> </w:t>
      </w:r>
      <w:r>
        <w:rPr>
          <w:b/>
          <w:bCs/>
        </w:rPr>
        <w:t xml:space="preserve">interaction predictors</w:t>
      </w:r>
      <w:r>
        <w:t xml:space="preserve">. It is meaningful to make this distinction because although it is possible to construct a food web given using an</w:t>
      </w:r>
      <w:r>
        <w:t xml:space="preserve"> </w:t>
      </w:r>
      <w:r>
        <w:rPr>
          <w:i/>
          <w:iCs/>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[33]</w:t>
      </w:r>
      <w:r>
        <w:t xml:space="preserve">. This is primarily because</w:t>
      </w:r>
      <w:r>
        <w:t xml:space="preserve"> </w:t>
      </w:r>
      <w:r>
        <w:rPr>
          <w:i/>
          <w:iCs/>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pStyle w:val="Compact"/>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4"/>
        </w:numPr>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[20,42]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pStyle w:val="Compact"/>
        <w:numPr>
          <w:ilvl w:val="1"/>
          <w:numId w:val="1007"/>
        </w:numPr>
      </w:pPr>
      <w:r>
        <w:t xml:space="preserve">I think this is sort of the crux of the argument presented in</w:t>
      </w:r>
      <w:r>
        <w:t xml:space="preserve"> </w:t>
      </w:r>
      <w:r>
        <w:t xml:space="preserve">[44]</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[46]</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[47]</w:t>
      </w:r>
      <w:r>
        <w:t xml:space="preserve"> </w:t>
      </w:r>
      <w:r>
        <w:t xml:space="preserve">and that we should also start thinking about the interplay of time and space</w:t>
      </w:r>
      <w:r>
        <w:t xml:space="preserve"> </w:t>
      </w:r>
      <w:r>
        <w:t xml:space="preserve">[48]</w:t>
      </w:r>
      <w:r>
        <w:t xml:space="preserve">. Although deciding exactly what measure might actually be driving differences between local networks and the regional metaweb might not be that simple</w:t>
      </w:r>
      <w:r>
        <w:t xml:space="preserve"> </w:t>
      </w:r>
      <w:r>
        <w:t xml:space="preserve">[49]</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6" w:name="references"/>
    <w:p>
      <w:pPr>
        <w:pStyle w:val="Heading2"/>
      </w:pPr>
      <w:r>
        <w:t xml:space="preserve">References</w:t>
      </w:r>
    </w:p>
    <w:bookmarkStart w:id="145"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
          <w:iCs/>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
          <w:iCs/>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8"/>
    <w:bookmarkStart w:id="139" w:name="X1edd2253d2e7e8e6db9e7574240f432ddda2ce1"/>
    <w:p>
      <w:pPr>
        <w:pStyle w:val="Bibliography"/>
      </w:pPr>
      <w:r>
        <w:t xml:space="preserve">46.</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9"/>
    <w:bookmarkStart w:id="141" w:name="ref-fortinNetworkEcologyDynamic2021"/>
    <w:p>
      <w:pPr>
        <w:pStyle w:val="Bibliography"/>
      </w:pPr>
      <w:r>
        <w:t xml:space="preserve">47.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40">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41"/>
    <w:bookmarkStart w:id="142" w:name="ref-estayEditorialPatternsProcesses2023"/>
    <w:p>
      <w:pPr>
        <w:pStyle w:val="Bibliography"/>
      </w:pPr>
      <w:r>
        <w:t xml:space="preserve">48.</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2"/>
    <w:bookmarkStart w:id="144" w:name="ref-saraviaEcologicalNetworkAssembly2022"/>
    <w:p>
      <w:pPr>
        <w:pStyle w:val="Bibliography"/>
      </w:pPr>
      <w:r>
        <w:t xml:space="preserve">49.</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3">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2024-05-17T10:23:53Z</dcterms:created>
  <dcterms:modified xsi:type="dcterms:W3CDTF">2024-05-17T10:23:53Z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2024-05-17</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