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3.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2024-05-13</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
          <w:bCs/>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
          <w:bCs/>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highlight and review these different model families as a whole (and not in isolation), and move away from simply benchmarking the performance of these different model families but also highlight the inherent constraints that these models impose upon themselves and how these will delimit and dictate the potential questions one will be able to ask</w:t>
      </w:r>
      <w:r>
        <w:t xml:space="preserve"> </w:t>
      </w:r>
      <w:r>
        <w:t xml:space="preserve">[15]</w:t>
      </w:r>
      <w:r>
        <w:t xml:space="preserve">.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This body of work sets out to highlight and discuss these three specific points.</w:t>
      </w:r>
    </w:p>
    <w:tbl>
      <w:tblPr>
        <w:tblStyle w:val="Table"/>
        <w:tblW w:type="pct" w:w="5000"/>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
                <w:bCs/>
              </w:rPr>
              <w:t xml:space="preserve">A</w:t>
            </w:r>
            <w:r>
              <w:t xml:space="preserve"> </w:t>
            </w:r>
            <w:r>
              <w:t xml:space="preserve">shows the many ways in which a food web can be defined and described at the node, edge, and even network level. Panel</w:t>
            </w:r>
            <w:r>
              <w:t xml:space="preserve"> </w:t>
            </w:r>
            <w:r>
              <w:rPr>
                <w:b/>
                <w:bCs/>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
                <w:iCs/>
              </w:rPr>
              <w:t xml:space="preserve">i.e.,</w:t>
            </w:r>
            <w:r>
              <w:t xml:space="preserve"> </w:t>
            </w:r>
            <w:r>
              <w:t xml:space="preserve">its anatomy. (</w:t>
            </w:r>
            <w:r>
              <w:rPr>
                <w:i/>
                <w:iCs/>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[16]</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
          <w:iCs/>
        </w:rPr>
        <w:t xml:space="preserve">e.g.,</w:t>
      </w:r>
      <w:r>
        <w:t xml:space="preserve"> </w:t>
      </w:r>
      <w:r>
        <w:t xml:space="preserve">species or taxonomic group), edges (</w:t>
      </w:r>
      <w:r>
        <w:rPr>
          <w:i/>
          <w:iCs/>
        </w:rPr>
        <w:t xml:space="preserve">e.g.,</w:t>
      </w:r>
      <w:r>
        <w:t xml:space="preserve"> </w:t>
      </w:r>
      <w:r>
        <w:rPr>
          <w:b/>
          <w:bCs/>
        </w:rPr>
        <w:t xml:space="preserve">potential</w:t>
      </w:r>
      <w:r>
        <w:t xml:space="preserve"> </w:t>
      </w:r>
      <w:r>
        <w:t xml:space="preserve">or</w:t>
      </w:r>
      <w:r>
        <w:t xml:space="preserve"> </w:t>
      </w:r>
      <w:r>
        <w:rPr>
          <w:b/>
          <w:bCs/>
        </w:rPr>
        <w:t xml:space="preserve">realised feeding links</w:t>
      </w:r>
      <w:r>
        <w:t xml:space="preserve">), the magnitude of the edges (</w:t>
      </w:r>
      <w:r>
        <w:rPr>
          <w:i/>
          <w:iCs/>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
          <w:iCs/>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[17]</w:t>
      </w:r>
      <w:r>
        <w:t xml:space="preserve"> </w:t>
      </w:r>
      <w:r>
        <w:t xml:space="preserve">or potential</w:t>
      </w:r>
      <w:r>
        <w:t xml:space="preserve"> </w:t>
      </w:r>
      <w:r>
        <w:t xml:space="preserve">[18]</w:t>
      </w:r>
      <w:r>
        <w:t xml:space="preserve"> </w:t>
      </w:r>
      <w:r>
        <w:t xml:space="preserve">feeding links, or energy transfer and material flow</w:t>
      </w:r>
      <w:r>
        <w:t xml:space="preserve"> </w:t>
      </w:r>
      <w:r>
        <w:t xml:space="preserve">[19]</w:t>
      </w:r>
      <w:r>
        <w:t xml:space="preserve">. How we quantify links will influence the resulting structure of the network - and the inferences we will make thereof. For example taking a food web that consists of links representing</w:t>
      </w:r>
      <w:r>
        <w:t xml:space="preserve"> </w:t>
      </w:r>
      <w:r>
        <w:rPr>
          <w:i/>
          <w:iCs/>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
          <w:iCs/>
        </w:rPr>
        <w:t xml:space="preserve">i.e.,</w:t>
      </w:r>
      <w:r>
        <w:t xml:space="preserve"> </w:t>
      </w:r>
      <w:r>
        <w:t xml:space="preserve">binary) but it is also possible to use probabilities</w:t>
      </w:r>
      <w:r>
        <w:t xml:space="preserve"> </w:t>
      </w:r>
      <w:r>
        <w:t xml:space="preserve">[which quantifies how likely an interaction is to occur, 20]</w:t>
      </w:r>
      <w:r>
        <w:t xml:space="preserve"> </w:t>
      </w:r>
      <w:r>
        <w:t xml:space="preserve">or continuous measurements</w:t>
      </w:r>
      <w:r>
        <w:t xml:space="preserve"> </w:t>
      </w:r>
      <w:r>
        <w:t xml:space="preserve">[which quantifies the effect of one species on another, 21]</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[22,23]</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 Mechanisms that determine feeding links</w:t>
            </w:r>
          </w:p>
        </w:tc>
      </w:tr>
      <w:tr>
        <w:trPr>
          <w:cantSplit/>
        </w:trPr>
        <w:tc>
          <w:tcPr>
            <w:tcMar>
              <w:top w:w="108" w:type="dxa"/>
              <w:bottom w:w="108" w:type="dxa"/>
            </w:tcMar>
          </w:tcPr>
          <w:p>
            <w:pPr>
              <w:pStyle w:val="BodyText"/>
            </w:pPr>
            <w:pPr>
              <w:spacing w:before="16"/>
            </w:pPr>
            <w:r>
              <w:rPr>
                <w:b/>
                <w:bCs/>
              </w:rPr>
              <w:t xml:space="preserve">Proximity</w:t>
            </w:r>
          </w:p>
          <w:p>
            <w:pPr>
              <w:pStyle w:val="BodyText"/>
            </w:pPr>
            <w:r>
              <w:t xml:space="preserve">We are co-occurring in space and in time and thus we can interact</w:t>
            </w:r>
          </w:p>
          <w:p>
            <w:pPr>
              <w:pStyle w:val="BodyText"/>
            </w:pPr>
            <w:r>
              <w:rPr>
                <w:b/>
                <w:bCs/>
              </w:rPr>
              <w:t xml:space="preserve">Mass-effect</w:t>
            </w:r>
          </w:p>
          <w:p>
            <w:pPr>
              <w:pStyle w:val="BodyText"/>
            </w:pPr>
            <w:r>
              <w:t xml:space="preserve">Our (respective and instantaneous) abundance in that time and space is going to influence how we interact</w:t>
            </w:r>
          </w:p>
          <w:p>
            <w:pPr>
              <w:pStyle w:val="BodyText"/>
            </w:pPr>
            <w:r>
              <w:rPr>
                <w:b/>
                <w:bCs/>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pStyle w:val="Compact"/>
              <w:numPr>
                <w:ilvl w:val="0"/>
                <w:numId w:val="1001"/>
              </w:numPr>
            </w:pPr>
            <w:r>
              <w:t xml:space="preserve">You as a prey item fit in my gob (I can eat you,</w:t>
            </w:r>
            <w:r>
              <w:t xml:space="preserve"> </w:t>
            </w:r>
            <w:r>
              <w:rPr>
                <w:strike/>
              </w:rPr>
              <w:t xml:space="preserve">even if its small bites</w:t>
            </w:r>
            <w:r>
              <w:t xml:space="preserve">) [ref]</w:t>
            </w:r>
          </w:p>
          <w:p>
            <w:pPr>
              <w:pStyle w:val="Compact"/>
              <w:numPr>
                <w:ilvl w:val="0"/>
                <w:numId w:val="1001"/>
              </w:numPr>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pStyle w:val="Compact"/>
              <w:numPr>
                <w:ilvl w:val="0"/>
                <w:numId w:val="1001"/>
              </w:numPr>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
                <w:iCs/>
              </w:rPr>
              <w:t xml:space="preserve">sensu</w:t>
            </w:r>
            <w:r>
              <w:t xml:space="preserve"> </w:t>
            </w:r>
            <w:r>
              <w:t xml:space="preserve">forbidden links 5]</w:t>
            </w:r>
          </w:p>
          <w:p>
            <w:pPr>
              <w:pStyle w:val="Compact"/>
              <w:numPr>
                <w:ilvl w:val="0"/>
                <w:numId w:val="1001"/>
              </w:numPr>
            </w:pPr>
            <w:r>
              <w:t xml:space="preserve">As predator and prey we have been co-occurring for a long time and I have found ways to eat you (trying to capture the idea of evolutionary time)</w:t>
            </w:r>
          </w:p>
          <w:p>
            <w:pPr>
              <w:pStyle w:val="FirstParagraph"/>
            </w:pPr>
            <w:r>
              <w:rPr>
                <w:b/>
                <w:bCs/>
              </w:rPr>
              <w:t xml:space="preserve">‘</w:t>
            </w:r>
            <w:r>
              <w:rPr>
                <w:b/>
                <w:bCs/>
              </w:rPr>
              <w:t xml:space="preserve">Structural</w:t>
            </w:r>
            <w:r>
              <w:rPr>
                <w:b/>
                <w:bCs/>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
                <w:bCs/>
              </w:rPr>
              <w:t xml:space="preserve">None</w:t>
            </w:r>
          </w:p>
          <w:p>
            <w:pPr>
              <w:pStyle w:val="BodyText"/>
            </w:pPr>
            <w:pPr>
              <w:spacing w:after="16"/>
            </w:pPr>
            <w:r>
              <w:t xml:space="preserve">We are interacting because.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
          <w:iCs/>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
          <w:iCs/>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
          <w:iCs/>
        </w:rPr>
        <w:t xml:space="preserve">i.e.,</w:t>
      </w:r>
      <w:r>
        <w:t xml:space="preserve"> </w:t>
      </w:r>
      <w:r>
        <w:t xml:space="preserve">creating a network that, when taken in aggregate, the distribution of links (interactions) between nodes (species) are ecologically plausible) to a need for specificity (</w:t>
      </w:r>
      <w:r>
        <w:rPr>
          <w:i/>
          <w:iCs/>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
          <w:iCs/>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[24,25]</w:t>
      </w:r>
      <w:r>
        <w:t xml:space="preserve">, using pairwise interactions to understand species distributions [joint SDM ref] or even co-extinction risk [ref], a more structural approach to network construction affords one an opportunity to interrogate some of the more high-level mechanisms that are structuring networks (Box 2).</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6"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
          <w:iCs/>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(and in more detail in</w:t>
      </w:r>
      <w:r>
        <w:t xml:space="preserve"> </w:t>
      </w:r>
      <w:hyperlink w:anchor="tbl-families">
        <w:r>
          <w:rPr>
            <w:rStyle w:val="Hyperlink"/>
          </w:rPr>
          <w:t xml:space="preserve">Table 1</w:t>
        </w:r>
      </w:hyperlink>
      <w:r>
        <w:t xml:space="preserve">) the models that are used to predict a food web tend to focus on only predicting the structure of a network (a</w:t>
      </w:r>
      <w:r>
        <w:t xml:space="preserve"> </w:t>
      </w:r>
      <w:r>
        <w:rPr>
          <w:b/>
          <w:bCs/>
        </w:rPr>
        <w:t xml:space="preserve">topology generator</w:t>
      </w:r>
      <w:r>
        <w:t xml:space="preserve">) or the interactions for a given species pool (an</w:t>
      </w:r>
      <w:r>
        <w:t xml:space="preserve"> </w:t>
      </w:r>
      <w:r>
        <w:rPr>
          <w:b/>
          <w:bCs/>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[26]</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[27]</w:t>
      </w:r>
      <w:r>
        <w:t xml:space="preserve"> </w:t>
      </w:r>
      <w:r>
        <w:t xml:space="preserve">or cascade</w:t>
      </w:r>
      <w:r>
        <w:t xml:space="preserve"> </w:t>
      </w:r>
      <w:r>
        <w:t xml:space="preserve">[28]</w:t>
      </w:r>
      <w:r>
        <w:t xml:space="preserve"> </w:t>
      </w:r>
      <w:r>
        <w:t xml:space="preserve">were developed with the intent of being used to understand the</w:t>
      </w:r>
      <w:r>
        <w:t xml:space="preserve"> </w:t>
      </w:r>
      <w:r>
        <w:rPr>
          <w:i/>
          <w:iCs/>
        </w:rPr>
        <w:t xml:space="preserve">structural</w:t>
      </w:r>
      <w:r>
        <w:t xml:space="preserve"> </w:t>
      </w:r>
      <w:r>
        <w:t xml:space="preserve">aspects of food webs, specifically how links are distributed amongst species in the community, whereas bayesian</w:t>
      </w:r>
      <w:r>
        <w:t xml:space="preserve"> </w:t>
      </w:r>
      <w:r>
        <w:t xml:space="preserve">[29]</w:t>
      </w:r>
      <w:r>
        <w:t xml:space="preserve"> </w:t>
      </w:r>
      <w:r>
        <w:t xml:space="preserve">or trait hierarchy</w:t>
      </w:r>
      <w:r>
        <w:t xml:space="preserve"> </w:t>
      </w:r>
      <w:r>
        <w:t xml:space="preserve">[30]</w:t>
      </w:r>
      <w:r>
        <w:t xml:space="preserve"> </w:t>
      </w:r>
      <w:r>
        <w:t xml:space="preserve">models have been developed on the basis that the traits of a species are the underlying mechanism in determining the feasibility of interactions (</w:t>
      </w:r>
      <w:r>
        <w:rPr>
          <w:i/>
          <w:iCs/>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31]</w:t>
      </w:r>
      <w:r>
        <w:t xml:space="preserve">.</w:t>
      </w:r>
    </w:p>
    <w:bookmarkStart w:id="45"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highlights the differences and similarities of the philosophies and assumptions that determine a network. Models within model families</w:t>
      </w:r>
    </w:p>
    <w:tbl>
      <w:tblPr>
        <w:tblStyle w:val="Table"/>
        <w:tblW w:type="pct" w:w="5000"/>
        <w:tblLayout w:type="fixed"/>
        <w:tblLook w:firstRow="0" w:lastRow="0" w:firstColumn="0" w:lastColumn="0" w:noHBand="0" w:noVBand="0" w:val="0000"/>
      </w:tblPr>
      <w:tblGrid>
        <w:gridCol w:w="7920"/>
      </w:tblGrid>
      <w:tr>
        <w:tc>
          <w:tcPr/>
          <w:bookmarkStart w:id="32"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[32]</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2"/>
          <w:p/>
        </w:tc>
      </w:tr>
    </w:tbl>
    <w:tbl>
      <w:tblPr>
        <w:tblStyle w:val="Table"/>
        <w:tblW w:type="pct" w:w="5000"/>
        <w:tblLayout w:type="fixed"/>
        <w:tblLook w:firstRow="0" w:lastRow="0" w:firstColumn="0" w:lastColumn="0" w:noHBand="0" w:noVBand="0" w:val="0000"/>
      </w:tblPr>
      <w:tblGrid>
        <w:gridCol w:w="7920"/>
      </w:tblGrid>
      <w:tr>
        <w:tc>
          <w:tcPr/>
          <w:bookmarkStart w:id="36" w:name="fig-dendo"/>
          <w:p>
            <w:pPr>
              <w:pStyle w:val="Compact"/>
              <w:jc w:val="center"/>
            </w:pPr>
            <w:r>
              <w:drawing>
                <wp:inline>
                  <wp:extent cx="5334000" cy="3810000"/>
                  <wp:effectExtent b="0" l="0" r="0" t="0"/>
                  <wp:docPr descr="" title="" id="34" name="Picture"/>
                  <a:graphic>
                    <a:graphicData uri="http://schemas.openxmlformats.org/drawingml/2006/picture">
                      <pic:pic>
                        <pic:nvPicPr>
                          <pic:cNvPr descr="index_files/figure-docx/notebooks-model_qualitative-fig-dendo-outpu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SuppMat 2: Looking at the traits of the different model families</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note.png" id="3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2 - Assessing model outputs</w:t>
            </w:r>
          </w:p>
        </w:tc>
      </w:tr>
      <w:tr>
        <w:trPr>
          <w:cantSplit/>
        </w:trPr>
        <w:tc>
          <w:tcPr>
            <w:tcMar>
              <w:top w:w="108" w:type="dxa"/>
              <w:bottom w:w="108" w:type="dxa"/>
            </w:tcMar>
          </w:tcPr>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
                <w:bCs/>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[33]</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[34]</w:t>
            </w:r>
            <w:r>
              <w:t xml:space="preserve">.</w:t>
            </w:r>
          </w:p>
          <w:tbl>
            <w:tblPr>
              <w:tblStyle w:val="Table"/>
              <w:tblW w:type="pct" w:w="5000"/>
              <w:tblLayout w:type="fixed"/>
              <w:tblLook w:firstRow="0" w:lastRow="0" w:firstColumn="0" w:lastColumn="0" w:noHBand="0" w:noVBand="0" w:val="0000"/>
            </w:tblPr>
            <w:tblGrid>
              <w:gridCol w:w="7920"/>
            </w:tblGrid>
            <w:tr>
              <w:tc>
                <w:tcPr/>
                <w:bookmarkStart w:id="43" w:name="fig-topology"/>
                <w:p>
                  <w:pPr>
                    <w:pStyle w:val="Compact"/>
                    <w:jc w:val="center"/>
                  </w:pPr>
                  <w:r>
                    <w:drawing>
                      <wp:inline>
                        <wp:extent cx="5334000" cy="3810000"/>
                        <wp:effectExtent b="0" l="0" r="0" t="0"/>
                        <wp:docPr descr="" title="" id="41" name="Picture"/>
                        <a:graphic>
                          <a:graphicData uri="http://schemas.openxmlformats.org/drawingml/2006/picture">
                            <pic:pic>
                              <pic:nvPicPr>
                                <pic:cNvPr descr="index_files/figure-docx/notebooks-model_quantitative-fig-topology-output-2.png" id="42"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[35]</w:t>
                  </w:r>
                  <w:r>
                    <w:t xml:space="preserve">.</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SuppMat 3: Benchmarking the different model families</w:t>
              </w:r>
            </w:hyperlink>
          </w:p>
          <w:p>
            <w:pPr>
              <w:pStyle w:val="BodyText"/>
            </w:pPr>
            <w:r>
              <w:rPr>
                <w:b/>
                <w:bCs/>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
                <w:iCs/>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
                <w:bCs/>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
                <w:iCs/>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
                <w:bCs/>
              </w:rPr>
              <w:t xml:space="preserve">metaweb</w:t>
            </w:r>
            <w:r>
              <w:t xml:space="preserve"> </w:t>
            </w:r>
            <w:r>
              <w:t xml:space="preserve">(</w:t>
            </w:r>
            <w:r>
              <w:rPr>
                <w:i/>
                <w:iCs/>
              </w:rPr>
              <w:t xml:space="preserve">sensu</w:t>
            </w:r>
            <w:r>
              <w:t xml:space="preserve"> </w:t>
            </w:r>
            <w:r>
              <w:t xml:space="preserve">[18]</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[31]</w:t>
            </w:r>
            <w:r>
              <w:t xml:space="preserve"> </w:t>
            </w:r>
            <w:r>
              <w:t xml:space="preserve">that discuss how the local factors are going to play a role.</w:t>
            </w:r>
          </w:p>
          <w:p>
            <w:pPr>
              <w:pStyle w:val="BodyText"/>
            </w:pPr>
            <w:pPr>
              <w:spacing w:after="16"/>
            </w:pPr>
            <w:r>
              <w:t xml:space="preserve">Also need to take into consideration inherent constraints that the model imposes on itself and how it will affect our ability to test hypotheses/ask questions using the</w:t>
            </w:r>
            <w:r>
              <w:t xml:space="preserve"> </w:t>
            </w:r>
            <w:r>
              <w:rPr>
                <w:i/>
                <w:iCs/>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tc>
      </w:tr>
    </w:tbl>
    <w:bookmarkEnd w:id="45"/>
    <w:bookmarkEnd w:id="46"/>
    <w:bookmarkStart w:id="48" w:name="concluding-remarks"/>
    <w:p>
      <w:pPr>
        <w:pStyle w:val="Heading2"/>
      </w:pPr>
      <w:r>
        <w:t xml:space="preserve">4 Concluding remarks</w:t>
      </w:r>
    </w:p>
    <w:p>
      <w:pPr>
        <w:numPr>
          <w:ilvl w:val="0"/>
          <w:numId w:val="1002"/>
        </w:numPr>
      </w:pPr>
      <w:r>
        <w:t xml:space="preserve">As we can see in</w:t>
      </w:r>
      <w:r>
        <w:t xml:space="preserve"> </w:t>
      </w:r>
      <w:hyperlink w:anchor="fig-topology">
        <w:r>
          <w:rPr>
            <w:rStyle w:val="Hyperlink"/>
          </w:rPr>
          <w:t xml:space="preserve">Figure 3</w:t>
        </w:r>
      </w:hyperlink>
      <w:r>
        <w:t xml:space="preserve"> </w:t>
      </w:r>
      <w:r>
        <w:t xml:space="preserve">different models clearly do well in different things…</w:t>
      </w:r>
    </w:p>
    <w:p>
      <w:pPr>
        <w:numPr>
          <w:ilvl w:val="0"/>
          <w:numId w:val="1002"/>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2"/>
        </w:numPr>
      </w:pPr>
      <w:r>
        <w:t xml:space="preserve">Also the fact that</w:t>
      </w:r>
      <w:r>
        <w:t xml:space="preserve"> </w:t>
      </w:r>
      <w:r>
        <w:rPr>
          <w:i/>
          <w:iCs/>
        </w:rPr>
        <w:t xml:space="preserve">some</w:t>
      </w:r>
      <w:r>
        <w:t xml:space="preserve"> </w:t>
      </w:r>
      <w:r>
        <w:t xml:space="preserve">people are concerned about the taxonomic resolution and cascading effects those might have on our understanding of network structure</w:t>
      </w:r>
      <w:r>
        <w:t xml:space="preserve"> </w:t>
      </w:r>
      <w:r>
        <w:t xml:space="preserve">[17,36]</w:t>
      </w:r>
      <w:r>
        <w:t xml:space="preserve">, we are at risk of losing our ability to distinguish the wood from the tree - are we not (at least at times) concerned more with understanding ecosystem level processes than with needing to understand things</w:t>
      </w:r>
      <w:r>
        <w:t xml:space="preserve"> </w:t>
      </w:r>
      <w:r>
        <w:rPr>
          <w:i/>
          <w:iCs/>
        </w:rPr>
        <w:t xml:space="preserve">perfectly</w:t>
      </w:r>
      <w:r>
        <w:t xml:space="preserve"> </w:t>
      </w:r>
      <w:r>
        <w:t xml:space="preserve">at the species level.</w:t>
      </w:r>
    </w:p>
    <w:p>
      <w:pPr>
        <w:pStyle w:val="Compact"/>
        <w:numPr>
          <w:ilvl w:val="1"/>
          <w:numId w:val="1003"/>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numPr>
          <w:ilvl w:val="0"/>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[11]</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[36]</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4"/>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(thanks Andrew). I feel like I need to look at</w:t>
      </w:r>
      <w:r>
        <w:t xml:space="preserve"> </w:t>
      </w:r>
      <w:r>
        <w:t xml:space="preserve">[37]</w:t>
      </w:r>
      <w:r>
        <w:t xml:space="preserve"> </w:t>
      </w:r>
      <w:r>
        <w:t xml:space="preserve">but maybe not exactly in this context but vaguely adjacent.</w:t>
      </w:r>
    </w:p>
    <w:p>
      <w:pPr>
        <w:numPr>
          <w:ilvl w:val="0"/>
          <w:numId w:val="1004"/>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4"/>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Compact"/>
        <w:numPr>
          <w:ilvl w:val="1"/>
          <w:numId w:val="1005"/>
        </w:numPr>
      </w:pPr>
      <w:r>
        <w:t xml:space="preserve">I think this is sort of the crux of the argument presented in</w:t>
      </w:r>
      <w:r>
        <w:t xml:space="preserve"> </w:t>
      </w:r>
      <w:r>
        <w:t xml:space="preserve">[38]</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[34]</w:t>
      </w:r>
    </w:p>
    <w:p>
      <w:pPr>
        <w:numPr>
          <w:ilvl w:val="0"/>
          <w:numId w:val="1006"/>
        </w:numPr>
      </w:pPr>
      <w:r>
        <w:rPr>
          <w:i/>
          <w:iCs/>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7"/>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7"/>
        </w:numPr>
      </w:pPr>
      <w:r>
        <w:t xml:space="preserve">Aligning (dove-tailing) with this the idea of ensemble modelling as presented by</w:t>
      </w:r>
      <w:r>
        <w:t xml:space="preserve"> </w:t>
      </w:r>
      <w:r>
        <w:t xml:space="preserve">[39]</w:t>
      </w:r>
    </w:p>
    <w:p>
      <w:pPr>
        <w:numPr>
          <w:ilvl w:val="0"/>
          <w:numId w:val="1006"/>
        </w:numPr>
      </w:pPr>
      <w:r>
        <w:t xml:space="preserve">It will be interesting to bring up the idea that if a model is missing a specific pairwise link but doing well at the structural level then when does it matter?</w:t>
      </w:r>
    </w:p>
    <w:p>
      <w:pPr>
        <w:numPr>
          <w:ilvl w:val="0"/>
          <w:numId w:val="1006"/>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7" w:name="downsampling"/>
    <w:p>
      <w:pPr>
        <w:pStyle w:val="Heading3"/>
      </w:pPr>
      <w:r>
        <w:t xml:space="preserve">4.1 Downsampling</w:t>
      </w:r>
    </w:p>
    <w:p>
      <w:pPr>
        <w:numPr>
          <w:ilvl w:val="0"/>
          <w:numId w:val="1008"/>
        </w:numPr>
      </w:pPr>
      <w:r>
        <w:t xml:space="preserve">[40]</w:t>
      </w:r>
    </w:p>
    <w:p>
      <w:pPr>
        <w:numPr>
          <w:ilvl w:val="0"/>
          <w:numId w:val="1008"/>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[41]</w:t>
      </w:r>
      <w:r>
        <w:t xml:space="preserve"> </w:t>
      </w:r>
      <w:r>
        <w:t xml:space="preserve">and that we should also start thinking about the interplay of time and space</w:t>
      </w:r>
      <w:r>
        <w:t xml:space="preserve"> </w:t>
      </w:r>
      <w:r>
        <w:t xml:space="preserve">[42]</w:t>
      </w:r>
      <w:r>
        <w:t xml:space="preserve">. Although deciding exactly what measure might actually be driving differences between local networks and the regional metaweb might not be that simple</w:t>
      </w:r>
      <w:r>
        <w:t xml:space="preserve"> </w:t>
      </w:r>
      <w:r>
        <w:t xml:space="preserve">[43]</w:t>
      </w:r>
      <w:r>
        <w:t xml:space="preserve">.</w:t>
      </w:r>
      <w:r>
        <w:t xml:space="preserve">”</w:t>
      </w:r>
    </w:p>
    <w:bookmarkEnd w:id="47"/>
    <w:bookmarkEnd w:id="48"/>
    <w:bookmarkStart w:id="49"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
                <w:iCs/>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
                <w:iCs/>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
                <w:iCs/>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49"/>
    <w:bookmarkStart w:id="50" w:name="outstanding-questions"/>
    <w:p>
      <w:pPr>
        <w:pStyle w:val="Heading2"/>
      </w:pPr>
      <w:r>
        <w:t xml:space="preserve">Outstanding questions</w:t>
      </w:r>
    </w:p>
    <w:p>
      <w:pPr>
        <w:numPr>
          <w:ilvl w:val="0"/>
          <w:numId w:val="1009"/>
        </w:numPr>
      </w:pPr>
      <w:r>
        <w:t xml:space="preserve">non-consumptive effects</w:t>
      </w:r>
    </w:p>
    <w:p>
      <w:pPr>
        <w:numPr>
          <w:ilvl w:val="0"/>
          <w:numId w:val="1009"/>
        </w:numPr>
      </w:pPr>
      <w:r>
        <w:t xml:space="preserve">can we develop a model that is both an topology generator as well as an interaction predictor?</w:t>
      </w:r>
    </w:p>
    <w:bookmarkEnd w:id="50"/>
    <w:bookmarkStart w:id="133" w:name="references"/>
    <w:p>
      <w:pPr>
        <w:pStyle w:val="Heading2"/>
      </w:pPr>
      <w:r>
        <w:t xml:space="preserve">References</w:t>
      </w:r>
    </w:p>
    <w:bookmarkStart w:id="132" w:name="refs"/>
    <w:bookmarkStart w:id="51"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51"/>
    <w:bookmarkStart w:id="53" w:name="ref-hortalSevenShortfallsThat2015"/>
    <w:p>
      <w:pPr>
        <w:pStyle w:val="Bibliography"/>
      </w:pPr>
      <w:r>
        <w:t xml:space="preserve">2.</w:t>
      </w:r>
      <w:r>
        <w:t xml:space="preserve"> </w:t>
      </w:r>
      <w:r>
        <w:t xml:space="preserve">	</w:t>
      </w:r>
      <w:r>
        <w:t xml:space="preserve">Hortal, J.</w:t>
      </w:r>
      <w:r>
        <w:t xml:space="preserve"> </w:t>
      </w:r>
      <w:r>
        <w:rPr>
          <w:i/>
          <w:iCs/>
        </w:rPr>
        <w:t xml:space="preserve">et al.</w:t>
      </w:r>
      <w:r>
        <w:t xml:space="preserve"> </w:t>
      </w:r>
      <w:r>
        <w:t xml:space="preserve">(2015)</w:t>
      </w:r>
      <w:r>
        <w:t xml:space="preserve"> </w:t>
      </w:r>
      <w:hyperlink r:id="rId52">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
          <w:iCs/>
        </w:rPr>
        <w:t xml:space="preserve">Annual Review of Ecology, Evolution, and Systematics</w:t>
      </w:r>
      <w:r>
        <w:t xml:space="preserve"> </w:t>
      </w:r>
      <w:r>
        <w:t xml:space="preserve">46, 523–549</w:t>
      </w:r>
    </w:p>
    <w:bookmarkEnd w:id="53"/>
    <w:bookmarkStart w:id="55" w:name="ref-poisotGlobalKnowledgeGaps2021"/>
    <w:p>
      <w:pPr>
        <w:pStyle w:val="Bibliography"/>
      </w:pPr>
      <w:r>
        <w:t xml:space="preserve">3.</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54">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n/a</w:t>
      </w:r>
    </w:p>
    <w:bookmarkEnd w:id="55"/>
    <w:bookmarkStart w:id="57" w:name="Xf53c03f1c3fea4e4289657cbb0682f5f23e8b1d"/>
    <w:p>
      <w:pPr>
        <w:pStyle w:val="Bibliography"/>
      </w:pPr>
      <w:r>
        <w:t xml:space="preserve">4.</w:t>
      </w:r>
      <w:r>
        <w:t xml:space="preserve"> </w:t>
      </w:r>
      <w:r>
        <w:t xml:space="preserve">	</w:t>
      </w:r>
      <w:r>
        <w:t xml:space="preserve">Jordano, P. (2016)</w:t>
      </w:r>
      <w:r>
        <w:t xml:space="preserve"> </w:t>
      </w:r>
      <w:hyperlink r:id="rId56">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57"/>
    <w:bookmarkStart w:id="59"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58">
        <w:r>
          <w:rPr>
            <w:rStyle w:val="Hyperlink"/>
          </w:rPr>
          <w:t xml:space="preserve">10.1111/1365-2435.12763</w:t>
        </w:r>
      </w:hyperlink>
    </w:p>
    <w:bookmarkEnd w:id="59"/>
    <w:bookmarkStart w:id="61" w:name="X9a5602d39772ae027b885bf5c9cb3d36ba71c0c"/>
    <w:p>
      <w:pPr>
        <w:pStyle w:val="Bibliography"/>
      </w:pPr>
      <w:r>
        <w:t xml:space="preserve">6.</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60">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61"/>
    <w:bookmarkStart w:id="63" w:name="ref-strydomRoadmapPredictingSpecies2021"/>
    <w:p>
      <w:pPr>
        <w:pStyle w:val="Bibliography"/>
      </w:pPr>
      <w:r>
        <w:t xml:space="preserve">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62">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63"/>
    <w:bookmarkStart w:id="65" w:name="ref-poisotSyntheticDatasetsCommunity2016"/>
    <w:p>
      <w:pPr>
        <w:pStyle w:val="Bibliography"/>
      </w:pPr>
      <w:r>
        <w:t xml:space="preserve">8.</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64">
        <w:r>
          <w:rPr>
            <w:rStyle w:val="Hyperlink"/>
          </w:rPr>
          <w:t xml:space="preserve">Synthetic datasets and community tools for the rapid testing of ecological hypotheses</w:t>
        </w:r>
      </w:hyperlink>
      <w:r>
        <w:t xml:space="preserve">.</w:t>
      </w:r>
      <w:r>
        <w:t xml:space="preserve"> </w:t>
      </w:r>
      <w:r>
        <w:rPr>
          <w:i/>
          <w:iCs/>
        </w:rPr>
        <w:t xml:space="preserve">Ecography</w:t>
      </w:r>
      <w:r>
        <w:t xml:space="preserve"> </w:t>
      </w:r>
      <w:r>
        <w:t xml:space="preserve">39, 402–408</w:t>
      </w:r>
    </w:p>
    <w:bookmarkEnd w:id="65"/>
    <w:bookmarkStart w:id="67" w:name="ref-strydomFoodWebReconstruction2022"/>
    <w:p>
      <w:pPr>
        <w:pStyle w:val="Bibliography"/>
      </w:pPr>
      <w:r>
        <w:t xml:space="preserve">9.</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66">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67"/>
    <w:bookmarkStart w:id="69" w:name="ref-petcheySizeForagingFood2008"/>
    <w:p>
      <w:pPr>
        <w:pStyle w:val="Bibliography"/>
      </w:pPr>
      <w:r>
        <w:t xml:space="preserve">10.</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68">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69"/>
    <w:bookmarkStart w:id="71" w:name="ref-williamsSuccessItsLimits2008"/>
    <w:p>
      <w:pPr>
        <w:pStyle w:val="Bibliography"/>
      </w:pPr>
      <w:r>
        <w:t xml:space="preserve">11.</w:t>
      </w:r>
      <w:r>
        <w:t xml:space="preserve"> </w:t>
      </w:r>
      <w:r>
        <w:t xml:space="preserve">	</w:t>
      </w:r>
      <w:r>
        <w:t xml:space="preserve">Williams, R.J. and Martinez, N.D. (2008)</w:t>
      </w:r>
      <w:r>
        <w:t xml:space="preserve"> </w:t>
      </w:r>
      <w:hyperlink r:id="rId70">
        <w:r>
          <w:rPr>
            <w:rStyle w:val="Hyperlink"/>
          </w:rPr>
          <w:t xml:space="preserve">Success and its limits among structural models of complex food webs</w:t>
        </w:r>
      </w:hyperlink>
      <w:r>
        <w:t xml:space="preserve">.</w:t>
      </w:r>
      <w:r>
        <w:t xml:space="preserve"> </w:t>
      </w:r>
      <w:r>
        <w:rPr>
          <w:i/>
          <w:iCs/>
        </w:rPr>
        <w:t xml:space="preserve">Journal of Animal Ecology</w:t>
      </w:r>
      <w:r>
        <w:t xml:space="preserve"> </w:t>
      </w:r>
      <w:r>
        <w:t xml:space="preserve">77, 512–519</w:t>
      </w:r>
    </w:p>
    <w:bookmarkEnd w:id="71"/>
    <w:bookmarkStart w:id="73" w:name="ref-pichlerMachineLearningAlgorithms2020"/>
    <w:p>
      <w:pPr>
        <w:pStyle w:val="Bibliography"/>
      </w:pPr>
      <w:r>
        <w:t xml:space="preserve">12.</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72">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73"/>
    <w:bookmarkStart w:id="75" w:name="X17a301eebb3c5bc57992fd8c229d26f33144785"/>
    <w:p>
      <w:pPr>
        <w:pStyle w:val="Bibliography"/>
      </w:pPr>
      <w:r>
        <w:t xml:space="preserve">13.</w:t>
      </w:r>
      <w:r>
        <w:t xml:space="preserve"> </w:t>
      </w:r>
      <w:r>
        <w:t xml:space="preserve">	</w:t>
      </w:r>
      <w:r>
        <w:t xml:space="preserve">Bhatia, U.</w:t>
      </w:r>
      <w:r>
        <w:t xml:space="preserve"> </w:t>
      </w:r>
      <w:r>
        <w:rPr>
          <w:i/>
          <w:iCs/>
        </w:rPr>
        <w:t xml:space="preserve">et al.</w:t>
      </w:r>
      <w:r>
        <w:t xml:space="preserve"> </w:t>
      </w:r>
      <w:r>
        <w:t xml:space="preserve">(2023)</w:t>
      </w:r>
      <w:r>
        <w:t xml:space="preserve"> </w:t>
      </w:r>
      <w:hyperlink r:id="rId74">
        <w:r>
          <w:rPr>
            <w:rStyle w:val="Hyperlink"/>
          </w:rPr>
          <w:t xml:space="preserve">Network-based restoration strategies maximize ecosystem recovery</w:t>
        </w:r>
      </w:hyperlink>
      <w:r>
        <w:t xml:space="preserve">.</w:t>
      </w:r>
      <w:r>
        <w:t xml:space="preserve"> </w:t>
      </w:r>
      <w:r>
        <w:rPr>
          <w:i/>
          <w:iCs/>
        </w:rPr>
        <w:t xml:space="preserve">Communications Biology</w:t>
      </w:r>
      <w:r>
        <w:t xml:space="preserve"> </w:t>
      </w:r>
      <w:r>
        <w:t xml:space="preserve">6, 1–10</w:t>
      </w:r>
    </w:p>
    <w:bookmarkEnd w:id="75"/>
    <w:bookmarkStart w:id="77" w:name="X31a4fa003bce600ed04df56db844e85b8f7350e"/>
    <w:p>
      <w:pPr>
        <w:pStyle w:val="Bibliography"/>
      </w:pPr>
      <w:r>
        <w:t xml:space="preserve">14.</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76">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77"/>
    <w:bookmarkStart w:id="79" w:name="ref-petcheyFitEfficiencyBiology2011"/>
    <w:p>
      <w:pPr>
        <w:pStyle w:val="Bibliography"/>
      </w:pPr>
      <w:r>
        <w:t xml:space="preserve">15.</w:t>
      </w:r>
      <w:r>
        <w:t xml:space="preserve"> </w:t>
      </w:r>
      <w:r>
        <w:t xml:space="preserve">	</w:t>
      </w:r>
      <w:r>
        <w:t xml:space="preserve">Petchey, O.L.</w:t>
      </w:r>
      <w:r>
        <w:t xml:space="preserve"> </w:t>
      </w:r>
      <w:r>
        <w:rPr>
          <w:i/>
          <w:iCs/>
        </w:rPr>
        <w:t xml:space="preserve">et al.</w:t>
      </w:r>
      <w:r>
        <w:t xml:space="preserve"> </w:t>
      </w:r>
      <w:r>
        <w:t xml:space="preserve">(2011)</w:t>
      </w:r>
      <w:r>
        <w:t xml:space="preserve"> </w:t>
      </w:r>
      <w:hyperlink r:id="rId78">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
          <w:iCs/>
        </w:rPr>
        <w:t xml:space="preserve">Journal of Theoretical Biology</w:t>
      </w:r>
      <w:r>
        <w:t xml:space="preserve"> </w:t>
      </w:r>
      <w:r>
        <w:t xml:space="preserve">279, 169–171</w:t>
      </w:r>
    </w:p>
    <w:bookmarkEnd w:id="79"/>
    <w:bookmarkStart w:id="81" w:name="ref-poisotDescribeUnderstandPredict2016"/>
    <w:p>
      <w:pPr>
        <w:pStyle w:val="Bibliography"/>
      </w:pPr>
      <w:r>
        <w:t xml:space="preserve">16.</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0">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81"/>
    <w:bookmarkStart w:id="83" w:name="ref-pringleUntanglingFoodWebs2020"/>
    <w:p>
      <w:pPr>
        <w:pStyle w:val="Bibliography"/>
      </w:pPr>
      <w:r>
        <w:t xml:space="preserve">17.</w:t>
      </w:r>
      <w:r>
        <w:t xml:space="preserve"> </w:t>
      </w:r>
      <w:r>
        <w:t xml:space="preserve">	</w:t>
      </w:r>
      <w:r>
        <w:t xml:space="preserve">Pringle, R.M. (2020)</w:t>
      </w:r>
      <w:r>
        <w:t xml:space="preserve"> </w:t>
      </w:r>
      <w:hyperlink r:id="rId82">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Untangling</w:t>
      </w:r>
      <w:r>
        <w:rPr>
          <w:i/>
          <w:iCs/>
        </w:rPr>
        <w:t xml:space="preserve"> </w:t>
      </w:r>
      <w:r>
        <w:rPr>
          <w:i/>
          <w:iCs/>
        </w:rPr>
        <w:t xml:space="preserve">Food Webs</w:t>
      </w:r>
      <w:r>
        <w:t xml:space="preserve">, pp. 225–238, Princeton University Press</w:t>
      </w:r>
    </w:p>
    <w:bookmarkEnd w:id="83"/>
    <w:bookmarkStart w:id="84" w:name="ref-dunneNetworkStructureFood2006"/>
    <w:p>
      <w:pPr>
        <w:pStyle w:val="Bibliography"/>
      </w:pPr>
      <w:r>
        <w:t xml:space="preserve">18.</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84"/>
    <w:bookmarkStart w:id="86" w:name="Xe227781537312aad81566d289906b7942bbcf13"/>
    <w:p>
      <w:pPr>
        <w:pStyle w:val="Bibliography"/>
      </w:pPr>
      <w:r>
        <w:t xml:space="preserve">19.</w:t>
      </w:r>
      <w:r>
        <w:t xml:space="preserve"> </w:t>
      </w:r>
      <w:r>
        <w:t xml:space="preserve">	</w:t>
      </w:r>
      <w:r>
        <w:t xml:space="preserve">Lindeman, R.L. (1942)</w:t>
      </w:r>
      <w:r>
        <w:t xml:space="preserve"> </w:t>
      </w:r>
      <w:hyperlink r:id="rId85">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86"/>
    <w:bookmarkStart w:id="88" w:name="Xaad5d089781464e09d30bec824bd68c468804d7"/>
    <w:p>
      <w:pPr>
        <w:pStyle w:val="Bibliography"/>
      </w:pPr>
      <w:r>
        <w:t xml:space="preserve">20.</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7">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88"/>
    <w:bookmarkStart w:id="90" w:name="ref-berlowInteractionStrengthsFood2004"/>
    <w:p>
      <w:pPr>
        <w:pStyle w:val="Bibliography"/>
      </w:pPr>
      <w:r>
        <w:t xml:space="preserve">21.</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89">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90"/>
    <w:bookmarkStart w:id="92" w:name="ref-proulxNetworkThinkingEcology2005"/>
    <w:p>
      <w:pPr>
        <w:pStyle w:val="Bibliography"/>
      </w:pPr>
      <w:r>
        <w:t xml:space="preserve">22.</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91">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92"/>
    <w:bookmarkStart w:id="94" w:name="X539896ce86e228708f5963ceeaf0e82711f0c07"/>
    <w:p>
      <w:pPr>
        <w:pStyle w:val="Bibliography"/>
      </w:pPr>
      <w:r>
        <w:t xml:space="preserve">23.</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93">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94"/>
    <w:bookmarkStart w:id="96" w:name="ref-dunneCompilationNetworkAnalyses2008"/>
    <w:p>
      <w:pPr>
        <w:pStyle w:val="Bibliography"/>
      </w:pPr>
      <w:r>
        <w:t xml:space="preserve">24.</w:t>
      </w:r>
      <w:r>
        <w:t xml:space="preserve"> </w:t>
      </w:r>
      <w:r>
        <w:t xml:space="preserve">	</w:t>
      </w:r>
      <w:r>
        <w:t xml:space="preserve">Dunne, J.A.</w:t>
      </w:r>
      <w:r>
        <w:t xml:space="preserve"> </w:t>
      </w:r>
      <w:r>
        <w:rPr>
          <w:i/>
          <w:iCs/>
        </w:rPr>
        <w:t xml:space="preserve">et al.</w:t>
      </w:r>
      <w:r>
        <w:t xml:space="preserve"> </w:t>
      </w:r>
      <w:r>
        <w:t xml:space="preserve">(2008)</w:t>
      </w:r>
      <w:r>
        <w:t xml:space="preserve"> </w:t>
      </w:r>
      <w:hyperlink r:id="rId95">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
          <w:iCs/>
        </w:rPr>
        <w:t xml:space="preserve">PLOS Biology</w:t>
      </w:r>
      <w:r>
        <w:t xml:space="preserve"> </w:t>
      </w:r>
      <w:r>
        <w:t xml:space="preserve">6, e102</w:t>
      </w:r>
    </w:p>
    <w:bookmarkEnd w:id="96"/>
    <w:bookmarkStart w:id="98" w:name="ref-yeakelCollapseEcologicalNetwork2014"/>
    <w:p>
      <w:pPr>
        <w:pStyle w:val="Bibliography"/>
      </w:pPr>
      <w:r>
        <w:t xml:space="preserve">25.</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97">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98"/>
    <w:bookmarkStart w:id="100" w:name="ref-caronTraitmatchingModelsPredict2024"/>
    <w:p>
      <w:pPr>
        <w:pStyle w:val="Bibliography"/>
      </w:pPr>
      <w:r>
        <w:t xml:space="preserve">26.</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99">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100"/>
    <w:bookmarkStart w:id="102" w:name="ref-williamsSimpleRulesYield2000"/>
    <w:p>
      <w:pPr>
        <w:pStyle w:val="Bibliography"/>
      </w:pPr>
      <w:r>
        <w:t xml:space="preserve">27.</w:t>
      </w:r>
      <w:r>
        <w:t xml:space="preserve"> </w:t>
      </w:r>
      <w:r>
        <w:t xml:space="preserve">	</w:t>
      </w:r>
      <w:r>
        <w:t xml:space="preserve">Williams, R.J. and Martinez, N.D. (2000)</w:t>
      </w:r>
      <w:r>
        <w:t xml:space="preserve"> </w:t>
      </w:r>
      <w:hyperlink r:id="rId101">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102"/>
    <w:bookmarkStart w:id="103" w:name="ref-cohenCommunityFoodWebs1990"/>
    <w:p>
      <w:pPr>
        <w:pStyle w:val="Bibliography"/>
      </w:pPr>
      <w:r>
        <w:t xml:space="preserve">28.</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103"/>
    <w:bookmarkStart w:id="105" w:name="Xb1d8b6b275822be1886d160023287af73cce966"/>
    <w:p>
      <w:pPr>
        <w:pStyle w:val="Bibliography"/>
      </w:pPr>
      <w:r>
        <w:t xml:space="preserve">29.</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104">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105"/>
    <w:bookmarkStart w:id="107" w:name="X0fb50f1746fa9d2b24f89ed5bfe6ae1a2f58cc2"/>
    <w:p>
      <w:pPr>
        <w:pStyle w:val="Bibliography"/>
      </w:pPr>
      <w:r>
        <w:t xml:space="preserve">30.</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06">
        <w:r>
          <w:rPr>
            <w:rStyle w:val="Hyperlink"/>
          </w:rPr>
          <w:t xml:space="preserve">A framework for reconstructing ancient food webs using functional trait data</w:t>
        </w:r>
      </w:hyperlink>
      <w:r>
        <w:t xml:space="preserve">bioRxiv, 2024.01.30.578036</w:t>
      </w:r>
    </w:p>
    <w:bookmarkEnd w:id="107"/>
    <w:bookmarkStart w:id="109" w:name="ref-poisotSpeciesWhyEcological2015"/>
    <w:p>
      <w:pPr>
        <w:pStyle w:val="Bibliography"/>
      </w:pPr>
      <w:r>
        <w:t xml:space="preserve">31.</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08">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09"/>
    <w:bookmarkStart w:id="111" w:name="ref-strydomGraphEmbeddingTransfer2023"/>
    <w:p>
      <w:pPr>
        <w:pStyle w:val="Bibliography"/>
      </w:pPr>
      <w:r>
        <w:t xml:space="preserve">32.</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110">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111"/>
    <w:bookmarkStart w:id="113" w:name="ref-allesinaGeneralModelFood2008"/>
    <w:p>
      <w:pPr>
        <w:pStyle w:val="Bibliography"/>
      </w:pPr>
      <w:r>
        <w:t xml:space="preserve">33.</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112">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113"/>
    <w:bookmarkStart w:id="115" w:name="X023758d2a089016cd8f0c9d2421079cf7d062ff"/>
    <w:p>
      <w:pPr>
        <w:pStyle w:val="Bibliography"/>
      </w:pPr>
      <w:r>
        <w:t xml:space="preserve">34.</w:t>
      </w:r>
      <w:r>
        <w:t xml:space="preserve"> </w:t>
      </w:r>
      <w:r>
        <w:t xml:space="preserve">	</w:t>
      </w:r>
      <w:r>
        <w:t xml:space="preserve">Poisot, T. (2023)</w:t>
      </w:r>
      <w:r>
        <w:t xml:space="preserve"> </w:t>
      </w:r>
      <w:hyperlink r:id="rId114">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115"/>
    <w:bookmarkStart w:id="117" w:name="ref-stoufferEvidenceExistenceRobust2007"/>
    <w:p>
      <w:pPr>
        <w:pStyle w:val="Bibliography"/>
      </w:pPr>
      <w:r>
        <w:t xml:space="preserve">35.</w:t>
      </w:r>
      <w:r>
        <w:t xml:space="preserve"> </w:t>
      </w:r>
      <w:r>
        <w:t xml:space="preserve">	</w:t>
      </w:r>
      <w:r>
        <w:t xml:space="preserve">Stouffer, D.B.</w:t>
      </w:r>
      <w:r>
        <w:t xml:space="preserve"> </w:t>
      </w:r>
      <w:r>
        <w:rPr>
          <w:i/>
          <w:iCs/>
        </w:rPr>
        <w:t xml:space="preserve">et al.</w:t>
      </w:r>
      <w:r>
        <w:t xml:space="preserve"> </w:t>
      </w:r>
      <w:r>
        <w:t xml:space="preserve">(2007)</w:t>
      </w:r>
      <w:r>
        <w:t xml:space="preserve"> </w:t>
      </w:r>
      <w:hyperlink r:id="rId116">
        <w:r>
          <w:rPr>
            <w:rStyle w:val="Hyperlink"/>
          </w:rPr>
          <w:t xml:space="preserve">Evidence for the existence of a robust pattern of prey selection in food webs</w:t>
        </w:r>
      </w:hyperlink>
      <w:r>
        <w:t xml:space="preserve">.</w:t>
      </w:r>
      <w:r>
        <w:t xml:space="preserve"> </w:t>
      </w:r>
      <w:r>
        <w:rPr>
          <w:i/>
          <w:iCs/>
        </w:rPr>
        <w:t xml:space="preserve">Proceedings of the Royal Society B: Biological Sciences</w:t>
      </w:r>
      <w:r>
        <w:t xml:space="preserve"> </w:t>
      </w:r>
      <w:r>
        <w:t xml:space="preserve">274, 1931–1940</w:t>
      </w:r>
    </w:p>
    <w:bookmarkEnd w:id="117"/>
    <w:bookmarkStart w:id="119" w:name="ref-pringleResolvingFoodWebStructure2020"/>
    <w:p>
      <w:pPr>
        <w:pStyle w:val="Bibliography"/>
      </w:pPr>
      <w:r>
        <w:t xml:space="preserve">36.</w:t>
      </w:r>
      <w:r>
        <w:t xml:space="preserve"> </w:t>
      </w:r>
      <w:r>
        <w:t xml:space="preserve">	</w:t>
      </w:r>
      <w:r>
        <w:t xml:space="preserve">Pringle, R.M. and Hutchinson, M.C. (2020)</w:t>
      </w:r>
      <w:r>
        <w:t xml:space="preserve"> </w:t>
      </w:r>
      <w:hyperlink r:id="rId118">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119"/>
    <w:bookmarkStart w:id="121" w:name="ref-berlowGoldilocksFactorFood2008"/>
    <w:p>
      <w:pPr>
        <w:pStyle w:val="Bibliography"/>
      </w:pPr>
      <w:r>
        <w:t xml:space="preserve">37.</w:t>
      </w:r>
      <w:r>
        <w:t xml:space="preserve"> </w:t>
      </w:r>
      <w:r>
        <w:t xml:space="preserve">	</w:t>
      </w:r>
      <w:r>
        <w:t xml:space="preserve">Berlow, E.L.</w:t>
      </w:r>
      <w:r>
        <w:t xml:space="preserve"> </w:t>
      </w:r>
      <w:r>
        <w:rPr>
          <w:i/>
          <w:iCs/>
        </w:rPr>
        <w:t xml:space="preserve">et al.</w:t>
      </w:r>
      <w:r>
        <w:t xml:space="preserve"> </w:t>
      </w:r>
      <w:r>
        <w:t xml:space="preserve">(2008)</w:t>
      </w:r>
      <w:r>
        <w:t xml:space="preserve"> </w:t>
      </w:r>
      <w:hyperlink r:id="rId120">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
          <w:iCs/>
        </w:rPr>
        <w:t xml:space="preserve">Proceedings of the National Academy of Sciences</w:t>
      </w:r>
      <w:r>
        <w:t xml:space="preserve"> </w:t>
      </w:r>
      <w:r>
        <w:t xml:space="preserve">105, 4079–4080</w:t>
      </w:r>
    </w:p>
    <w:bookmarkEnd w:id="121"/>
    <w:bookmarkStart w:id="123" w:name="ref-brimacombeApplyingMethodIts2024"/>
    <w:p>
      <w:pPr>
        <w:pStyle w:val="Bibliography"/>
      </w:pPr>
      <w:r>
        <w:t xml:space="preserve">38.</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122">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23"/>
    <w:bookmarkStart w:id="125" w:name="ref-beckerOptimisingPredictiveModels2022"/>
    <w:p>
      <w:pPr>
        <w:pStyle w:val="Bibliography"/>
      </w:pPr>
      <w:r>
        <w:t xml:space="preserve">39.</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124">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125"/>
    <w:bookmarkStart w:id="126" w:name="X1edd2253d2e7e8e6db9e7574240f432ddda2ce1"/>
    <w:p>
      <w:pPr>
        <w:pStyle w:val="Bibliography"/>
      </w:pPr>
      <w:r>
        <w:t xml:space="preserve">40.</w:t>
      </w:r>
      <w:r>
        <w:t xml:space="preserve"> </w:t>
      </w:r>
      <w:r>
        <w:t xml:space="preserve">	</w:t>
      </w:r>
      <w:r>
        <w:t xml:space="preserve">Dansereau, G.</w:t>
      </w:r>
      <w:r>
        <w:t xml:space="preserve"> </w:t>
      </w:r>
      <w:r>
        <w:rPr>
          <w:i/>
          <w:iCs/>
        </w:rPr>
        <w:t xml:space="preserve">et al.</w:t>
      </w:r>
      <w:r>
        <w:t xml:space="preserve"> </w:t>
      </w:r>
      <w:r>
        <w:t xml:space="preserve">(2023) Spatially explicit predictions of food web structure from regional level data</w:t>
      </w:r>
    </w:p>
    <w:bookmarkEnd w:id="126"/>
    <w:bookmarkStart w:id="128" w:name="ref-fortinNetworkEcologyDynamic2021"/>
    <w:p>
      <w:pPr>
        <w:pStyle w:val="Bibliography"/>
      </w:pPr>
      <w:r>
        <w:t xml:space="preserve">41.</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127">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128"/>
    <w:bookmarkStart w:id="129" w:name="ref-estayEditorialPatternsProcesses2023"/>
    <w:p>
      <w:pPr>
        <w:pStyle w:val="Bibliography"/>
      </w:pPr>
      <w:r>
        <w:t xml:space="preserve">42.</w:t>
      </w:r>
      <w:r>
        <w:t xml:space="preserve"> </w:t>
      </w:r>
      <w:r>
        <w:t xml:space="preserve">	</w:t>
      </w:r>
      <w:r>
        <w:t xml:space="preserve">Estay, S.A.</w:t>
      </w:r>
      <w:r>
        <w:t xml:space="preserve"> </w:t>
      </w:r>
      <w:r>
        <w:rPr>
          <w:i/>
          <w:iCs/>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
          <w:iCs/>
        </w:rPr>
        <w:t xml:space="preserve">Frontiers in Ecology and Evolution</w:t>
      </w:r>
      <w:r>
        <w:t xml:space="preserve"> </w:t>
      </w:r>
      <w:r>
        <w:t xml:space="preserve">11</w:t>
      </w:r>
    </w:p>
    <w:bookmarkEnd w:id="129"/>
    <w:bookmarkStart w:id="131" w:name="ref-saraviaEcologicalNetworkAssembly2022"/>
    <w:p>
      <w:pPr>
        <w:pStyle w:val="Bibliography"/>
      </w:pPr>
      <w:r>
        <w:t xml:space="preserve">43.</w:t>
      </w:r>
      <w:r>
        <w:t xml:space="preserve"> </w:t>
      </w:r>
      <w:r>
        <w:t xml:space="preserve">	</w:t>
      </w:r>
      <w:r>
        <w:t xml:space="preserve">Saravia, L.A.</w:t>
      </w:r>
      <w:r>
        <w:t xml:space="preserve"> </w:t>
      </w:r>
      <w:r>
        <w:rPr>
          <w:i/>
          <w:iCs/>
        </w:rPr>
        <w:t xml:space="preserve">et al.</w:t>
      </w:r>
      <w:r>
        <w:t xml:space="preserve"> </w:t>
      </w:r>
      <w:r>
        <w:t xml:space="preserve">(2022)</w:t>
      </w:r>
      <w:r>
        <w:t xml:space="preserve"> </w:t>
      </w:r>
      <w:hyperlink r:id="rId130">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
          <w:iCs/>
        </w:rPr>
        <w:t xml:space="preserve">Journal of Animal Ecology</w:t>
      </w:r>
      <w:r>
        <w:t xml:space="preserve"> </w:t>
      </w:r>
      <w:r>
        <w:t xml:space="preserve">91, 630–642</w:t>
      </w:r>
    </w:p>
    <w:bookmarkEnd w:id="131"/>
    <w:bookmarkEnd w:id="132"/>
    <w:bookmarkEnd w:id="1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4" Target="https://BecksLab.github.io/ms_t_is_for_topology/notebooks/model_quantitative-preview.html#cell-fig-topology" TargetMode="External" /><Relationship Type="http://schemas.openxmlformats.org/officeDocument/2006/relationships/hyperlink" Id="rId87" Target="https://doi.org/10" TargetMode="External" /><Relationship Type="http://schemas.openxmlformats.org/officeDocument/2006/relationships/hyperlink" Id="rId124" Target="https://doi.org/10.1016/S2666-5247(21)00245-7" TargetMode="External" /><Relationship Type="http://schemas.openxmlformats.org/officeDocument/2006/relationships/hyperlink" Id="rId78" Target="https://doi.org/10.1016/j.jtbi.2011.03.019" TargetMode="External" /><Relationship Type="http://schemas.openxmlformats.org/officeDocument/2006/relationships/hyperlink" Id="rId91" Target="https://doi.org/10.1016/j.tree.2005.04.004" TargetMode="External" /><Relationship Type="http://schemas.openxmlformats.org/officeDocument/2006/relationships/hyperlink" Id="rId60" Target="https://doi.org/10.1016/j.tree.2015.03.014" TargetMode="External" /><Relationship Type="http://schemas.openxmlformats.org/officeDocument/2006/relationships/hyperlink" Id="rId101" Target="https://doi.org/10.1038/35004572" TargetMode="External" /><Relationship Type="http://schemas.openxmlformats.org/officeDocument/2006/relationships/hyperlink" Id="rId74" Target="https://doi.org/10.1038/s42003-023-05622-3" TargetMode="External" /><Relationship Type="http://schemas.openxmlformats.org/officeDocument/2006/relationships/hyperlink" Id="rId68" Target="https://doi.org/10.1073/pnas.0710672105" TargetMode="External" /><Relationship Type="http://schemas.openxmlformats.org/officeDocument/2006/relationships/hyperlink" Id="rId120" Target="https://doi.org/10.1073/pnas.0800967105" TargetMode="External" /><Relationship Type="http://schemas.openxmlformats.org/officeDocument/2006/relationships/hyperlink" Id="rId97" Target="https://doi.org/10.1073/pnas.1408471111" TargetMode="External" /><Relationship Type="http://schemas.openxmlformats.org/officeDocument/2006/relationships/hyperlink" Id="rId116" Target="https://doi.org/10.1098/rspb.2007.0571" TargetMode="External" /><Relationship Type="http://schemas.openxmlformats.org/officeDocument/2006/relationships/hyperlink" Id="rId127" Target="https://doi.org/10.1098/rspb.2020.1889" TargetMode="External" /><Relationship Type="http://schemas.openxmlformats.org/officeDocument/2006/relationships/hyperlink" Id="rId62" Target="https://doi.org/10.1098/rstb.2021.0063" TargetMode="External" /><Relationship Type="http://schemas.openxmlformats.org/officeDocument/2006/relationships/hyperlink" Id="rId106" Target="https://doi.org/10.1101/2024.01.30.578036" TargetMode="External" /><Relationship Type="http://schemas.openxmlformats.org/officeDocument/2006/relationships/hyperlink" Id="rId58" Target="https://doi.org/10.1111/1365-2435.12763" TargetMode="External" /><Relationship Type="http://schemas.openxmlformats.org/officeDocument/2006/relationships/hyperlink" Id="rId130" Target="https://doi.org/10.1111/1365-2656.13652" TargetMode="External" /><Relationship Type="http://schemas.openxmlformats.org/officeDocument/2006/relationships/hyperlink" Id="rId104" Target="https://doi.org/10.1111/2041-210X.13180" TargetMode="External" /><Relationship Type="http://schemas.openxmlformats.org/officeDocument/2006/relationships/hyperlink" Id="rId72" Target="https://doi.org/10.1111/2041-210X.13329" TargetMode="External" /><Relationship Type="http://schemas.openxmlformats.org/officeDocument/2006/relationships/hyperlink" Id="rId66" Target="https://doi.org/10.1111/2041-210X.13835" TargetMode="External" /><Relationship Type="http://schemas.openxmlformats.org/officeDocument/2006/relationships/hyperlink" Id="rId114" Target="https://doi.org/10.1111/2041-210X.14071" TargetMode="External" /><Relationship Type="http://schemas.openxmlformats.org/officeDocument/2006/relationships/hyperlink" Id="rId110" Target="https://doi.org/10.1111/2041-210X.14228" TargetMode="External" /><Relationship Type="http://schemas.openxmlformats.org/officeDocument/2006/relationships/hyperlink" Id="rId64" Target="https://doi.org/10.1111/ecog.01941" TargetMode="External" /><Relationship Type="http://schemas.openxmlformats.org/officeDocument/2006/relationships/hyperlink" Id="rId99" Target="https://doi.org/10.1111/geb.13807" TargetMode="External" /><Relationship Type="http://schemas.openxmlformats.org/officeDocument/2006/relationships/hyperlink" Id="rId89" Target="https://doi.org/10.1111/j.0021-8790.2004.00833.x" TargetMode="External" /><Relationship Type="http://schemas.openxmlformats.org/officeDocument/2006/relationships/hyperlink" Id="rId70" Target="https://doi.org/10.1111/j.1365-2656.2008.01362.x" TargetMode="External" /><Relationship Type="http://schemas.openxmlformats.org/officeDocument/2006/relationships/hyperlink" Id="rId54" Target="https://doi.org/10.1111/jbi.14127" TargetMode="External" /><Relationship Type="http://schemas.openxmlformats.org/officeDocument/2006/relationships/hyperlink" Id="rId76" Target="https://doi.org/10.1111/jbi.14734" TargetMode="External" /><Relationship Type="http://schemas.openxmlformats.org/officeDocument/2006/relationships/hyperlink" Id="rId108" Target="https://doi.org/10.1111/oik.01719" TargetMode="External" /><Relationship Type="http://schemas.openxmlformats.org/officeDocument/2006/relationships/hyperlink" Id="rId112" Target="https://doi.org/10.1126/science.1156269" TargetMode="External" /><Relationship Type="http://schemas.openxmlformats.org/officeDocument/2006/relationships/hyperlink" Id="rId118" Target="https://doi.org/10.1146/annurev-ecolsys-110218-024908" TargetMode="External" /><Relationship Type="http://schemas.openxmlformats.org/officeDocument/2006/relationships/hyperlink" Id="rId52" Target="https://doi.org/10.1146/annurev-ecolsys-112414-054400" TargetMode="External" /><Relationship Type="http://schemas.openxmlformats.org/officeDocument/2006/relationships/hyperlink" Id="rId122" Target="https://doi.org/10.13140/RG.2.2.22076.65927" TargetMode="External" /><Relationship Type="http://schemas.openxmlformats.org/officeDocument/2006/relationships/hyperlink" Id="rId95" Target="https://doi.org/10.1371/journal.pbio.0060102" TargetMode="External" /><Relationship Type="http://schemas.openxmlformats.org/officeDocument/2006/relationships/hyperlink" Id="rId56" Target="https://doi.org/10.1371/journal.pbio.1002559" TargetMode="External" /><Relationship Type="http://schemas.openxmlformats.org/officeDocument/2006/relationships/hyperlink" Id="rId93" Target="https://doi.org/10.1371/journal.pbio.3002068" TargetMode="External" /><Relationship Type="http://schemas.openxmlformats.org/officeDocument/2006/relationships/hyperlink" Id="rId82" Target="https://doi.org/10.1515/9780691195322-020" TargetMode="External" /><Relationship Type="http://schemas.openxmlformats.org/officeDocument/2006/relationships/hyperlink" Id="rId85" Target="https://doi.org/10.2307/1930126" TargetMode="External" /><Relationship Type="http://schemas.openxmlformats.org/officeDocument/2006/relationships/hyperlink" Id="rId80"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4" Target="https://BecksLab.github.io/ms_t_is_for_topology/notebooks/model_quantitative-preview.html#cell-fig-topology" TargetMode="External" /><Relationship Type="http://schemas.openxmlformats.org/officeDocument/2006/relationships/hyperlink" Id="rId87" Target="https://doi.org/10" TargetMode="External" /><Relationship Type="http://schemas.openxmlformats.org/officeDocument/2006/relationships/hyperlink" Id="rId124" Target="https://doi.org/10.1016/S2666-5247(21)00245-7" TargetMode="External" /><Relationship Type="http://schemas.openxmlformats.org/officeDocument/2006/relationships/hyperlink" Id="rId78" Target="https://doi.org/10.1016/j.jtbi.2011.03.019" TargetMode="External" /><Relationship Type="http://schemas.openxmlformats.org/officeDocument/2006/relationships/hyperlink" Id="rId91" Target="https://doi.org/10.1016/j.tree.2005.04.004" TargetMode="External" /><Relationship Type="http://schemas.openxmlformats.org/officeDocument/2006/relationships/hyperlink" Id="rId60" Target="https://doi.org/10.1016/j.tree.2015.03.014" TargetMode="External" /><Relationship Type="http://schemas.openxmlformats.org/officeDocument/2006/relationships/hyperlink" Id="rId101" Target="https://doi.org/10.1038/35004572" TargetMode="External" /><Relationship Type="http://schemas.openxmlformats.org/officeDocument/2006/relationships/hyperlink" Id="rId74" Target="https://doi.org/10.1038/s42003-023-05622-3" TargetMode="External" /><Relationship Type="http://schemas.openxmlformats.org/officeDocument/2006/relationships/hyperlink" Id="rId68" Target="https://doi.org/10.1073/pnas.0710672105" TargetMode="External" /><Relationship Type="http://schemas.openxmlformats.org/officeDocument/2006/relationships/hyperlink" Id="rId120" Target="https://doi.org/10.1073/pnas.0800967105" TargetMode="External" /><Relationship Type="http://schemas.openxmlformats.org/officeDocument/2006/relationships/hyperlink" Id="rId97" Target="https://doi.org/10.1073/pnas.1408471111" TargetMode="External" /><Relationship Type="http://schemas.openxmlformats.org/officeDocument/2006/relationships/hyperlink" Id="rId116" Target="https://doi.org/10.1098/rspb.2007.0571" TargetMode="External" /><Relationship Type="http://schemas.openxmlformats.org/officeDocument/2006/relationships/hyperlink" Id="rId127" Target="https://doi.org/10.1098/rspb.2020.1889" TargetMode="External" /><Relationship Type="http://schemas.openxmlformats.org/officeDocument/2006/relationships/hyperlink" Id="rId62" Target="https://doi.org/10.1098/rstb.2021.0063" TargetMode="External" /><Relationship Type="http://schemas.openxmlformats.org/officeDocument/2006/relationships/hyperlink" Id="rId106" Target="https://doi.org/10.1101/2024.01.30.578036" TargetMode="External" /><Relationship Type="http://schemas.openxmlformats.org/officeDocument/2006/relationships/hyperlink" Id="rId58" Target="https://doi.org/10.1111/1365-2435.12763" TargetMode="External" /><Relationship Type="http://schemas.openxmlformats.org/officeDocument/2006/relationships/hyperlink" Id="rId130" Target="https://doi.org/10.1111/1365-2656.13652" TargetMode="External" /><Relationship Type="http://schemas.openxmlformats.org/officeDocument/2006/relationships/hyperlink" Id="rId104" Target="https://doi.org/10.1111/2041-210X.13180" TargetMode="External" /><Relationship Type="http://schemas.openxmlformats.org/officeDocument/2006/relationships/hyperlink" Id="rId72" Target="https://doi.org/10.1111/2041-210X.13329" TargetMode="External" /><Relationship Type="http://schemas.openxmlformats.org/officeDocument/2006/relationships/hyperlink" Id="rId66" Target="https://doi.org/10.1111/2041-210X.13835" TargetMode="External" /><Relationship Type="http://schemas.openxmlformats.org/officeDocument/2006/relationships/hyperlink" Id="rId114" Target="https://doi.org/10.1111/2041-210X.14071" TargetMode="External" /><Relationship Type="http://schemas.openxmlformats.org/officeDocument/2006/relationships/hyperlink" Id="rId110" Target="https://doi.org/10.1111/2041-210X.14228" TargetMode="External" /><Relationship Type="http://schemas.openxmlformats.org/officeDocument/2006/relationships/hyperlink" Id="rId64" Target="https://doi.org/10.1111/ecog.01941" TargetMode="External" /><Relationship Type="http://schemas.openxmlformats.org/officeDocument/2006/relationships/hyperlink" Id="rId99" Target="https://doi.org/10.1111/geb.13807" TargetMode="External" /><Relationship Type="http://schemas.openxmlformats.org/officeDocument/2006/relationships/hyperlink" Id="rId89" Target="https://doi.org/10.1111/j.0021-8790.2004.00833.x" TargetMode="External" /><Relationship Type="http://schemas.openxmlformats.org/officeDocument/2006/relationships/hyperlink" Id="rId70" Target="https://doi.org/10.1111/j.1365-2656.2008.01362.x" TargetMode="External" /><Relationship Type="http://schemas.openxmlformats.org/officeDocument/2006/relationships/hyperlink" Id="rId54" Target="https://doi.org/10.1111/jbi.14127" TargetMode="External" /><Relationship Type="http://schemas.openxmlformats.org/officeDocument/2006/relationships/hyperlink" Id="rId76" Target="https://doi.org/10.1111/jbi.14734" TargetMode="External" /><Relationship Type="http://schemas.openxmlformats.org/officeDocument/2006/relationships/hyperlink" Id="rId108" Target="https://doi.org/10.1111/oik.01719" TargetMode="External" /><Relationship Type="http://schemas.openxmlformats.org/officeDocument/2006/relationships/hyperlink" Id="rId112" Target="https://doi.org/10.1126/science.1156269" TargetMode="External" /><Relationship Type="http://schemas.openxmlformats.org/officeDocument/2006/relationships/hyperlink" Id="rId118" Target="https://doi.org/10.1146/annurev-ecolsys-110218-024908" TargetMode="External" /><Relationship Type="http://schemas.openxmlformats.org/officeDocument/2006/relationships/hyperlink" Id="rId52" Target="https://doi.org/10.1146/annurev-ecolsys-112414-054400" TargetMode="External" /><Relationship Type="http://schemas.openxmlformats.org/officeDocument/2006/relationships/hyperlink" Id="rId122" Target="https://doi.org/10.13140/RG.2.2.22076.65927" TargetMode="External" /><Relationship Type="http://schemas.openxmlformats.org/officeDocument/2006/relationships/hyperlink" Id="rId95" Target="https://doi.org/10.1371/journal.pbio.0060102" TargetMode="External" /><Relationship Type="http://schemas.openxmlformats.org/officeDocument/2006/relationships/hyperlink" Id="rId56" Target="https://doi.org/10.1371/journal.pbio.1002559" TargetMode="External" /><Relationship Type="http://schemas.openxmlformats.org/officeDocument/2006/relationships/hyperlink" Id="rId93" Target="https://doi.org/10.1371/journal.pbio.3002068" TargetMode="External" /><Relationship Type="http://schemas.openxmlformats.org/officeDocument/2006/relationships/hyperlink" Id="rId82" Target="https://doi.org/10.1515/9780691195322-020" TargetMode="External" /><Relationship Type="http://schemas.openxmlformats.org/officeDocument/2006/relationships/hyperlink" Id="rId85" Target="https://doi.org/10.2307/1930126" TargetMode="External" /><Relationship Type="http://schemas.openxmlformats.org/officeDocument/2006/relationships/hyperlink" Id="rId80"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2024-05-13T14:17:24Z</dcterms:created>
  <dcterms:modified xsi:type="dcterms:W3CDTF">2024-05-13T14:17:24Z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2024-05-13</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