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2.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2024-03-05</w:t>
      </w:r>
    </w:p>
    <w:p>
      <w:pPr>
        <w:pStyle w:val="AbstractTitle"/>
      </w:pPr>
      <w:r>
        <w:t xml:space="preserve">Abstract</w:t>
      </w:r>
    </w:p>
    <w:p>
      <w:pPr>
        <w:pStyle w:val="Abstract"/>
      </w:pPr>
      <w:r>
        <w:t xml:space="preserve">Pending…</w:t>
      </w:r>
    </w:p>
    <w:bookmarkStart w:id="23" w:name="introduction"/>
    <w:p>
      <w:pPr>
        <w:pStyle w:val="Heading2"/>
      </w:pPr>
      <w:r>
        <w:t xml:space="preserve">1 Introduction</w:t>
      </w:r>
    </w:p>
    <w:p>
      <w:pPr>
        <w:pStyle w:val="FirstParagraph"/>
      </w:pPr>
      <w:r>
        <w:t xml:space="preserve">The standard run of the mill that we cannot always feasibly construct networks because 1. hard, 2. time (yay dinosaurs, but also the future and impending doom I guess), and 3. probably something else meaningful that’s just slipping my mind at the moment. Some of the usual culprits will come in here like:</w:t>
      </w:r>
      <w:r>
        <w:t xml:space="preserve"> </w:t>
      </w:r>
      <w:r>
        <w:t xml:space="preserve">Jordano (2016b)</w:t>
      </w:r>
      <w:r>
        <w:t xml:space="preserve">;</w:t>
      </w:r>
      <w:r>
        <w:t xml:space="preserve"> </w:t>
      </w:r>
      <w:r>
        <w:t xml:space="preserve">(Jordano 2016a)</w:t>
      </w:r>
      <w:r>
        <w:t xml:space="preserve">;</w:t>
      </w:r>
      <w:r>
        <w:t xml:space="preserve"> </w:t>
      </w:r>
      <w:r>
        <w:t xml:space="preserve">Poisot et al. (2021)</w:t>
      </w:r>
      <w:r>
        <w:t xml:space="preserve">. Also introduce something around the idea that we want to be making network predictions as but a first step in a simulation/dynamic type of framework.</w:t>
      </w:r>
    </w:p>
    <w:p>
      <w:pPr>
        <w:pStyle w:val="BlockText"/>
      </w:pPr>
      <w:r>
        <w:t xml:space="preserve">I’m beginning to think that the core discursive points should revolve around</w:t>
      </w:r>
      <w:r>
        <w:t xml:space="preserve"> </w:t>
      </w:r>
      <w:r>
        <w:t xml:space="preserve">‘</w:t>
      </w:r>
      <w:r>
        <w:t xml:space="preserve">old school</w:t>
      </w:r>
      <w:r>
        <w:t xml:space="preserve">’</w:t>
      </w:r>
      <w:r>
        <w:t xml:space="preserve"> </w:t>
      </w:r>
      <w:r>
        <w:t xml:space="preserve">vs</w:t>
      </w:r>
      <w:r>
        <w:t xml:space="preserve"> </w:t>
      </w:r>
      <w:r>
        <w:t xml:space="preserve">‘</w:t>
      </w:r>
      <w:r>
        <w:t xml:space="preserve">new age</w:t>
      </w:r>
      <w:r>
        <w:t xml:space="preserve">’</w:t>
      </w:r>
      <w:r>
        <w:t xml:space="preserve"> </w:t>
      </w:r>
      <w:r>
        <w:t xml:space="preserve">methods but in a way that sort of says in a world of new age tools are the the old school methods able to hole their own. But at the same time making it abundantly clear that there is a stack of context dependence to keep in mind before even thinking about drawing conclusions.</w:t>
      </w:r>
    </w:p>
    <w:p>
      <w:pPr>
        <w:pStyle w:val="BlockText"/>
      </w:pPr>
      <w:r>
        <w:t xml:space="preserve">TODO: standardise language between a topology generator and a topology predictor… I guess they can both be considered models but I’m not quite sure…</w:t>
      </w:r>
    </w:p>
    <w:bookmarkStart w:id="22" w:name="X7cda382a50c0e74ceab53d4f601df731b14d868"/>
    <w:p>
      <w:pPr>
        <w:pStyle w:val="Heading3"/>
      </w:pPr>
      <w:r>
        <w:t xml:space="preserve">1.1 Philosophical contemplation when constructing interaction networks</w:t>
      </w:r>
    </w:p>
    <w:bookmarkStart w:id="20" w:name="X205eb5dbbd157910c090625c71de3c2edf94961"/>
    <w:p>
      <w:pPr>
        <w:pStyle w:val="Heading4"/>
      </w:pPr>
      <w:r>
        <w:t xml:space="preserve">1.1.1 Why do we want to construct an interaction network?</w:t>
      </w:r>
    </w:p>
    <w:p>
      <w:pPr>
        <w:pStyle w:val="FirstParagraph"/>
      </w:pPr>
      <w:r>
        <w:t xml:space="preserve">Arguably the need for methods and tools for constructing interaction networks arises from two different (but still aligned) places of interest within the field of network ecology. On the one side of the spectrum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for the purpose of running further simulations (</w:t>
      </w:r>
      <w:r>
        <w:rPr>
          <w:i/>
          <w:iCs/>
        </w:rPr>
        <w:t xml:space="preserve">e.g.,</w:t>
      </w:r>
      <w:r>
        <w:t xml:space="preserve"> </w:t>
      </w:r>
      <w:r>
        <w:t xml:space="preserve">extinction sim REF?</w:t>
      </w:r>
      <w:r>
        <w:t xml:space="preserve"> </w:t>
      </w:r>
      <w:r>
        <w:rPr>
          <w:b/>
          <w:bCs/>
        </w:rPr>
        <w:t xml:space="preserve">TODO</w:t>
      </w:r>
      <w:r>
        <w:t xml:space="preserve">) or understanding some higher-level process (</w:t>
      </w:r>
      <w:r>
        <w:rPr>
          <w:i/>
          <w:iCs/>
        </w:rPr>
        <w:t xml:space="preserve">e.g.,</w:t>
      </w:r>
      <w:r>
        <w:t xml:space="preserve"> </w:t>
      </w:r>
      <w:r>
        <w:t xml:space="preserve">energetics REF</w:t>
      </w:r>
      <w:r>
        <w:t xml:space="preserve"> </w:t>
      </w:r>
      <w:r>
        <w:rPr>
          <w:b/>
          <w:bCs/>
        </w:rPr>
        <w:t xml:space="preserve">TODO</w:t>
      </w:r>
      <w:r>
        <w:t xml:space="preserve">). This researcher is contrasted by one that is interested in constructing real-world, location specific interactions networks in lieu of having access to data generated in the field (see</w:t>
      </w:r>
      <w:r>
        <w:t xml:space="preserve"> </w:t>
      </w:r>
      <w:r>
        <w:t xml:space="preserve">Strydom et al. (2021)</w:t>
      </w:r>
      <w:r>
        <w:t xml:space="preserve"> </w:t>
      </w:r>
      <w:r>
        <w:t xml:space="preserve">for a discussion on this). Of course these two categories are not distinct, mutually exclusive, groups but can rather be viewed as operating on a gradient ranging from a need for generality (</w:t>
      </w:r>
      <w:r>
        <w:rPr>
          <w:i/>
          <w:iCs/>
        </w:rPr>
        <w:t xml:space="preserve">something</w:t>
      </w:r>
      <w:r>
        <w:t xml:space="preserve">) to a need for specificity (local-level predictions) when it comes to the quality(?) of the network that is constructed by a specific tool. Of course this research need would also reflected in the model development process itself and thus the idea of what a</w:t>
      </w:r>
      <w:r>
        <w:t xml:space="preserve"> </w:t>
      </w:r>
      <w:r>
        <w:t xml:space="preserve">‘</w:t>
      </w:r>
      <w:r>
        <w:t xml:space="preserve">good enough</w:t>
      </w:r>
      <w:r>
        <w:t xml:space="preserve">’</w:t>
      </w:r>
      <w:r>
        <w:t xml:space="preserve"> </w:t>
      </w:r>
      <w:r>
        <w:t xml:space="preserve">constructed network will be in the context of assessing the performance of a specific model.</w:t>
      </w:r>
    </w:p>
    <w:p>
      <w:pPr>
        <w:pStyle w:val="BodyText"/>
      </w:pPr>
      <w:r>
        <w:t xml:space="preserve">Joel E. Cohen, Newman, and Steele (1985)</w:t>
      </w:r>
      <w:r>
        <w:t xml:space="preserve"> </w:t>
      </w:r>
      <w:r>
        <w:t xml:space="preserve">states that</w:t>
      </w:r>
      <w:r>
        <w:t xml:space="preserve"> </w:t>
      </w:r>
      <w:r>
        <w:rPr>
          <w:i/>
          <w:iCs/>
        </w:rPr>
        <w:t xml:space="preserve">“</w:t>
      </w:r>
      <w:r>
        <w:rPr>
          <w:i/>
          <w:iCs/>
        </w:rPr>
        <w:t xml:space="preserve">[Their] approach is more like gross anatomy than like physiology… that is, the gross anatomy is frozen, rather than in motion.</w:t>
      </w:r>
      <w:r>
        <w:rPr>
          <w:i/>
          <w:iCs/>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
          <w:iCs/>
        </w:rPr>
        <w:t xml:space="preserve">structural</w:t>
      </w:r>
      <w:r>
        <w:t xml:space="preserve"> </w:t>
      </w:r>
      <w:r>
        <w:t xml:space="preserve">food-web models in their introduction… so how I see it that means that there has always been this inherent acknowledgement that models are function at a specific</w:t>
      </w:r>
      <w:r>
        <w:t xml:space="preserve"> </w:t>
      </w:r>
      <w:r>
        <w:t xml:space="preserve">‘</w:t>
      </w:r>
      <w:r>
        <w:t xml:space="preserve">network level</w:t>
      </w:r>
      <w:r>
        <w:t xml:space="preserve">’</w:t>
      </w:r>
      <w:r>
        <w:t xml:space="preserve">.</w:t>
      </w:r>
    </w:p>
    <w:bookmarkEnd w:id="20"/>
    <w:bookmarkStart w:id="21" w:name="the-history-behind-the-approach"/>
    <w:p>
      <w:pPr>
        <w:pStyle w:val="Heading4"/>
      </w:pPr>
      <w:r>
        <w:t xml:space="preserve">1.1.2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
          <w:iCs/>
        </w:rPr>
        <w:t xml:space="preserve">i.e.,</w:t>
      </w:r>
      <w:r>
        <w:t xml:space="preserve"> </w:t>
      </w:r>
      <w:r>
        <w:t xml:space="preserve">species</w:t>
      </w:r>
      <w:r>
        <w:t xml:space="preserve"> </w:t>
      </w:r>
      <w:r>
        <w:rPr>
          <w:i/>
          <w:iCs/>
        </w:rPr>
        <w:t xml:space="preserve">a</w:t>
      </w:r>
      <w:r>
        <w:t xml:space="preserve"> </w:t>
      </w:r>
      <w:r>
        <w:t xml:space="preserve">has the capacity to eat species</w:t>
      </w:r>
      <w:r>
        <w:t xml:space="preserve"> </w:t>
      </w:r>
      <w:r>
        <w:rPr>
          <w:i/>
          <w:iCs/>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
          <w:iCs/>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
          <w:iCs/>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
          <w:iCs/>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
          <w:iCs/>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1"/>
    <w:bookmarkEnd w:id="22"/>
    <w:bookmarkEnd w:id="23"/>
    <w:bookmarkStart w:id="31" w:name="sec-data-methods"/>
    <w:p>
      <w:pPr>
        <w:pStyle w:val="Heading2"/>
      </w:pPr>
      <w:r>
        <w:t xml:space="preserve">2 Data &amp; Methods</w:t>
      </w:r>
    </w:p>
    <w:bookmarkStart w:id="27" w:name="overview-of-models"/>
    <w:p>
      <w:pPr>
        <w:pStyle w:val="Heading3"/>
      </w:pPr>
      <w:r>
        <w:t xml:space="preserve">2.1 Overview of models</w:t>
      </w:r>
    </w:p>
    <w:bookmarkStart w:id="24" w:name="structural-models"/>
    <w:p>
      <w:pPr>
        <w:pStyle w:val="Heading4"/>
      </w:pPr>
      <w:r>
        <w:t xml:space="preserve">2.1.1 Structural models</w:t>
      </w:r>
    </w:p>
    <w:p>
      <w:pPr>
        <w:pStyle w:val="FirstParagraph"/>
      </w:pPr>
      <w:r>
        <w:rPr>
          <w:b/>
          <w:bCs/>
        </w:rPr>
        <w:t xml:space="preserve">Random model</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
          <w:bCs/>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
          <w:iCs/>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
          <w:iCs/>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
          <w:bCs/>
        </w:rPr>
        <w:t xml:space="preserve">Niche model</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
          <w:bCs/>
        </w:rPr>
        <w:t xml:space="preserve">Nested hierarchy model</w:t>
      </w:r>
      <w:r>
        <w:t xml:space="preserve"> </w:t>
      </w:r>
      <w:r>
        <w:t xml:space="preserve">(Cattin et al. 2004)</w:t>
      </w:r>
      <w:r>
        <w:t xml:space="preserve">:</w:t>
      </w:r>
    </w:p>
    <w:p>
      <w:pPr>
        <w:pStyle w:val="BlockText"/>
      </w:pPr>
      <w:r>
        <w:t xml:space="preserve">Gravel et al. (2013)</w:t>
      </w:r>
      <w:r>
        <w:t xml:space="preserve"> </w:t>
      </w:r>
      <w:r>
        <w:t xml:space="preserve">also poses an interesting cross-over between the adbm and niche model.</w:t>
      </w:r>
    </w:p>
    <w:bookmarkEnd w:id="24"/>
    <w:bookmarkStart w:id="26" w:name="mechanistic-models"/>
    <w:p>
      <w:pPr>
        <w:pStyle w:val="Heading4"/>
      </w:pPr>
      <w:r>
        <w:t xml:space="preserve">2.1.2 Mechanistic models</w:t>
      </w:r>
    </w:p>
    <w:p>
      <w:pPr>
        <w:pStyle w:val="FirstParagraph"/>
      </w:pPr>
      <w:r>
        <w:rPr>
          <w:b/>
          <w:bCs/>
        </w:rPr>
        <w:t xml:space="preserve">Allometric diet breadth model (ADBM)</w:t>
      </w:r>
      <w:r>
        <w:t xml:space="preserve"> </w:t>
      </w:r>
      <w:r>
        <w:t xml:space="preserve">(Petchey et al. 2008)</w:t>
      </w:r>
      <w:r>
        <w:t xml:space="preserve">:</w:t>
      </w:r>
      <w:r>
        <w:t xml:space="preserve"> </w:t>
      </w:r>
      <w:r>
        <w:t xml:space="preserve">“</w:t>
      </w:r>
      <w:r>
        <w:t xml:space="preserve">Our modelling effort therefore asks how well our model can predict the arrangement rather than the number of feeding links in food webs.</w:t>
      </w:r>
      <w:r>
        <w:t xml:space="preserve">”</w:t>
      </w:r>
      <w:r>
        <w:t xml:space="preserve"> </w:t>
      </w:r>
      <w:r>
        <w:t xml:space="preserve">This is a scaled version of the diet breadth model</w:t>
      </w:r>
      <w:r>
        <w:t xml:space="preserve"> </w:t>
      </w:r>
      <w:r>
        <w:t xml:space="preserve">(Beckerman, Petchey, and Warren 2006)</w:t>
      </w:r>
    </w:p>
    <w:p>
      <w:pPr>
        <w:pStyle w:val="BodyText"/>
      </w:pPr>
      <w:r>
        <w:rPr>
          <w:b/>
          <w:bCs/>
        </w:rPr>
        <w:t xml:space="preserve">Log-ratio</w:t>
      </w:r>
      <w:r>
        <w:t xml:space="preserve"> </w:t>
      </w:r>
      <w:r>
        <w:t xml:space="preserve">(Rohr et al. 2010)</w:t>
      </w:r>
      <w:r>
        <w:t xml:space="preserve">: Interestingly often used in paleo settings (at least that’s what it currently looks like in my mind…</w:t>
      </w:r>
      <w:r>
        <w:t xml:space="preserve"> </w:t>
      </w:r>
      <w:r>
        <w:t xml:space="preserve">Pires et al. (2020)</w:t>
      </w:r>
      <w:r>
        <w:t xml:space="preserve">)</w:t>
      </w:r>
    </w:p>
    <w:p>
      <w:pPr>
        <w:pStyle w:val="BodyText"/>
      </w:pPr>
      <w:r>
        <w:rPr>
          <w:b/>
          <w:bCs/>
        </w:rPr>
        <w:t xml:space="preserve">Matching</w:t>
      </w:r>
      <w:r>
        <w:t xml:space="preserve"> </w:t>
      </w:r>
      <w:r>
        <w:t xml:space="preserve">(Rossberg et al. 2006)</w:t>
      </w:r>
      <w:r>
        <w:t xml:space="preserve">: This one is more of a dynamic model (so BEF) and maybe beyond the scope of this work. I think there is value on only focusing on the</w:t>
      </w:r>
      <w:r>
        <w:t xml:space="preserve"> </w:t>
      </w:r>
      <w:r>
        <w:t xml:space="preserve">‘</w:t>
      </w:r>
      <w:r>
        <w:t xml:space="preserve">static</w:t>
      </w:r>
      <w:r>
        <w:t xml:space="preserve">’</w:t>
      </w:r>
      <w:r>
        <w:t xml:space="preserve"> </w:t>
      </w:r>
      <w:r>
        <w:t xml:space="preserve">models at this point (probably have said this before elsewhere but yeah)</w:t>
      </w:r>
    </w:p>
    <w:p>
      <w:pPr>
        <w:pStyle w:val="BodyText"/>
      </w:pPr>
      <w:r>
        <w:rPr>
          <w:b/>
          <w:bCs/>
        </w:rPr>
        <w:t xml:space="preserve">PFIM</w:t>
      </w:r>
      <w:r>
        <w:t xml:space="preserve"> </w:t>
      </w:r>
      <w:r>
        <w:t xml:space="preserve">(Shaw et al. 2024)</w:t>
      </w:r>
      <w:r>
        <w:t xml:space="preserve">:</w:t>
      </w:r>
    </w:p>
    <w:p>
      <w:pPr>
        <w:pStyle w:val="BodyText"/>
      </w:pPr>
      <w:r>
        <w:rPr>
          <w:b/>
          <w:bCs/>
        </w:rPr>
        <w:t xml:space="preserve">Trait-based</w:t>
      </w:r>
      <w:r>
        <w:t xml:space="preserve"> </w:t>
      </w:r>
      <w:r>
        <w:t xml:space="preserve">(Caron et al. 2022)</w:t>
      </w:r>
      <w:r>
        <w:t xml:space="preserve">:</w:t>
      </w:r>
    </w:p>
    <w:p>
      <w:pPr>
        <w:pStyle w:val="BodyText"/>
      </w:pPr>
      <w:r>
        <w:rPr>
          <w:b/>
          <w:bCs/>
        </w:rPr>
        <w:t xml:space="preserve">Graph embedding</w:t>
      </w:r>
      <w:r>
        <w:t xml:space="preserve"> </w:t>
      </w:r>
      <w:r>
        <w:t xml:space="preserve">(Strydom et al. 2022, 2023)</w:t>
      </w:r>
      <w:r>
        <w:t xml:space="preserve">: At a high level graph embedding focuses on capturing the structural data of a network as opposed to a list of pairwise (</w:t>
      </w:r>
      <w:r>
        <w:rPr>
          <w:i/>
          <w:iCs/>
        </w:rPr>
        <w:t xml:space="preserve">i.e.,</w:t>
      </w:r>
      <w:r>
        <w:t xml:space="preserve"> </w:t>
      </w:r>
      <w:r>
        <w:t xml:space="preserve">mechanistic) interactions. Here specifically the embedding is preformed on a known interaction network and captures information as to where species (nodes) are positioned in a network</w:t>
      </w:r>
      <w:r>
        <w:t xml:space="preserve"> </w:t>
      </w:r>
      <w:r>
        <w:rPr>
          <w:i/>
          <w:iCs/>
        </w:rPr>
        <w:t xml:space="preserve">e.g.,</w:t>
      </w:r>
      <w:r>
        <w:t xml:space="preserve"> </w:t>
      </w:r>
      <w:r>
        <w:t xml:space="preserve">are they basal prey species or top predators, similar to the log ratio model. In</w:t>
      </w:r>
      <w:r>
        <w:t xml:space="preserve"> </w:t>
      </w:r>
      <w:r>
        <w:t xml:space="preserve">Strydom et al. (2022)</w:t>
      </w:r>
      <w:r>
        <w:t xml:space="preserve"> </w:t>
      </w:r>
      <w:r>
        <w:t xml:space="preserve">the products of the embedding process are fed into a transfer learning framework for novel prediction…</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jc w:val="left"/>
        <w:tblLayout w:type="fixed"/>
        <w:tblLook w:firstRow="0" w:lastRow="0" w:firstColumn="0" w:lastColumn="0" w:noHBand="0" w:noVBand="0" w:val="0000"/>
      </w:tblPr>
      <w:tblGrid>
        <w:gridCol w:w="7920"/>
      </w:tblGrid>
      <w:tr>
        <w:tc>
          <w:tcPr/>
          <w:bookmarkStart w:id="25" w:name="tbl-history"/>
          <w:p>
            <w:pPr>
              <w:jc w:val="center"/>
            </w:pPr>
            <w:pPr>
              <w:jc w:val="start"/>
              <w:spacing w:before="200"/>
              <w:pStyle w:val="ImageCaption"/>
            </w:pPr>
            <w:r>
              <w:t xml:space="preserve">Table 1: Lets make a table that gives an overview of the different topology generators that we will look at. Here I take</w:t>
            </w:r>
            <w:r>
              <w:t xml:space="preserve"> </w:t>
            </w:r>
            <w:r>
              <w:t xml:space="preserve">‘</w:t>
            </w:r>
            <w:r>
              <w:t xml:space="preserve">data-driven</w:t>
            </w:r>
            <w:r>
              <w:t xml:space="preserve">’</w:t>
            </w:r>
            <w:r>
              <w:t xml:space="preserve"> </w:t>
            </w:r>
            <w:r>
              <w:t xml:space="preserve">to refer to the need for</w:t>
            </w:r>
            <w:r>
              <w:t xml:space="preserve"> </w:t>
            </w:r>
            <w:r>
              <w:t xml:space="preserve">‘</w:t>
            </w:r>
            <w:r>
              <w:t xml:space="preserve">real world</w:t>
            </w:r>
            <w:r>
              <w:t xml:space="preserve">’</w:t>
            </w:r>
            <w:r>
              <w:t xml:space="preserve"> </w:t>
            </w:r>
            <w:r>
              <w:t xml:space="preserve">data. This can probably be approached in a different way though maybe?</w:t>
            </w:r>
          </w:p>
          <w:tbl>
            <w:tblPr>
              <w:tblStyle w:val="Table"/>
              <w:tblW w:type="pct" w:w="5000"/>
              <w:jc w:val="left"/>
              <w:tblLayout w:type="fixed"/>
              <w:tblLook w:firstRow="1" w:lastRow="0" w:firstColumn="0" w:lastColumn="0" w:noHBand="0" w:noVBand="0" w:val="0020"/>
            </w:tblPr>
            <w:tblGrid>
              <w:gridCol w:w="1750"/>
              <w:gridCol w:w="1333"/>
              <w:gridCol w:w="1083"/>
              <w:gridCol w:w="1500"/>
              <w:gridCol w:w="1167"/>
              <w:gridCol w:w="1083"/>
            </w:tblGrid>
            <w:tr>
              <w:trPr>
                <w:tblHeader w:val="on"/>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End product</w:t>
                  </w:r>
                </w:p>
              </w:tc>
              <w:tc>
                <w:tcPr/>
                <w:p>
                  <w:pPr>
                    <w:pStyle w:val="Compact"/>
                    <w:jc w:val="left"/>
                    <w:jc w:val="center"/>
                  </w:pPr>
                  <w:r>
                    <w:t xml:space="preserve">Specificity</w:t>
                  </w:r>
                </w:p>
              </w:tc>
              <w:tc>
                <w:tcPr/>
                <w:p>
                  <w:pPr>
                    <w:pStyle w:val="Compact"/>
                    <w:jc w:val="left"/>
                    <w:jc w:val="center"/>
                  </w:pPr>
                  <w:r>
                    <w:t xml:space="preserve">Interaction</w:t>
                  </w:r>
                </w:p>
              </w:tc>
              <w:tc>
                <w:tcPr/>
                <w:p>
                  <w:pPr>
                    <w:pStyle w:val="Compact"/>
                    <w:jc w:val="left"/>
                    <w:jc w:val="center"/>
                  </w:pPr>
                  <w:r>
                    <w:t xml:space="preserve">Data-driven</w:t>
                  </w:r>
                </w:p>
              </w:tc>
            </w:tr>
            <w:tr>
              <w:tc>
                <w:tcPr/>
                <w:p>
                  <w:pPr>
                    <w:pStyle w:val="Compact"/>
                    <w:jc w:val="left"/>
                    <w:jc w:val="center"/>
                  </w:pPr>
                  <w:r>
                    <w:t xml:space="preserve">random</w:t>
                  </w:r>
                </w:p>
              </w:tc>
              <w:tc>
                <w:tcPr/>
                <w:p>
                  <w:pPr>
                    <w:pStyle w:val="Compact"/>
                    <w:jc w:val="left"/>
                    <w:jc w:val="center"/>
                  </w:pPr>
                  <w:r>
                    <w:t xml:space="preserve">random</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pPr>
                </w:p>
              </w:tc>
              <w:tc>
                <w:tcPr/>
                <w:p>
                  <w:pPr>
                    <w:pStyle w:val="Compact"/>
                    <w:jc w:val="left"/>
                    <w:jc w:val="center"/>
                  </w:pPr>
                  <w:r>
                    <w:t xml:space="preserve">energetics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log-ratio</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metaweb</w:t>
                  </w:r>
                </w:p>
              </w:tc>
              <w:tc>
                <w:tcPr/>
                <w:p>
                  <w:pPr>
                    <w:pStyle w:val="Compact"/>
                    <w:jc w:val="left"/>
                    <w:jc w:val="center"/>
                  </w:pPr>
                  <w:r>
                    <w:t xml:space="preserve">evolutionary</w:t>
                  </w:r>
                </w:p>
              </w:tc>
              <w:tc>
                <w:tcPr/>
                <w:p>
                  <w:pPr>
                    <w:pStyle w:val="Compact"/>
                    <w:jc w:val="left"/>
                    <w:jc w:val="center"/>
                  </w:pPr>
                  <w:r>
                    <w:t xml:space="preserve">probabilistic</w:t>
                  </w:r>
                </w:p>
              </w:tc>
              <w:tc>
                <w:tcPr/>
                <w:p>
                  <w:pPr>
                    <w:pStyle w:val="Compact"/>
                    <w:jc w:val="left"/>
                    <w:jc w:val="center"/>
                  </w:pPr>
                  <w:r>
                    <w:t xml:space="preserve">yes</w:t>
                  </w: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jc w:val="left"/>
                    <w:jc w:val="center"/>
                  </w:pPr>
                  <w:r>
                    <w:t xml:space="preserve">trait based</w:t>
                  </w:r>
                </w:p>
              </w:tc>
              <w:tc>
                <w:tcPr/>
                <w:p>
                  <w:pPr>
                    <w:pStyle w:val="Compact"/>
                  </w:pPr>
                </w:p>
              </w:tc>
              <w:tc>
                <w:tcPr/>
                <w:p>
                  <w:pPr>
                    <w:pStyle w:val="Compact"/>
                    <w:jc w:val="left"/>
                    <w:jc w:val="center"/>
                  </w:pPr>
                  <w:r>
                    <w:t xml:space="preserve">yes</w:t>
                  </w:r>
                </w:p>
              </w:tc>
            </w:tr>
            <w:tr>
              <w:tc>
                <w:tcPr/>
                <w:p>
                  <w:pPr>
                    <w:pStyle w:val="Compact"/>
                    <w:jc w:val="left"/>
                    <w:jc w:val="center"/>
                  </w:pPr>
                  <w:r>
                    <w:t xml:space="preserve">matching</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6"/>
    <w:bookmarkEnd w:id="27"/>
    <w:bookmarkStart w:id="28" w:name="datasets-used"/>
    <w:p>
      <w:pPr>
        <w:pStyle w:val="Heading3"/>
      </w:pPr>
      <w:r>
        <w:t xml:space="preserve">2.2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
          <w:iCs/>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
          <w:iCs/>
        </w:rPr>
        <w:t xml:space="preserve">sensu</w:t>
      </w:r>
      <w:r>
        <w:t xml:space="preserve"> </w:t>
      </w:r>
      <w:r>
        <w:t xml:space="preserve">Caron et al. (2023)</w:t>
      </w:r>
      <w:r>
        <w:t xml:space="preserve">. Although having said that I feel that contradicts the idea of backbones (</w:t>
      </w:r>
      <w:r>
        <w:rPr>
          <w:i/>
          <w:iCs/>
        </w:rPr>
        <w:t xml:space="preserve">sensu</w:t>
      </w:r>
      <w:r>
        <w:t xml:space="preserve"> </w:t>
      </w:r>
      <w:r>
        <w:t xml:space="preserve">Bramon Mora (sp?) et al &amp; Stouffer et al) But that might be where we get the idea of core</w:t>
      </w:r>
      <w:r>
        <w:t xml:space="preserve"> </w:t>
      </w:r>
      <w:r>
        <w:rPr>
          <w:i/>
          <w:iCs/>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8"/>
    <w:bookmarkStart w:id="30" w:name="comparing-different-models"/>
    <w:p>
      <w:pPr>
        <w:pStyle w:val="Heading3"/>
      </w:pPr>
      <w:r>
        <w:t xml:space="preserve">2.3 Comparing different models</w:t>
      </w:r>
    </w:p>
    <w:p>
      <w:pPr>
        <w:pStyle w:val="FirstParagraph"/>
      </w:pPr>
      <w:r>
        <w:t xml:space="preserve">For now the (still essentially pending) workflow/associated code can be found at the following repository</w:t>
      </w:r>
      <w:r>
        <w:t xml:space="preserve"> </w:t>
      </w:r>
      <w:hyperlink r:id="rId29">
        <w:r>
          <w:rPr>
            <w:rStyle w:val="Hyperlink"/>
          </w:rPr>
          <w:t xml:space="preserve">BecksLab/topology_generators</w:t>
        </w:r>
      </w:hyperlink>
    </w:p>
    <w:p>
      <w:pPr>
        <w:pStyle w:val="Compact"/>
        <w:numPr>
          <w:ilvl w:val="0"/>
          <w:numId w:val="1001"/>
        </w:numPr>
      </w:pPr>
      <w:r>
        <w:t xml:space="preserve">Shortlist/finalise the different topo generators</w:t>
      </w:r>
    </w:p>
    <w:p>
      <w:pPr>
        <w:pStyle w:val="Compact"/>
        <w:numPr>
          <w:ilvl w:val="0"/>
          <w:numId w:val="1001"/>
        </w:numPr>
      </w:pPr>
      <w:r>
        <w:t xml:space="preserve">collate/translate into</w:t>
      </w:r>
      <w:r>
        <w:t xml:space="preserve"> </w:t>
      </w:r>
      <w:r>
        <w:rPr>
          <w:rStyle w:val="VerbatimChar"/>
        </w:rPr>
        <w:t xml:space="preserve">Julia</w:t>
      </w:r>
    </w:p>
    <w:p>
      <w:pPr>
        <w:pStyle w:val="Compact"/>
        <w:numPr>
          <w:ilvl w:val="1"/>
          <w:numId w:val="1002"/>
        </w:numPr>
      </w:pPr>
      <w:r>
        <w:rPr>
          <w:i/>
          <w:iCs/>
        </w:rPr>
        <w:t xml:space="preserve">e.g.,</w:t>
      </w:r>
      <w:r>
        <w:t xml:space="preserve"> </w:t>
      </w:r>
      <w:r>
        <w:t xml:space="preserve">some models wil be in SpeciesInteractionNetworks.jl (new EcoNet); I know (parts of) the transfer learning stuff is and the niche model</w:t>
      </w:r>
    </w:p>
    <w:p>
      <w:pPr>
        <w:pStyle w:val="Compact"/>
        <w:numPr>
          <w:ilvl w:val="1"/>
          <w:numId w:val="1002"/>
        </w:numPr>
      </w:pPr>
      <w:r>
        <w:t xml:space="preserve">others will need to be coded out (the more simpler models should be easier)</w:t>
      </w:r>
    </w:p>
    <w:p>
      <w:pPr>
        <w:pStyle w:val="Compact"/>
        <w:numPr>
          <w:ilvl w:val="1"/>
          <w:numId w:val="1002"/>
        </w:numPr>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pStyle w:val="Compact"/>
        <w:numPr>
          <w:ilvl w:val="0"/>
          <w:numId w:val="1001"/>
        </w:numPr>
      </w:pPr>
      <w:r>
        <w:t xml:space="preserve">Curate networks for the different datasets/scenarios we select - I feel like there might be some scenarios that we can’t do all models for all datasets but maybe I’m being a pessimist.</w:t>
      </w:r>
    </w:p>
    <w:p>
      <w:pPr>
        <w:pStyle w:val="Compact"/>
        <w:numPr>
          <w:ilvl w:val="1"/>
          <w:numId w:val="1003"/>
        </w:numPr>
      </w:pPr>
      <w:r>
        <w:t xml:space="preserve">Need to also think about where one might find the additional data for some of the models…</w:t>
      </w:r>
    </w:p>
    <w:p>
      <w:pPr>
        <w:pStyle w:val="Compact"/>
        <w:numPr>
          <w:ilvl w:val="2"/>
          <w:numId w:val="1004"/>
        </w:numPr>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pStyle w:val="Compact"/>
        <w:numPr>
          <w:ilvl w:val="2"/>
          <w:numId w:val="1004"/>
        </w:numPr>
      </w:pPr>
      <w:r>
        <w:t xml:space="preserve">Other trait sources:</w:t>
      </w:r>
      <w:r>
        <w:t xml:space="preserve"> </w:t>
      </w:r>
      <w:r>
        <w:t xml:space="preserve">Wilman et al. (2014)</w:t>
      </w:r>
      <w:r>
        <w:t xml:space="preserve"> </w:t>
      </w:r>
      <w:r>
        <w:t xml:space="preserve">and</w:t>
      </w:r>
      <w:r>
        <w:t xml:space="preserve"> </w:t>
      </w:r>
      <w:r>
        <w:t xml:space="preserve">Jones et al. (2009)</w:t>
      </w:r>
    </w:p>
    <w:p>
      <w:pPr>
        <w:pStyle w:val="Compact"/>
        <w:numPr>
          <w:ilvl w:val="2"/>
          <w:numId w:val="1004"/>
        </w:numPr>
      </w:pPr>
      <w:r>
        <w:t xml:space="preserve">This is where we’ll get the paleo traits from if I’m correct</w:t>
      </w:r>
      <w:r>
        <w:t xml:space="preserve"> </w:t>
      </w:r>
      <w:r>
        <w:t xml:space="preserve">Bambach, Bush, and Erwin (2007)</w:t>
      </w:r>
    </w:p>
    <w:p>
      <w:pPr>
        <w:pStyle w:val="Compact"/>
        <w:numPr>
          <w:ilvl w:val="2"/>
          <w:numId w:val="1004"/>
        </w:numPr>
      </w:pPr>
      <w:r>
        <w:t xml:space="preserve">Phylogeny stuff:</w:t>
      </w:r>
      <w:r>
        <w:t xml:space="preserve"> </w:t>
      </w:r>
      <w:r>
        <w:t xml:space="preserve">Upham, Esselstyn, and Jetz (2019)</w:t>
      </w:r>
      <w:r>
        <w:t xml:space="preserve"> </w:t>
      </w:r>
      <w:r>
        <w:t xml:space="preserve">(what we used for TL but its only mammals…) but I’m sure there will be others</w:t>
      </w:r>
    </w:p>
    <w:p>
      <w:pPr>
        <w:pStyle w:val="Compact"/>
        <w:numPr>
          <w:ilvl w:val="1"/>
          <w:numId w:val="1003"/>
        </w:numPr>
      </w:pPr>
      <w:r>
        <w:t xml:space="preserve">Also limitation of scope…</w:t>
      </w:r>
      <w:r>
        <w:t xml:space="preserve"> </w:t>
      </w:r>
      <w:r>
        <w:rPr>
          <w:i/>
          <w:iCs/>
        </w:rPr>
        <w:t xml:space="preserve">e.g.,</w:t>
      </w:r>
      <w:r>
        <w:t xml:space="preserve"> </w:t>
      </w:r>
      <w:r>
        <w:t xml:space="preserve">do we even dare to think about including plants/basal producers (see</w:t>
      </w:r>
      <w:r>
        <w:t xml:space="preserve"> </w:t>
      </w:r>
      <w:r>
        <w:rPr>
          <w:i/>
          <w:iCs/>
        </w:rPr>
        <w:t xml:space="preserve">e.g.,</w:t>
      </w:r>
      <w:r>
        <w:t xml:space="preserve"> </w:t>
      </w:r>
      <w:r>
        <w:t xml:space="preserve">Valdovinos et al. (2023)</w:t>
      </w:r>
      <w:r>
        <w:t xml:space="preserve">)</w:t>
      </w:r>
    </w:p>
    <w:p>
      <w:pPr>
        <w:pStyle w:val="Compact"/>
        <w:numPr>
          <w:ilvl w:val="1"/>
          <w:numId w:val="1003"/>
        </w:numPr>
      </w:pPr>
      <w:r>
        <w:t xml:space="preserve">Taxonomic harmonisation - something to think about and check</w:t>
      </w:r>
    </w:p>
    <w:p>
      <w:pPr>
        <w:pStyle w:val="Compact"/>
        <w:numPr>
          <w:ilvl w:val="0"/>
          <w:numId w:val="1001"/>
        </w:numPr>
      </w:pPr>
      <w:r>
        <w:t xml:space="preserve">compare model performance based on the ideas currently listed in the results section.</w:t>
      </w:r>
    </w:p>
    <w:p>
      <w:pPr>
        <w:pStyle w:val="Compact"/>
        <w:numPr>
          <w:ilvl w:val="0"/>
          <w:numId w:val="1001"/>
        </w:numPr>
      </w:pPr>
      <w:r>
        <w:t xml:space="preserve">Make a pretty picture that summarises things - maybe overlapping Venn circles that showcase which models do well in the different spheres/aspects of life</w:t>
      </w:r>
    </w:p>
    <w:bookmarkEnd w:id="30"/>
    <w:bookmarkEnd w:id="31"/>
    <w:bookmarkStart w:id="47"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pStyle w:val="Compact"/>
        <w:numPr>
          <w:ilvl w:val="0"/>
          <w:numId w:val="1005"/>
        </w:numPr>
      </w:pPr>
      <w:r>
        <w:t xml:space="preserve">Structural vs pairwise link predictions (graph vs node level)</w:t>
      </w:r>
    </w:p>
    <w:p>
      <w:pPr>
        <w:pStyle w:val="Compact"/>
        <w:numPr>
          <w:ilvl w:val="1"/>
          <w:numId w:val="1006"/>
        </w:numPr>
      </w:pPr>
      <w:r>
        <w:t xml:space="preserve">% of links correctly retrieved</w:t>
      </w:r>
    </w:p>
    <w:p>
      <w:pPr>
        <w:pStyle w:val="Compact"/>
        <w:numPr>
          <w:ilvl w:val="1"/>
          <w:numId w:val="1006"/>
        </w:numPr>
      </w:pPr>
      <w:r>
        <w:t xml:space="preserve">connectance</w:t>
      </w:r>
    </w:p>
    <w:p>
      <w:pPr>
        <w:pStyle w:val="Compact"/>
        <w:numPr>
          <w:ilvl w:val="1"/>
          <w:numId w:val="1006"/>
        </w:numPr>
      </w:pPr>
      <w:r>
        <w:t xml:space="preserve">trophic level</w:t>
      </w:r>
    </w:p>
    <w:p>
      <w:pPr>
        <w:pStyle w:val="Compact"/>
        <w:numPr>
          <w:ilvl w:val="1"/>
          <w:numId w:val="1006"/>
        </w:numPr>
      </w:pPr>
      <w:r>
        <w:t xml:space="preserve">generalism vs specialism</w:t>
      </w:r>
    </w:p>
    <w:p>
      <w:pPr>
        <w:pStyle w:val="Compact"/>
        <w:numPr>
          <w:ilvl w:val="1"/>
          <w:numId w:val="1006"/>
        </w:numPr>
      </w:pPr>
      <w:r>
        <w:t xml:space="preserve">something related to false positives/negatives</w:t>
      </w:r>
    </w:p>
    <w:p>
      <w:pPr>
        <w:pStyle w:val="Compact"/>
        <w:numPr>
          <w:ilvl w:val="1"/>
          <w:numId w:val="1006"/>
        </w:numPr>
      </w:pPr>
      <w:r>
        <w:t xml:space="preserve">intervality</w:t>
      </w:r>
    </w:p>
    <w:p>
      <w:pPr>
        <w:pStyle w:val="Compact"/>
        <w:numPr>
          <w:ilvl w:val="0"/>
          <w:numId w:val="1005"/>
        </w:numPr>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pStyle w:val="Compact"/>
        <w:numPr>
          <w:ilvl w:val="0"/>
          <w:numId w:val="1005"/>
        </w:numPr>
      </w:pPr>
      <w:r>
        <w:t xml:space="preserve">I think it would be remiss to not also take into consideration computational cost</w:t>
      </w:r>
    </w:p>
    <w:p>
      <w:pPr>
        <w:pStyle w:val="Compact"/>
        <w:numPr>
          <w:ilvl w:val="0"/>
          <w:numId w:val="1005"/>
        </w:numPr>
      </w:pPr>
      <w:r>
        <w:t xml:space="preserve">something about the network output - I’m acknowledging my biases and saying that probabilistic (or</w:t>
      </w:r>
      <w:r>
        <w:t xml:space="preserve"> </w:t>
      </w:r>
      <w:r>
        <w:rPr>
          <w:i/>
          <w:iCs/>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
          <w:iCs/>
        </w:rPr>
        <w:t xml:space="preserve">E.g.,</w:t>
      </w:r>
      <w:r>
        <w:t xml:space="preserve"> </w:t>
      </w:r>
      <w:r>
        <w:t xml:space="preserve">local scale predictions, regional scale predictions, pairwise interactions, structural (energetics), computationally cheap, low cost data</w:t>
      </w:r>
    </w:p>
    <w:bookmarkStart w:id="41" w:name="qualitative-stuff"/>
    <w:p>
      <w:pPr>
        <w:pStyle w:val="Heading3"/>
      </w:pPr>
      <w:r>
        <w:t xml:space="preserve">3.1 Qualitative stuff</w:t>
      </w:r>
    </w:p>
    <w:tbl>
      <w:tblPr>
        <w:tblStyle w:val="Table"/>
        <w:tblW w:type="pct" w:w="5000"/>
        <w:jc w:val="left"/>
        <w:tblLayout w:type="fixed"/>
        <w:tblLook w:firstRow="0" w:lastRow="0" w:firstColumn="0" w:lastColumn="0" w:noHBand="0" w:noVBand="0" w:val="0000"/>
      </w:tblPr>
      <w:tblGrid>
        <w:gridCol w:w="7920"/>
      </w:tblGrid>
      <w:tr>
        <w:tc>
          <w:tcPr/>
          <w:bookmarkStart w:id="35" w:name="fig-venn"/>
          <w:p>
            <w:pPr>
              <w:pStyle w:val="Compact"/>
              <w:jc w:val="center"/>
            </w:pPr>
            <w:r>
              <w:drawing>
                <wp:inline>
                  <wp:extent cx="5334000" cy="3810000"/>
                  <wp:effectExtent b="0" l="0" r="0" t="0"/>
                  <wp:docPr descr="" title="" id="33" name="Picture"/>
                  <a:graphic>
                    <a:graphicData uri="http://schemas.openxmlformats.org/drawingml/2006/picture">
                      <pic:pic>
                        <pic:nvPicPr>
                          <pic:cNvPr descr="index_files/figure-docx/notebooks-model_qualitative-fig-venn-output-1.png" id="34"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Venn diagram for qualitative analysis/overview of the fancy maths things</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p>
      <w:pPr>
        <w:pStyle w:val="BodyText"/>
      </w:pPr>
      <w:r>
        <w:t xml:space="preserve">See also</w:t>
      </w:r>
    </w:p>
    <w:tbl>
      <w:tblPr>
        <w:tblStyle w:val="Table"/>
        <w:tblW w:type="pct" w:w="5000"/>
        <w:jc w:val="left"/>
        <w:tblLayout w:type="fixed"/>
        <w:tblLook w:firstRow="0" w:lastRow="0" w:firstColumn="0" w:lastColumn="0" w:noHBand="0" w:noVBand="0" w:val="0000"/>
      </w:tblPr>
      <w:tblGrid>
        <w:gridCol w:w="7920"/>
      </w:tblGrid>
      <w:tr>
        <w:tc>
          <w:tcPr/>
          <w:bookmarkStart w:id="40" w:name="fig-nmds"/>
          <w:p>
            <w:pPr>
              <w:pStyle w:val="Compact"/>
              <w:jc w:val="center"/>
            </w:pPr>
            <w:r>
              <w:drawing>
                <wp:inline>
                  <wp:extent cx="5334000" cy="3810000"/>
                  <wp:effectExtent b="0" l="0" r="0" t="0"/>
                  <wp:docPr descr="" title="" id="38" name="Picture"/>
                  <a:graphic>
                    <a:graphicData uri="http://schemas.openxmlformats.org/drawingml/2006/picture">
                      <pic:pic>
                        <pic:nvPicPr>
                          <pic:cNvPr descr="index_files/figure-docx/notebooks-model_qualitative-fig-nmds-output-1.png" id="39"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NMDS of things</w:t>
            </w:r>
          </w:p>
          <w:bookmarkEnd w:id="40"/>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End w:id="41"/>
    <w:bookmarkStart w:id="46" w:name="quantitative-stuff"/>
    <w:p>
      <w:pPr>
        <w:pStyle w:val="Heading3"/>
      </w:pPr>
      <w:r>
        <w:t xml:space="preserve">3.2 Quantitative stuff</w:t>
      </w:r>
    </w:p>
    <w:tbl>
      <w:tblPr>
        <w:tblStyle w:val="Table"/>
        <w:tblW w:type="pct" w:w="5000"/>
        <w:jc w:val="left"/>
        <w:tblLayout w:type="fixed"/>
        <w:tblLook w:firstRow="0" w:lastRow="0" w:firstColumn="0" w:lastColumn="0" w:noHBand="0" w:noVBand="0" w:val="0000"/>
      </w:tblPr>
      <w:tblGrid>
        <w:gridCol w:w="7920"/>
      </w:tblGrid>
      <w:tr>
        <w:tc>
          <w:tcPr/>
          <w:bookmarkStart w:id="45" w:name="fig-topology"/>
          <w:p>
            <w:pPr>
              <w:pStyle w:val="Compact"/>
              <w:jc w:val="center"/>
            </w:pPr>
            <w:r>
              <w:drawing>
                <wp:inline>
                  <wp:extent cx="5334000" cy="3810000"/>
                  <wp:effectExtent b="0" l="0" r="0" t="0"/>
                  <wp:docPr descr="" title="" id="43" name="Picture"/>
                  <a:graphic>
                    <a:graphicData uri="http://schemas.openxmlformats.org/drawingml/2006/picture">
                      <pic:pic>
                        <pic:nvPicPr>
                          <pic:cNvPr descr="index_files/figure-docx/notebooks-model_quantitative-fig-topology-output-1.png" id="44" name="Picture"/>
                          <pic:cNvPicPr>
                            <a:picLocks noChangeArrowheads="1" noChangeAspect="1"/>
                          </pic:cNvPicPr>
                        </pic:nvPicPr>
                        <pic:blipFill>
                          <a:blip r:embed="rId4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Real vs observed values for network summary statistics. Note here that</w:t>
            </w:r>
            <w:r>
              <w:t xml:space="preserve"> </w:t>
            </w:r>
            <w:r>
              <w:t xml:space="preserve">‘</w:t>
            </w:r>
            <w:r>
              <w:t xml:space="preserve">basal</w:t>
            </w:r>
            <w:r>
              <w:t xml:space="preserve">’</w:t>
            </w:r>
            <w:r>
              <w:t xml:space="preserve"> </w:t>
            </w:r>
            <w:r>
              <w:t xml:space="preserve">is calculated as the proportion of species that have a generality value of zero</w:t>
            </w:r>
            <w:r>
              <w:t xml:space="preserve"> </w:t>
            </w:r>
            <w:r>
              <w:rPr>
                <w:i/>
                <w:iCs/>
              </w:rPr>
              <w:t xml:space="preserve">i.e.,</w:t>
            </w:r>
            <w:r>
              <w:t xml:space="preserve"> </w:t>
            </w:r>
            <w:r>
              <w:t xml:space="preserve">are basal AFAIK</w:t>
            </w:r>
          </w:p>
          <w:bookmarkEnd w:id="4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p>
      <w:pPr>
        <w:pStyle w:val="BodyText"/>
      </w:pPr>
      <w:r>
        <w:t xml:space="preserve">This is actually an awful way to try and summarise the data but rolling with it for now…</w:t>
      </w:r>
    </w:p>
    <w:bookmarkEnd w:id="46"/>
    <w:bookmarkEnd w:id="47"/>
    <w:bookmarkStart w:id="48"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48"/>
    <w:bookmarkStart w:id="116"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Start w:id="115" w:name="refs"/>
    <w:bookmarkStart w:id="50"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
          <w:iCs/>
        </w:rPr>
        <w:t xml:space="preserve">Palaeontology</w:t>
      </w:r>
      <w:r>
        <w:t xml:space="preserve"> </w:t>
      </w:r>
      <w:r>
        <w:t xml:space="preserve">50 (1): 1–22.</w:t>
      </w:r>
      <w:r>
        <w:t xml:space="preserve"> </w:t>
      </w:r>
      <w:hyperlink r:id="rId49">
        <w:r>
          <w:rPr>
            <w:rStyle w:val="Hyperlink"/>
          </w:rPr>
          <w:t xml:space="preserve">https://doi.org/10.1111/j.1475-4983.2006.00611.x</w:t>
        </w:r>
      </w:hyperlink>
      <w:r>
        <w:t xml:space="preserve">.</w:t>
      </w:r>
    </w:p>
    <w:bookmarkEnd w:id="50"/>
    <w:bookmarkStart w:id="52" w:name="ref-beckermanForagingBiologyPredicts2006"/>
    <w:p>
      <w:pPr>
        <w:pStyle w:val="Bibliography"/>
      </w:pPr>
      <w:r>
        <w:t xml:space="preserve">Beckerman, Andrew P., Owen L. Petchey, and Philip H. Warren. 2006.</w:t>
      </w:r>
      <w:r>
        <w:t xml:space="preserve"> </w:t>
      </w:r>
      <w:r>
        <w:t xml:space="preserve">“Foraging Biology Predicts Food Web Complexity.”</w:t>
      </w:r>
      <w:r>
        <w:t xml:space="preserve"> </w:t>
      </w:r>
      <w:r>
        <w:rPr>
          <w:i/>
          <w:iCs/>
        </w:rPr>
        <w:t xml:space="preserve">Proceedings of the National Academy of Sciences</w:t>
      </w:r>
      <w:r>
        <w:t xml:space="preserve"> </w:t>
      </w:r>
      <w:r>
        <w:t xml:space="preserve">103 (37): 13745–49.</w:t>
      </w:r>
      <w:r>
        <w:t xml:space="preserve"> </w:t>
      </w:r>
      <w:hyperlink r:id="rId51">
        <w:r>
          <w:rPr>
            <w:rStyle w:val="Hyperlink"/>
          </w:rPr>
          <w:t xml:space="preserve">https://doi.org/10.1073/pnas.0603039103</w:t>
        </w:r>
      </w:hyperlink>
      <w:r>
        <w:t xml:space="preserve">.</w:t>
      </w:r>
    </w:p>
    <w:bookmarkEnd w:id="52"/>
    <w:bookmarkStart w:id="54"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
          <w:iCs/>
        </w:rPr>
        <w:t xml:space="preserve">Proceedings of the National Academy of Sciences</w:t>
      </w:r>
      <w:r>
        <w:t xml:space="preserve"> </w:t>
      </w:r>
      <w:r>
        <w:t xml:space="preserve">105 (11): 4079–80.</w:t>
      </w:r>
      <w:r>
        <w:t xml:space="preserve"> </w:t>
      </w:r>
      <w:hyperlink r:id="rId53">
        <w:r>
          <w:rPr>
            <w:rStyle w:val="Hyperlink"/>
          </w:rPr>
          <w:t xml:space="preserve">https://doi.org/10.1073/pnas.0800967105</w:t>
        </w:r>
      </w:hyperlink>
      <w:r>
        <w:t xml:space="preserve">.</w:t>
      </w:r>
    </w:p>
    <w:bookmarkEnd w:id="54"/>
    <w:bookmarkStart w:id="56"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w:t>
      </w:r>
      <w:r>
        <w:t xml:space="preserve"> </w:t>
      </w:r>
      <w:hyperlink r:id="rId55">
        <w:r>
          <w:rPr>
            <w:rStyle w:val="Hyperlink"/>
          </w:rPr>
          <w:t xml:space="preserve">https://doi.org/10.32942/X29K55</w:t>
        </w:r>
      </w:hyperlink>
      <w:r>
        <w:t xml:space="preserve">.</w:t>
      </w:r>
    </w:p>
    <w:bookmarkEnd w:id="56"/>
    <w:bookmarkStart w:id="58"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
          <w:iCs/>
        </w:rPr>
        <w:t xml:space="preserve">Ecology Letters</w:t>
      </w:r>
      <w:r>
        <w:t xml:space="preserve"> </w:t>
      </w:r>
      <w:r>
        <w:t xml:space="preserve">25 (4): 889–99.</w:t>
      </w:r>
      <w:r>
        <w:t xml:space="preserve"> </w:t>
      </w:r>
      <w:hyperlink r:id="rId57">
        <w:r>
          <w:rPr>
            <w:rStyle w:val="Hyperlink"/>
          </w:rPr>
          <w:t xml:space="preserve">https://doi.org/10.1111/ele.13966</w:t>
        </w:r>
      </w:hyperlink>
      <w:r>
        <w:t xml:space="preserve">.</w:t>
      </w:r>
    </w:p>
    <w:bookmarkEnd w:id="58"/>
    <w:bookmarkStart w:id="60"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
          <w:iCs/>
        </w:rPr>
        <w:t xml:space="preserve">Nature</w:t>
      </w:r>
      <w:r>
        <w:t xml:space="preserve"> </w:t>
      </w:r>
      <w:r>
        <w:t xml:space="preserve">427 (6977): 835–39.</w:t>
      </w:r>
      <w:r>
        <w:t xml:space="preserve"> </w:t>
      </w:r>
      <w:hyperlink r:id="rId59">
        <w:r>
          <w:rPr>
            <w:rStyle w:val="Hyperlink"/>
          </w:rPr>
          <w:t xml:space="preserve">https://doi.org/10.1038/nature02327</w:t>
        </w:r>
      </w:hyperlink>
      <w:r>
        <w:t xml:space="preserve">.</w:t>
      </w:r>
    </w:p>
    <w:bookmarkEnd w:id="60"/>
    <w:bookmarkStart w:id="61" w:name="ref-cohenCommunityFoodWebs1990"/>
    <w:p>
      <w:pPr>
        <w:pStyle w:val="Bibliography"/>
      </w:pPr>
      <w:r>
        <w:t xml:space="preserve">Cohen, Joel E, Frederic Briand, and Charles Newman. 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Biomathematics.</w:t>
      </w:r>
      <w:r>
        <w:t xml:space="preserve"> </w:t>
      </w:r>
      <w:r>
        <w:t xml:space="preserve">Berlin Heidelberg</w:t>
      </w:r>
      <w:r>
        <w:t xml:space="preserve">:</w:t>
      </w:r>
      <w:r>
        <w:t xml:space="preserve"> </w:t>
      </w:r>
      <w:r>
        <w:t xml:space="preserve">Springer-Verlag</w:t>
      </w:r>
      <w:r>
        <w:t xml:space="preserve">.</w:t>
      </w:r>
    </w:p>
    <w:bookmarkEnd w:id="61"/>
    <w:bookmarkStart w:id="63"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
          <w:iCs/>
        </w:rPr>
        <w:t xml:space="preserve">Proceedings of the Royal Society of London. Series B. Biological Sciences</w:t>
      </w:r>
      <w:r>
        <w:t xml:space="preserve"> </w:t>
      </w:r>
      <w:r>
        <w:t xml:space="preserve">224 (1237): 421–48.</w:t>
      </w:r>
      <w:r>
        <w:t xml:space="preserve"> </w:t>
      </w:r>
      <w:hyperlink r:id="rId62">
        <w:r>
          <w:rPr>
            <w:rStyle w:val="Hyperlink"/>
          </w:rPr>
          <w:t xml:space="preserve">https://doi.org/10.1098/rspb.1985.0042</w:t>
        </w:r>
      </w:hyperlink>
      <w:r>
        <w:t xml:space="preserve">.</w:t>
      </w:r>
    </w:p>
    <w:bookmarkEnd w:id="63"/>
    <w:bookmarkStart w:id="64"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edited by Jennifer A Dunne and Mercedes Pascual, 27–86.</w:t>
      </w:r>
      <w:r>
        <w:t xml:space="preserve"> </w:t>
      </w:r>
      <w:r>
        <w:t xml:space="preserve">Oxford University Press</w:t>
      </w:r>
      <w:r>
        <w:t xml:space="preserve">.</w:t>
      </w:r>
    </w:p>
    <w:bookmarkEnd w:id="64"/>
    <w:bookmarkStart w:id="66"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
          <w:iCs/>
        </w:rPr>
        <w:t xml:space="preserve">PLOS Biology</w:t>
      </w:r>
      <w:r>
        <w:t xml:space="preserve"> </w:t>
      </w:r>
      <w:r>
        <w:t xml:space="preserve">6 (4): e102.</w:t>
      </w:r>
      <w:r>
        <w:t xml:space="preserve"> </w:t>
      </w:r>
      <w:hyperlink r:id="rId65">
        <w:r>
          <w:rPr>
            <w:rStyle w:val="Hyperlink"/>
          </w:rPr>
          <w:t xml:space="preserve">https://doi.org/10.1371/journal.pbio.0060102</w:t>
        </w:r>
      </w:hyperlink>
      <w:r>
        <w:t xml:space="preserve">.</w:t>
      </w:r>
    </w:p>
    <w:bookmarkEnd w:id="66"/>
    <w:bookmarkStart w:id="68"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
          <w:iCs/>
        </w:rPr>
        <w:t xml:space="preserve">Publicationes Mathematicae</w:t>
      </w:r>
      <w:r>
        <w:t xml:space="preserve">.</w:t>
      </w:r>
      <w:r>
        <w:t xml:space="preserve"> </w:t>
      </w:r>
      <w:hyperlink r:id="rId67">
        <w:r>
          <w:rPr>
            <w:rStyle w:val="Hyperlink"/>
          </w:rPr>
          <w:t xml:space="preserve">https://doi.org/10.5486/PMD.1959.6.3-4.12</w:t>
        </w:r>
      </w:hyperlink>
      <w:r>
        <w:t xml:space="preserve">.</w:t>
      </w:r>
    </w:p>
    <w:bookmarkEnd w:id="68"/>
    <w:bookmarkStart w:id="70" w:name="ref-gravelInferringFoodWeb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
          <w:iCs/>
        </w:rPr>
        <w:t xml:space="preserve">Methods in Ecology and Evolution</w:t>
      </w:r>
      <w:r>
        <w:t xml:space="preserve"> </w:t>
      </w:r>
      <w:r>
        <w:t xml:space="preserve">4 (11): 1083–90.</w:t>
      </w:r>
      <w:r>
        <w:t xml:space="preserve"> </w:t>
      </w:r>
      <w:hyperlink r:id="rId69">
        <w:r>
          <w:rPr>
            <w:rStyle w:val="Hyperlink"/>
          </w:rPr>
          <w:t xml:space="preserve">https://doi.org/10.1111/2041-210X.12103</w:t>
        </w:r>
      </w:hyperlink>
      <w:r>
        <w:t xml:space="preserve">.</w:t>
      </w:r>
    </w:p>
    <w:bookmarkEnd w:id="70"/>
    <w:bookmarkStart w:id="72"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
          <w:iCs/>
        </w:rPr>
        <w:t xml:space="preserve">Scientific Data</w:t>
      </w:r>
      <w:r>
        <w:t xml:space="preserve"> </w:t>
      </w:r>
      <w:r>
        <w:t xml:space="preserve">9 (1): 265.</w:t>
      </w:r>
      <w:r>
        <w:t xml:space="preserve"> </w:t>
      </w:r>
      <w:hyperlink r:id="rId71">
        <w:r>
          <w:rPr>
            <w:rStyle w:val="Hyperlink"/>
          </w:rPr>
          <w:t xml:space="preserve">https://doi.org/10.1038/s41597-022-01364-9</w:t>
        </w:r>
      </w:hyperlink>
      <w:r>
        <w:t xml:space="preserve">.</w:t>
      </w:r>
    </w:p>
    <w:bookmarkEnd w:id="72"/>
    <w:bookmarkStart w:id="74"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
          <w:iCs/>
        </w:rPr>
        <w:t xml:space="preserve">Ecology</w:t>
      </w:r>
      <w:r>
        <w:t xml:space="preserve"> </w:t>
      </w:r>
      <w:r>
        <w:t xml:space="preserve">90 (9): 2648–48.</w:t>
      </w:r>
      <w:r>
        <w:t xml:space="preserve"> </w:t>
      </w:r>
      <w:hyperlink r:id="rId73">
        <w:r>
          <w:rPr>
            <w:rStyle w:val="Hyperlink"/>
          </w:rPr>
          <w:t xml:space="preserve">https://doi.org/10.1890/08-1494.1</w:t>
        </w:r>
      </w:hyperlink>
      <w:r>
        <w:t xml:space="preserve">.</w:t>
      </w:r>
    </w:p>
    <w:bookmarkEnd w:id="74"/>
    <w:bookmarkStart w:id="76"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
          <w:iCs/>
        </w:rPr>
        <w:t xml:space="preserve">PLOS Biology</w:t>
      </w:r>
      <w:r>
        <w:t xml:space="preserve"> </w:t>
      </w:r>
      <w:r>
        <w:t xml:space="preserve">14 (9): e1002559.</w:t>
      </w:r>
      <w:r>
        <w:t xml:space="preserve"> </w:t>
      </w:r>
      <w:hyperlink r:id="rId75">
        <w:r>
          <w:rPr>
            <w:rStyle w:val="Hyperlink"/>
          </w:rPr>
          <w:t xml:space="preserve">https://doi.org/10.1371/journal.pbio.1002559</w:t>
        </w:r>
      </w:hyperlink>
      <w:r>
        <w:t xml:space="preserve">.</w:t>
      </w:r>
    </w:p>
    <w:bookmarkEnd w:id="76"/>
    <w:bookmarkStart w:id="78" w:name="X2d6834cb08966b7d5da0c61c80079bb46b07a34"/>
    <w:p>
      <w:pPr>
        <w:pStyle w:val="Bibliography"/>
      </w:pPr>
      <w:r>
        <w:t xml:space="preserve">———. 2016b.</w:t>
      </w:r>
      <w:r>
        <w:t xml:space="preserve"> </w:t>
      </w:r>
      <w:r>
        <w:t xml:space="preserve">“Sampling Networks of Ecological Interactions.”</w:t>
      </w:r>
      <w:r>
        <w:t xml:space="preserve"> </w:t>
      </w:r>
      <w:r>
        <w:rPr>
          <w:i/>
          <w:iCs/>
        </w:rPr>
        <w:t xml:space="preserve">Functional Ecology</w:t>
      </w:r>
      <w:r>
        <w:t xml:space="preserve">, September.</w:t>
      </w:r>
      <w:r>
        <w:t xml:space="preserve"> </w:t>
      </w:r>
      <w:hyperlink r:id="rId77">
        <w:r>
          <w:rPr>
            <w:rStyle w:val="Hyperlink"/>
          </w:rPr>
          <w:t xml:space="preserve">https://doi.org/10.1111/1365-2435.12763</w:t>
        </w:r>
      </w:hyperlink>
      <w:r>
        <w:t xml:space="preserve">.</w:t>
      </w:r>
    </w:p>
    <w:bookmarkEnd w:id="78"/>
    <w:bookmarkStart w:id="80"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
          <w:iCs/>
        </w:rPr>
        <w:t xml:space="preserve">Proceedings of the National Academy of Sciences</w:t>
      </w:r>
      <w:r>
        <w:t xml:space="preserve"> </w:t>
      </w:r>
      <w:r>
        <w:t xml:space="preserve">105 (11): 4191–96.</w:t>
      </w:r>
      <w:r>
        <w:t xml:space="preserve"> </w:t>
      </w:r>
      <w:hyperlink r:id="rId79">
        <w:r>
          <w:rPr>
            <w:rStyle w:val="Hyperlink"/>
          </w:rPr>
          <w:t xml:space="preserve">https://doi.org/10.1073/pnas.0710672105</w:t>
        </w:r>
      </w:hyperlink>
      <w:r>
        <w:t xml:space="preserve">.</w:t>
      </w:r>
    </w:p>
    <w:bookmarkEnd w:id="80"/>
    <w:bookmarkStart w:id="82"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
          <w:iCs/>
        </w:rPr>
        <w:t xml:space="preserve">Journal of Theoretical Biology</w:t>
      </w:r>
      <w:r>
        <w:t xml:space="preserve"> </w:t>
      </w:r>
      <w:r>
        <w:t xml:space="preserve">279 (1): 169–71.</w:t>
      </w:r>
      <w:r>
        <w:t xml:space="preserve"> </w:t>
      </w:r>
      <w:hyperlink r:id="rId81">
        <w:r>
          <w:rPr>
            <w:rStyle w:val="Hyperlink"/>
          </w:rPr>
          <w:t xml:space="preserve">https://doi.org/10.1016/j.jtbi.2011.03.019</w:t>
        </w:r>
      </w:hyperlink>
      <w:r>
        <w:t xml:space="preserve">.</w:t>
      </w:r>
    </w:p>
    <w:bookmarkEnd w:id="82"/>
    <w:bookmarkStart w:id="84"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
          <w:iCs/>
        </w:rPr>
        <w:t xml:space="preserve">Quaternary Science Reviews</w:t>
      </w:r>
      <w:r>
        <w:t xml:space="preserve"> </w:t>
      </w:r>
      <w:r>
        <w:t xml:space="preserve">250 (December): 106696.</w:t>
      </w:r>
      <w:r>
        <w:t xml:space="preserve"> </w:t>
      </w:r>
      <w:hyperlink r:id="rId83">
        <w:r>
          <w:rPr>
            <w:rStyle w:val="Hyperlink"/>
          </w:rPr>
          <w:t xml:space="preserve">https://doi.org/10.1016/j.quascirev.2020.106696</w:t>
        </w:r>
      </w:hyperlink>
      <w:r>
        <w:t xml:space="preserve">.</w:t>
      </w:r>
    </w:p>
    <w:bookmarkEnd w:id="84"/>
    <w:bookmarkStart w:id="86"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
          <w:iCs/>
        </w:rPr>
        <w:t xml:space="preserve">Journal of Biogeography</w:t>
      </w:r>
      <w:r>
        <w:t xml:space="preserve"> </w:t>
      </w:r>
      <w:r>
        <w:t xml:space="preserve">n/a (n/a).</w:t>
      </w:r>
      <w:r>
        <w:t xml:space="preserve"> </w:t>
      </w:r>
      <w:hyperlink r:id="rId85">
        <w:r>
          <w:rPr>
            <w:rStyle w:val="Hyperlink"/>
          </w:rPr>
          <w:t xml:space="preserve">https://doi.org/10.1111/jbi.14127</w:t>
        </w:r>
      </w:hyperlink>
      <w:r>
        <w:t xml:space="preserve">.</w:t>
      </w:r>
    </w:p>
    <w:bookmarkEnd w:id="86"/>
    <w:bookmarkStart w:id="88"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
          <w:iCs/>
        </w:rPr>
        <w:t xml:space="preserve">Oikos</w:t>
      </w:r>
      <w:r>
        <w:t xml:space="preserve"> </w:t>
      </w:r>
      <w:r>
        <w:t xml:space="preserve">124 (3): 243–51.</w:t>
      </w:r>
      <w:r>
        <w:t xml:space="preserve"> </w:t>
      </w:r>
      <w:hyperlink r:id="rId87">
        <w:r>
          <w:rPr>
            <w:rStyle w:val="Hyperlink"/>
          </w:rPr>
          <w:t xml:space="preserve">https://doi.org/10.1111/oik.01719</w:t>
        </w:r>
      </w:hyperlink>
      <w:r>
        <w:t xml:space="preserve">.</w:t>
      </w:r>
    </w:p>
    <w:bookmarkEnd w:id="88"/>
    <w:bookmarkStart w:id="90"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
          <w:iCs/>
        </w:rPr>
        <w:t xml:space="preserve">The American Naturalist</w:t>
      </w:r>
      <w:r>
        <w:t xml:space="preserve"> </w:t>
      </w:r>
      <w:r>
        <w:t xml:space="preserve">176 (2): 170–77.</w:t>
      </w:r>
      <w:r>
        <w:t xml:space="preserve"> </w:t>
      </w:r>
      <w:hyperlink r:id="rId89">
        <w:r>
          <w:rPr>
            <w:rStyle w:val="Hyperlink"/>
          </w:rPr>
          <w:t xml:space="preserve">https://doi.org/10.1086/653667</w:t>
        </w:r>
      </w:hyperlink>
      <w:r>
        <w:t xml:space="preserve">.</w:t>
      </w:r>
    </w:p>
    <w:bookmarkEnd w:id="90"/>
    <w:bookmarkStart w:id="92"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
          <w:iCs/>
        </w:rPr>
        <w:t xml:space="preserve">Journal of Theoretical Biology</w:t>
      </w:r>
      <w:r>
        <w:t xml:space="preserve"> </w:t>
      </w:r>
      <w:r>
        <w:t xml:space="preserve">241 (3): 552–63.</w:t>
      </w:r>
      <w:r>
        <w:t xml:space="preserve"> </w:t>
      </w:r>
      <w:hyperlink r:id="rId91">
        <w:r>
          <w:rPr>
            <w:rStyle w:val="Hyperlink"/>
          </w:rPr>
          <w:t xml:space="preserve">https://doi.org/10.1016/j.jtbi.2005.12.021</w:t>
        </w:r>
      </w:hyperlink>
      <w:r>
        <w:t xml:space="preserve">.</w:t>
      </w:r>
    </w:p>
    <w:bookmarkEnd w:id="92"/>
    <w:bookmarkStart w:id="94"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w:t>
      </w:r>
      <w:r>
        <w:t xml:space="preserve"> </w:t>
      </w:r>
      <w:hyperlink r:id="rId93">
        <w:r>
          <w:rPr>
            <w:rStyle w:val="Hyperlink"/>
          </w:rPr>
          <w:t xml:space="preserve">https://doi.org/10.1101/2024.01.30.578036</w:t>
        </w:r>
      </w:hyperlink>
      <w:r>
        <w:t xml:space="preserve">.</w:t>
      </w:r>
    </w:p>
    <w:bookmarkEnd w:id="94"/>
    <w:bookmarkStart w:id="96"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
          <w:iCs/>
        </w:rPr>
        <w:t xml:space="preserve">Ecology</w:t>
      </w:r>
      <w:r>
        <w:t xml:space="preserve"> </w:t>
      </w:r>
      <w:r>
        <w:t xml:space="preserve">86 (5): 1301–11.</w:t>
      </w:r>
      <w:r>
        <w:t xml:space="preserve"> </w:t>
      </w:r>
      <w:hyperlink r:id="rId95">
        <w:r>
          <w:rPr>
            <w:rStyle w:val="Hyperlink"/>
          </w:rPr>
          <w:t xml:space="preserve">https://doi.org/10.1890/04-0957</w:t>
        </w:r>
      </w:hyperlink>
      <w:r>
        <w:t xml:space="preserve">.</w:t>
      </w:r>
    </w:p>
    <w:bookmarkEnd w:id="96"/>
    <w:bookmarkStart w:id="98"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
          <w:iCs/>
        </w:rPr>
        <w:t xml:space="preserve">Methods in Ecology and Evolution</w:t>
      </w:r>
      <w:r>
        <w:t xml:space="preserve"> </w:t>
      </w:r>
      <w:r>
        <w:t xml:space="preserve">13 (12): 2838–49.</w:t>
      </w:r>
      <w:r>
        <w:t xml:space="preserve"> </w:t>
      </w:r>
      <w:hyperlink r:id="rId97">
        <w:r>
          <w:rPr>
            <w:rStyle w:val="Hyperlink"/>
          </w:rPr>
          <w:t xml:space="preserve">https://doi.org/10.1111/2041-210X.13835</w:t>
        </w:r>
      </w:hyperlink>
      <w:r>
        <w:t xml:space="preserve">.</w:t>
      </w:r>
    </w:p>
    <w:bookmarkEnd w:id="98"/>
    <w:bookmarkStart w:id="100"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
          <w:iCs/>
        </w:rPr>
        <w:t xml:space="preserve">Methods in Ecology and Evolution</w:t>
      </w:r>
      <w:r>
        <w:t xml:space="preserve"> </w:t>
      </w:r>
      <w:r>
        <w:t xml:space="preserve">14 (12): 2917–30.</w:t>
      </w:r>
      <w:r>
        <w:t xml:space="preserve"> </w:t>
      </w:r>
      <w:hyperlink r:id="rId99">
        <w:r>
          <w:rPr>
            <w:rStyle w:val="Hyperlink"/>
          </w:rPr>
          <w:t xml:space="preserve">https://doi.org/10.1111/2041-210X.14228</w:t>
        </w:r>
      </w:hyperlink>
      <w:r>
        <w:t xml:space="preserve">.</w:t>
      </w:r>
    </w:p>
    <w:bookmarkEnd w:id="100"/>
    <w:bookmarkStart w:id="102"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
          <w:iCs/>
        </w:rPr>
        <w:t xml:space="preserve">Philosophical Transactions of the Royal Society B: Biological Sciences</w:t>
      </w:r>
      <w:r>
        <w:t xml:space="preserve"> </w:t>
      </w:r>
      <w:r>
        <w:t xml:space="preserve">376 (1837): 20210063.</w:t>
      </w:r>
      <w:r>
        <w:t xml:space="preserve"> </w:t>
      </w:r>
      <w:hyperlink r:id="rId101">
        <w:r>
          <w:rPr>
            <w:rStyle w:val="Hyperlink"/>
          </w:rPr>
          <w:t xml:space="preserve">https://doi.org/10.1098/rstb.2021.0063</w:t>
        </w:r>
      </w:hyperlink>
      <w:r>
        <w:t xml:space="preserve">.</w:t>
      </w:r>
    </w:p>
    <w:bookmarkEnd w:id="102"/>
    <w:bookmarkStart w:id="104"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
          <w:iCs/>
        </w:rPr>
        <w:t xml:space="preserve">PLOS Biology</w:t>
      </w:r>
      <w:r>
        <w:t xml:space="preserve"> </w:t>
      </w:r>
      <w:r>
        <w:t xml:space="preserve">17 (12): e3000494.</w:t>
      </w:r>
      <w:r>
        <w:t xml:space="preserve"> </w:t>
      </w:r>
      <w:hyperlink r:id="rId103">
        <w:r>
          <w:rPr>
            <w:rStyle w:val="Hyperlink"/>
          </w:rPr>
          <w:t xml:space="preserve">https://doi.org/10.1371/journal.pbio.3000494</w:t>
        </w:r>
      </w:hyperlink>
      <w:r>
        <w:t xml:space="preserve">.</w:t>
      </w:r>
    </w:p>
    <w:bookmarkEnd w:id="104"/>
    <w:bookmarkStart w:id="106"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
          <w:iCs/>
        </w:rPr>
        <w:t xml:space="preserve">Trends in Ecology &amp; Evolution</w:t>
      </w:r>
      <w:r>
        <w:t xml:space="preserve"> </w:t>
      </w:r>
      <w:r>
        <w:t xml:space="preserve">38 (3): 301–12.</w:t>
      </w:r>
      <w:r>
        <w:t xml:space="preserve"> </w:t>
      </w:r>
      <w:hyperlink r:id="rId105">
        <w:r>
          <w:rPr>
            <w:rStyle w:val="Hyperlink"/>
          </w:rPr>
          <w:t xml:space="preserve">https://doi.org/10.1016/j.tree.2022.11.004</w:t>
        </w:r>
      </w:hyperlink>
      <w:r>
        <w:t xml:space="preserve">.</w:t>
      </w:r>
    </w:p>
    <w:bookmarkEnd w:id="106"/>
    <w:bookmarkStart w:id="108" w:name="ref-williamsSimpleRulesYield2000"/>
    <w:p>
      <w:pPr>
        <w:pStyle w:val="Bibliography"/>
      </w:pPr>
      <w:r>
        <w:t xml:space="preserve">Williams, Richard J., and Neo D. Martinez. 2000.</w:t>
      </w:r>
      <w:r>
        <w:t xml:space="preserve"> </w:t>
      </w:r>
      <w:r>
        <w:t xml:space="preserve">“Simple Rules Yield Complex Food Webs.”</w:t>
      </w:r>
      <w:r>
        <w:t xml:space="preserve"> </w:t>
      </w:r>
      <w:r>
        <w:rPr>
          <w:i/>
          <w:iCs/>
        </w:rPr>
        <w:t xml:space="preserve">Nature</w:t>
      </w:r>
      <w:r>
        <w:t xml:space="preserve"> </w:t>
      </w:r>
      <w:r>
        <w:t xml:space="preserve">404 (6774): 180–83.</w:t>
      </w:r>
      <w:r>
        <w:t xml:space="preserve"> </w:t>
      </w:r>
      <w:hyperlink r:id="rId107">
        <w:r>
          <w:rPr>
            <w:rStyle w:val="Hyperlink"/>
          </w:rPr>
          <w:t xml:space="preserve">https://doi.org/10.1038/35004572</w:t>
        </w:r>
      </w:hyperlink>
      <w:r>
        <w:t xml:space="preserve">.</w:t>
      </w:r>
    </w:p>
    <w:bookmarkEnd w:id="108"/>
    <w:bookmarkStart w:id="110" w:name="ref-williamsSuccessItsLimits2008"/>
    <w:p>
      <w:pPr>
        <w:pStyle w:val="Bibliography"/>
      </w:pPr>
      <w:r>
        <w:t xml:space="preserve">———. 2008.</w:t>
      </w:r>
      <w:r>
        <w:t xml:space="preserve"> </w:t>
      </w:r>
      <w:r>
        <w:t xml:space="preserve">“Success and Its Limits Among Structural Models of Complex Food Webs.”</w:t>
      </w:r>
      <w:r>
        <w:t xml:space="preserve"> </w:t>
      </w:r>
      <w:r>
        <w:rPr>
          <w:i/>
          <w:iCs/>
        </w:rPr>
        <w:t xml:space="preserve">Journal of Animal Ecology</w:t>
      </w:r>
      <w:r>
        <w:t xml:space="preserve"> </w:t>
      </w:r>
      <w:r>
        <w:t xml:space="preserve">77 (3): 512–19.</w:t>
      </w:r>
      <w:r>
        <w:t xml:space="preserve"> </w:t>
      </w:r>
      <w:hyperlink r:id="rId109">
        <w:r>
          <w:rPr>
            <w:rStyle w:val="Hyperlink"/>
          </w:rPr>
          <w:t xml:space="preserve">https://doi.org/10.1111/j.1365-2656.2008.01362.x</w:t>
        </w:r>
      </w:hyperlink>
      <w:r>
        <w:t xml:space="preserve">.</w:t>
      </w:r>
    </w:p>
    <w:bookmarkEnd w:id="110"/>
    <w:bookmarkStart w:id="112"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
          <w:iCs/>
        </w:rPr>
        <w:t xml:space="preserve">Ecology</w:t>
      </w:r>
      <w:r>
        <w:t xml:space="preserve"> </w:t>
      </w:r>
      <w:r>
        <w:t xml:space="preserve">95 (7): 2027–27.</w:t>
      </w:r>
      <w:r>
        <w:t xml:space="preserve"> </w:t>
      </w:r>
      <w:hyperlink r:id="rId111">
        <w:r>
          <w:rPr>
            <w:rStyle w:val="Hyperlink"/>
          </w:rPr>
          <w:t xml:space="preserve">https://doi.org/10.1890/13-1917.1</w:t>
        </w:r>
      </w:hyperlink>
      <w:r>
        <w:t xml:space="preserve">.</w:t>
      </w:r>
    </w:p>
    <w:bookmarkEnd w:id="112"/>
    <w:bookmarkStart w:id="114"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
          <w:iCs/>
        </w:rPr>
        <w:t xml:space="preserve">PNAS</w:t>
      </w:r>
      <w:r>
        <w:t xml:space="preserve"> </w:t>
      </w:r>
      <w:r>
        <w:t xml:space="preserve">111 (40): 14472–77.</w:t>
      </w:r>
      <w:r>
        <w:t xml:space="preserve"> </w:t>
      </w:r>
      <w:hyperlink r:id="rId113">
        <w:r>
          <w:rPr>
            <w:rStyle w:val="Hyperlink"/>
          </w:rPr>
          <w:t xml:space="preserve">https://doi.org/10.1073/pnas.1408471111</w:t>
        </w:r>
      </w:hyperlink>
      <w:r>
        <w:t xml:space="preserve">.</w:t>
      </w:r>
    </w:p>
    <w:bookmarkEnd w:id="114"/>
    <w:bookmarkEnd w:id="115"/>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hyperlink" Id="rId36" Target="https://BecksLab.github.io/ms_t_is_for_topology/index.qmd.html" TargetMode="External" /><Relationship Type="http://schemas.openxmlformats.org/officeDocument/2006/relationships/hyperlink" Id="rId91" Target="https://doi.org/10.1016/j.jtbi.2005.12.021" TargetMode="External" /><Relationship Type="http://schemas.openxmlformats.org/officeDocument/2006/relationships/hyperlink" Id="rId81" Target="https://doi.org/10.1016/j.jtbi.2011.03.019" TargetMode="External" /><Relationship Type="http://schemas.openxmlformats.org/officeDocument/2006/relationships/hyperlink" Id="rId83" Target="https://doi.org/10.1016/j.quascirev.2020.106696" TargetMode="External" /><Relationship Type="http://schemas.openxmlformats.org/officeDocument/2006/relationships/hyperlink" Id="rId105" Target="https://doi.org/10.1016/j.tree.2022.11.004" TargetMode="External" /><Relationship Type="http://schemas.openxmlformats.org/officeDocument/2006/relationships/hyperlink" Id="rId107" Target="https://doi.org/10.1038/35004572" TargetMode="External" /><Relationship Type="http://schemas.openxmlformats.org/officeDocument/2006/relationships/hyperlink" Id="rId59" Target="https://doi.org/10.1038/nature02327" TargetMode="External" /><Relationship Type="http://schemas.openxmlformats.org/officeDocument/2006/relationships/hyperlink" Id="rId71" Target="https://doi.org/10.1038/s41597-022-01364-9" TargetMode="External" /><Relationship Type="http://schemas.openxmlformats.org/officeDocument/2006/relationships/hyperlink" Id="rId51" Target="https://doi.org/10.1073/pnas.0603039103" TargetMode="External" /><Relationship Type="http://schemas.openxmlformats.org/officeDocument/2006/relationships/hyperlink" Id="rId79" Target="https://doi.org/10.1073/pnas.0710672105" TargetMode="External" /><Relationship Type="http://schemas.openxmlformats.org/officeDocument/2006/relationships/hyperlink" Id="rId53" Target="https://doi.org/10.1073/pnas.0800967105" TargetMode="External" /><Relationship Type="http://schemas.openxmlformats.org/officeDocument/2006/relationships/hyperlink" Id="rId113" Target="https://doi.org/10.1073/pnas.1408471111" TargetMode="External" /><Relationship Type="http://schemas.openxmlformats.org/officeDocument/2006/relationships/hyperlink" Id="rId89" Target="https://doi.org/10.1086/653667" TargetMode="External" /><Relationship Type="http://schemas.openxmlformats.org/officeDocument/2006/relationships/hyperlink" Id="rId62" Target="https://doi.org/10.1098/rspb.1985.0042" TargetMode="External" /><Relationship Type="http://schemas.openxmlformats.org/officeDocument/2006/relationships/hyperlink" Id="rId101" Target="https://doi.org/10.1098/rstb.2021.0063" TargetMode="External" /><Relationship Type="http://schemas.openxmlformats.org/officeDocument/2006/relationships/hyperlink" Id="rId93" Target="https://doi.org/10.1101/2024.01.30.578036" TargetMode="External" /><Relationship Type="http://schemas.openxmlformats.org/officeDocument/2006/relationships/hyperlink" Id="rId77" Target="https://doi.org/10.1111/1365-2435.12763" TargetMode="External" /><Relationship Type="http://schemas.openxmlformats.org/officeDocument/2006/relationships/hyperlink" Id="rId69" Target="https://doi.org/10.1111/2041-210X.12103" TargetMode="External" /><Relationship Type="http://schemas.openxmlformats.org/officeDocument/2006/relationships/hyperlink" Id="rId97" Target="https://doi.org/10.1111/2041-210X.13835" TargetMode="External" /><Relationship Type="http://schemas.openxmlformats.org/officeDocument/2006/relationships/hyperlink" Id="rId99" Target="https://doi.org/10.1111/2041-210X.14228" TargetMode="External" /><Relationship Type="http://schemas.openxmlformats.org/officeDocument/2006/relationships/hyperlink" Id="rId57" Target="https://doi.org/10.1111/ele.13966" TargetMode="External" /><Relationship Type="http://schemas.openxmlformats.org/officeDocument/2006/relationships/hyperlink" Id="rId109" Target="https://doi.org/10.1111/j.1365-2656.2008.01362.x" TargetMode="External" /><Relationship Type="http://schemas.openxmlformats.org/officeDocument/2006/relationships/hyperlink" Id="rId49" Target="https://doi.org/10.1111/j.1475-4983.2006.00611.x" TargetMode="External" /><Relationship Type="http://schemas.openxmlformats.org/officeDocument/2006/relationships/hyperlink" Id="rId85" Target="https://doi.org/10.1111/jbi.14127" TargetMode="External" /><Relationship Type="http://schemas.openxmlformats.org/officeDocument/2006/relationships/hyperlink" Id="rId87" Target="https://doi.org/10.1111/oik.01719" TargetMode="External" /><Relationship Type="http://schemas.openxmlformats.org/officeDocument/2006/relationships/hyperlink" Id="rId65" Target="https://doi.org/10.1371/journal.pbio.0060102" TargetMode="External" /><Relationship Type="http://schemas.openxmlformats.org/officeDocument/2006/relationships/hyperlink" Id="rId75" Target="https://doi.org/10.1371/journal.pbio.1002559" TargetMode="External" /><Relationship Type="http://schemas.openxmlformats.org/officeDocument/2006/relationships/hyperlink" Id="rId103" Target="https://doi.org/10.1371/journal.pbio.3000494" TargetMode="External" /><Relationship Type="http://schemas.openxmlformats.org/officeDocument/2006/relationships/hyperlink" Id="rId95" Target="https://doi.org/10.1890/04-0957" TargetMode="External" /><Relationship Type="http://schemas.openxmlformats.org/officeDocument/2006/relationships/hyperlink" Id="rId73" Target="https://doi.org/10.1890/08-1494.1" TargetMode="External" /><Relationship Type="http://schemas.openxmlformats.org/officeDocument/2006/relationships/hyperlink" Id="rId111" Target="https://doi.org/10.1890/13-1917.1" TargetMode="External" /><Relationship Type="http://schemas.openxmlformats.org/officeDocument/2006/relationships/hyperlink" Id="rId55" Target="https://doi.org/10.32942/X29K55" TargetMode="External" /><Relationship Type="http://schemas.openxmlformats.org/officeDocument/2006/relationships/hyperlink" Id="rId67" Target="https://doi.org/10.5486/PMD.1959.6.3-4.12" TargetMode="External" /><Relationship Type="http://schemas.openxmlformats.org/officeDocument/2006/relationships/hyperlink" Id="rId29"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6" Target="https://BecksLab.github.io/ms_t_is_for_topology/index.qmd.html" TargetMode="External" /><Relationship Type="http://schemas.openxmlformats.org/officeDocument/2006/relationships/hyperlink" Id="rId91" Target="https://doi.org/10.1016/j.jtbi.2005.12.021" TargetMode="External" /><Relationship Type="http://schemas.openxmlformats.org/officeDocument/2006/relationships/hyperlink" Id="rId81" Target="https://doi.org/10.1016/j.jtbi.2011.03.019" TargetMode="External" /><Relationship Type="http://schemas.openxmlformats.org/officeDocument/2006/relationships/hyperlink" Id="rId83" Target="https://doi.org/10.1016/j.quascirev.2020.106696" TargetMode="External" /><Relationship Type="http://schemas.openxmlformats.org/officeDocument/2006/relationships/hyperlink" Id="rId105" Target="https://doi.org/10.1016/j.tree.2022.11.004" TargetMode="External" /><Relationship Type="http://schemas.openxmlformats.org/officeDocument/2006/relationships/hyperlink" Id="rId107" Target="https://doi.org/10.1038/35004572" TargetMode="External" /><Relationship Type="http://schemas.openxmlformats.org/officeDocument/2006/relationships/hyperlink" Id="rId59" Target="https://doi.org/10.1038/nature02327" TargetMode="External" /><Relationship Type="http://schemas.openxmlformats.org/officeDocument/2006/relationships/hyperlink" Id="rId71" Target="https://doi.org/10.1038/s41597-022-01364-9" TargetMode="External" /><Relationship Type="http://schemas.openxmlformats.org/officeDocument/2006/relationships/hyperlink" Id="rId51" Target="https://doi.org/10.1073/pnas.0603039103" TargetMode="External" /><Relationship Type="http://schemas.openxmlformats.org/officeDocument/2006/relationships/hyperlink" Id="rId79" Target="https://doi.org/10.1073/pnas.0710672105" TargetMode="External" /><Relationship Type="http://schemas.openxmlformats.org/officeDocument/2006/relationships/hyperlink" Id="rId53" Target="https://doi.org/10.1073/pnas.0800967105" TargetMode="External" /><Relationship Type="http://schemas.openxmlformats.org/officeDocument/2006/relationships/hyperlink" Id="rId113" Target="https://doi.org/10.1073/pnas.1408471111" TargetMode="External" /><Relationship Type="http://schemas.openxmlformats.org/officeDocument/2006/relationships/hyperlink" Id="rId89" Target="https://doi.org/10.1086/653667" TargetMode="External" /><Relationship Type="http://schemas.openxmlformats.org/officeDocument/2006/relationships/hyperlink" Id="rId62" Target="https://doi.org/10.1098/rspb.1985.0042" TargetMode="External" /><Relationship Type="http://schemas.openxmlformats.org/officeDocument/2006/relationships/hyperlink" Id="rId101" Target="https://doi.org/10.1098/rstb.2021.0063" TargetMode="External" /><Relationship Type="http://schemas.openxmlformats.org/officeDocument/2006/relationships/hyperlink" Id="rId93" Target="https://doi.org/10.1101/2024.01.30.578036" TargetMode="External" /><Relationship Type="http://schemas.openxmlformats.org/officeDocument/2006/relationships/hyperlink" Id="rId77" Target="https://doi.org/10.1111/1365-2435.12763" TargetMode="External" /><Relationship Type="http://schemas.openxmlformats.org/officeDocument/2006/relationships/hyperlink" Id="rId69" Target="https://doi.org/10.1111/2041-210X.12103" TargetMode="External" /><Relationship Type="http://schemas.openxmlformats.org/officeDocument/2006/relationships/hyperlink" Id="rId97" Target="https://doi.org/10.1111/2041-210X.13835" TargetMode="External" /><Relationship Type="http://schemas.openxmlformats.org/officeDocument/2006/relationships/hyperlink" Id="rId99" Target="https://doi.org/10.1111/2041-210X.14228" TargetMode="External" /><Relationship Type="http://schemas.openxmlformats.org/officeDocument/2006/relationships/hyperlink" Id="rId57" Target="https://doi.org/10.1111/ele.13966" TargetMode="External" /><Relationship Type="http://schemas.openxmlformats.org/officeDocument/2006/relationships/hyperlink" Id="rId109" Target="https://doi.org/10.1111/j.1365-2656.2008.01362.x" TargetMode="External" /><Relationship Type="http://schemas.openxmlformats.org/officeDocument/2006/relationships/hyperlink" Id="rId49" Target="https://doi.org/10.1111/j.1475-4983.2006.00611.x" TargetMode="External" /><Relationship Type="http://schemas.openxmlformats.org/officeDocument/2006/relationships/hyperlink" Id="rId85" Target="https://doi.org/10.1111/jbi.14127" TargetMode="External" /><Relationship Type="http://schemas.openxmlformats.org/officeDocument/2006/relationships/hyperlink" Id="rId87" Target="https://doi.org/10.1111/oik.01719" TargetMode="External" /><Relationship Type="http://schemas.openxmlformats.org/officeDocument/2006/relationships/hyperlink" Id="rId65" Target="https://doi.org/10.1371/journal.pbio.0060102" TargetMode="External" /><Relationship Type="http://schemas.openxmlformats.org/officeDocument/2006/relationships/hyperlink" Id="rId75" Target="https://doi.org/10.1371/journal.pbio.1002559" TargetMode="External" /><Relationship Type="http://schemas.openxmlformats.org/officeDocument/2006/relationships/hyperlink" Id="rId103" Target="https://doi.org/10.1371/journal.pbio.3000494" TargetMode="External" /><Relationship Type="http://schemas.openxmlformats.org/officeDocument/2006/relationships/hyperlink" Id="rId95" Target="https://doi.org/10.1890/04-0957" TargetMode="External" /><Relationship Type="http://schemas.openxmlformats.org/officeDocument/2006/relationships/hyperlink" Id="rId73" Target="https://doi.org/10.1890/08-1494.1" TargetMode="External" /><Relationship Type="http://schemas.openxmlformats.org/officeDocument/2006/relationships/hyperlink" Id="rId111" Target="https://doi.org/10.1890/13-1917.1" TargetMode="External" /><Relationship Type="http://schemas.openxmlformats.org/officeDocument/2006/relationships/hyperlink" Id="rId55" Target="https://doi.org/10.32942/X29K55" TargetMode="External" /><Relationship Type="http://schemas.openxmlformats.org/officeDocument/2006/relationships/hyperlink" Id="rId67" Target="https://doi.org/10.5486/PMD.1959.6.3-4.12" TargetMode="External" /><Relationship Type="http://schemas.openxmlformats.org/officeDocument/2006/relationships/hyperlink" Id="rId29"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2024-03-05T12:24:11Z</dcterms:created>
  <dcterms:modified xsi:type="dcterms:W3CDTF">2024-03-05T12:24:11Z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Pending…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2024-03-05</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