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2024-05-10</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articulate clearly defined parameters for what they desire in their network if they are to select the correct model to help them to reach their goal. In order to make these types of decisions its important that one has a strong grasp of exactly what it means to</w:t>
      </w:r>
      <w:r>
        <w:t xml:space="preserve"> </w:t>
      </w:r>
      <w:r>
        <w:t xml:space="preserve">‘</w:t>
      </w:r>
      <w:r>
        <w:t xml:space="preserve">code</w:t>
      </w:r>
      <w:r>
        <w:t xml:space="preserve">’</w:t>
      </w:r>
      <w:r>
        <w:t xml:space="preserve">/define a food web, a clear understanding of why one wants to predict a food web, and ultimately one needs to be able to asses and evaluate which model family is going to best match up with the goal of network prediction.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[15,16]</w:t>
      </w:r>
      <w:r>
        <w:t xml:space="preserve">, and it is important to have a strong grasp of what information a network is attempting to convey.</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
          <w:iCs/>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[22]</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23]</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
          <w:iCs/>
        </w:rPr>
        <w:t xml:space="preserve">a</w:t>
      </w:r>
      <w:r>
        <w:t xml:space="preserve"> </w:t>
      </w:r>
      <w:r>
        <w:t xml:space="preserve">predate species</w:t>
      </w:r>
      <w:r>
        <w:t xml:space="preserve"> </w:t>
      </w:r>
      <w:r>
        <w:rPr>
          <w:i/>
          <w:iCs/>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[4]</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p>
            <w:pPr>
              <w:pStyle w:val="Compact"/>
              <w:numPr>
                <w:ilvl w:val="0"/>
                <w:numId w:val="1001"/>
              </w:numPr>
            </w:pPr>
            <w:r>
              <w:t xml:space="preserve">As predator and prey we have been co-occurring for a long time and I have found ways to eat you (trying to capture the idea of evolutionary time)</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or being able to construct a network that has location specific,</w:t>
      </w:r>
      <w:r>
        <w:t xml:space="preserve"> </w:t>
      </w:r>
      <w:r>
        <w:t xml:space="preserve">‘</w:t>
      </w:r>
      <w:r>
        <w:t xml:space="preserve">realised</w:t>
      </w:r>
      <w:r>
        <w:t xml:space="preserve">’</w:t>
      </w:r>
      <w:r>
        <w:t xml:space="preserve"> </w:t>
      </w:r>
      <w:r>
        <w:t xml:space="preserve">interactions for a specific collection of species (community). [</w:t>
      </w:r>
      <w:r>
        <w:rPr>
          <w:b/>
          <w:bCs/>
        </w:rPr>
        <w:t xml:space="preserve">TODO</w:t>
      </w:r>
      <w:r>
        <w:t xml:space="preserve"> </w:t>
      </w:r>
      <w:r>
        <w:t xml:space="preserve">collection of words that highlight some specific use cases for wanting to predict structure] Being able to predict</w:t>
      </w:r>
      <w:r>
        <w:t xml:space="preserve"> </w:t>
      </w:r>
      <w:r>
        <w:t xml:space="preserve">‘</w:t>
      </w:r>
      <w:r>
        <w:t xml:space="preserve">real-world</w:t>
      </w:r>
      <w:r>
        <w:t xml:space="preserve">’</w:t>
      </w:r>
      <w:r>
        <w:t xml:space="preserve"> </w:t>
      </w:r>
      <w:r>
        <w:t xml:space="preserve">food webs can have</w:t>
      </w:r>
      <w:r>
        <w:t xml:space="preserve"> </w:t>
      </w:r>
      <w:r>
        <w:t xml:space="preserve">‘</w:t>
      </w:r>
      <w:r>
        <w:t xml:space="preserve">real world</w:t>
      </w:r>
      <w:r>
        <w:t xml:space="preserve">’</w:t>
      </w:r>
      <w:r>
        <w:t xml:space="preserve"> </w:t>
      </w:r>
      <w:r>
        <w:t xml:space="preserve">upswing. In addition to presenting a way in which to circumvent the challenges associated with collecting interactions in the field there is an interest in 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(topology generator) or the interactions for a given species pool (interaction predictor). These models themselves are a reflection of the different goals and intentions of the research program from which they are developed. Models such as the niche</w:t>
      </w:r>
      <w:r>
        <w:t xml:space="preserve"> </w:t>
      </w:r>
      <w:r>
        <w:t xml:space="preserve">[26]</w:t>
      </w:r>
      <w:r>
        <w:t xml:space="preserve"> </w:t>
      </w:r>
      <w:r>
        <w:t xml:space="preserve">or cascade</w:t>
      </w:r>
      <w:r>
        <w:t xml:space="preserve"> </w:t>
      </w:r>
      <w:r>
        <w:t xml:space="preserve">[27]</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[28]</w:t>
      </w:r>
      <w:r>
        <w:t xml:space="preserve">, trait hierarchy</w:t>
      </w:r>
      <w:r>
        <w:t xml:space="preserve"> </w:t>
      </w:r>
      <w:r>
        <w:t xml:space="preserve">[29]</w:t>
      </w:r>
      <w:r>
        <w:t xml:space="preserve">, and the log-ratio</w:t>
      </w:r>
      <w:r>
        <w:t xml:space="preserve"> </w:t>
      </w:r>
      <w:r>
        <w:t xml:space="preserve">[30]</w:t>
      </w:r>
      <w:r>
        <w:t xml:space="preserve"> </w:t>
      </w:r>
      <w:r>
        <w:t xml:space="preserve">models have been developed so as to be used as a tool to determine if species are able to interact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[17,35]</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[37]</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[33]</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8"/>
    <w:bookmarkStart w:id="80" w:name="ref-proulxNetworkThinkingEcology2005"/>
    <w:p>
      <w:pPr>
        <w:pStyle w:val="Bibliography"/>
      </w:pPr>
      <w:r>
        <w:t xml:space="preserve">15.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79">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0"/>
    <w:bookmarkStart w:id="82" w:name="X539896ce86e228708f5963ceeaf0e82711f0c07"/>
    <w:p>
      <w:pPr>
        <w:pStyle w:val="Bibliography"/>
      </w:pPr>
      <w:r>
        <w:t xml:space="preserve">16.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81">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cohenFoodWebsDimensionality1977"/>
    <w:p>
      <w:pPr>
        <w:pStyle w:val="Bibliography"/>
      </w:pPr>
      <w:r>
        <w:t xml:space="preserve">22.</w:t>
      </w:r>
      <w:r>
        <w:t xml:space="preserve"> </w:t>
      </w:r>
      <w:r>
        <w:t xml:space="preserve">	</w:t>
      </w:r>
      <w:r>
        <w:t xml:space="preserve">Cohen, J.E. (1977)</w:t>
      </w:r>
      <w:r>
        <w:t xml:space="preserve"> </w:t>
      </w:r>
      <w:hyperlink r:id="rId92">
        <w:r>
          <w:rPr>
            <w:rStyle w:val="Hyperlink"/>
          </w:rPr>
          <w:t xml:space="preserve">Food webs and the dimensionality of trophic niche space</w:t>
        </w:r>
      </w:hyperlink>
      <w:r>
        <w:t xml:space="preserve">.</w:t>
      </w:r>
      <w:r>
        <w:t xml:space="preserve"> </w:t>
      </w:r>
      <w:r>
        <w:rPr>
          <w:i/>
          <w:iCs/>
        </w:rPr>
        <w:t xml:space="preserve">Proceedings of the National Academy of Sciences</w:t>
      </w:r>
      <w:r>
        <w:t xml:space="preserve"> </w:t>
      </w:r>
      <w:r>
        <w:t xml:space="preserve">74, 4533–4536</w:t>
      </w:r>
    </w:p>
    <w:bookmarkEnd w:id="93"/>
    <w:bookmarkStart w:id="95" w:name="ref-allesinaGeneralModelFood2008"/>
    <w:p>
      <w:pPr>
        <w:pStyle w:val="Bibliography"/>
      </w:pPr>
      <w:r>
        <w:t xml:space="preserve">23.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9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9"/>
    <w:bookmarkStart w:id="101" w:name="ref-williamsSimpleRulesYield2000"/>
    <w:p>
      <w:pPr>
        <w:pStyle w:val="Bibliography"/>
      </w:pPr>
      <w:r>
        <w:t xml:space="preserve">26.</w:t>
      </w:r>
      <w:r>
        <w:t xml:space="preserve"> </w:t>
      </w:r>
      <w:r>
        <w:t xml:space="preserve">	</w:t>
      </w:r>
      <w:r>
        <w:t xml:space="preserve">Williams, R.J. and Martinez, N.D. (2000)</w:t>
      </w:r>
      <w:r>
        <w:t xml:space="preserve"> </w:t>
      </w:r>
      <w:hyperlink r:id="rId100">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1"/>
    <w:bookmarkStart w:id="102" w:name="ref-cohenCommunityFoodWebs1990"/>
    <w:p>
      <w:pPr>
        <w:pStyle w:val="Bibliography"/>
      </w:pPr>
      <w:r>
        <w:t xml:space="preserve">27.</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2"/>
    <w:bookmarkStart w:id="104" w:name="Xb1d8b6b275822be1886d160023287af73cce966"/>
    <w:p>
      <w:pPr>
        <w:pStyle w:val="Bibliography"/>
      </w:pPr>
      <w:r>
        <w:t xml:space="preserve">28.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3">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0</w:t>
      </w:r>
    </w:p>
    <w:bookmarkEnd w:id="104"/>
    <w:bookmarkStart w:id="106" w:name="X0fb50f1746fa9d2b24f89ed5bfe6ae1a2f58cc2"/>
    <w:p>
      <w:pPr>
        <w:pStyle w:val="Bibliography"/>
      </w:pPr>
      <w:r>
        <w:t xml:space="preserve">29.</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5">
        <w:r>
          <w:rPr>
            <w:rStyle w:val="Hyperlink"/>
          </w:rPr>
          <w:t xml:space="preserve">A framework for reconstructing ancient food webs using functional trait data</w:t>
        </w:r>
      </w:hyperlink>
      <w:r>
        <w:t xml:space="preserve">bioRxiv, 2024.01.30.578036</w:t>
      </w:r>
    </w:p>
    <w:bookmarkEnd w:id="106"/>
    <w:bookmarkStart w:id="108" w:name="ref-rohrModelingFoodWebs2010"/>
    <w:p>
      <w:pPr>
        <w:pStyle w:val="Bibliography"/>
      </w:pPr>
      <w:r>
        <w:t xml:space="preserve">30.</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107">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8"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79"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92"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90"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94"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8"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79"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92"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90"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94"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2024-05-10T11:14:21Z</dcterms:created>
  <dcterms:modified xsi:type="dcterms:W3CDTF">2024-05-10T11:14:21Z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2024-05-10</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