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6562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Елена</w:t>
      </w:r>
    </w:p>
    <w:p w14:paraId="47D26837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Начисленные суммы страховой пенсии, причитавшиеся наследодателю, и неполученные им при жизни, выплачиваются в течение четырех месяцев со дня открытия наследства нетрудоспособным лицам, проживающим совместно при предъявлении:</w:t>
      </w:r>
    </w:p>
    <w:p w14:paraId="38F60D37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1FC606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а. постановления нотариуса о возмещении расходов на достойные похороны наследодателя;</w:t>
      </w:r>
    </w:p>
    <w:p w14:paraId="2ADF6A6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</w:rPr>
        <w:t>. решения суда о признании права собственности на сумму страховой.</w:t>
      </w:r>
    </w:p>
    <w:p w14:paraId="5DE459BC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с. свидетельства о праве на наследство;</w:t>
      </w:r>
    </w:p>
    <w:p w14:paraId="6E66D229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</w:t>
      </w:r>
      <w:r>
        <w:rPr>
          <w:rFonts w:ascii="Times New Roman" w:hAnsi="Times New Roman"/>
          <w:b/>
          <w:sz w:val="24"/>
          <w:szCs w:val="24"/>
        </w:rPr>
        <w:t>документа, подтверждающего наступление смерти наследодателя;</w:t>
      </w:r>
    </w:p>
    <w:p w14:paraId="3BAEDCE3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t xml:space="preserve">2.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 случае смерти автора, у которого отсутствуют наследники как по закону, так и по завещанию, принадлежащее ему исключительное право на произведение…</w:t>
      </w:r>
    </w:p>
    <w:p w14:paraId="4E53B881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164B675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является выморочным и переходит к государству; </w:t>
      </w:r>
    </w:p>
    <w:p w14:paraId="7255C71B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исключительное право прекращается, и произведение переходит в общественное достояние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. </w:t>
      </w:r>
    </w:p>
    <w:p w14:paraId="7784E1A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является выморочным и переходит в собственность муниципального образования по месту жительства автора; </w:t>
      </w:r>
    </w:p>
    <w:p w14:paraId="7750837D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1151+1283 ГК РФ</w:t>
      </w:r>
    </w:p>
    <w:p w14:paraId="49C0BF08">
      <w:pPr>
        <w:pStyle w:val="7"/>
        <w:ind w:right="-1"/>
        <w:rPr>
          <w:rStyle w:val="9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Style w:val="10"/>
          <w:rFonts w:ascii="Times New Roman" w:hAnsi="Times New Roman"/>
          <w:b/>
          <w:sz w:val="24"/>
          <w:szCs w:val="24"/>
        </w:rPr>
        <w:t xml:space="preserve">В </w:t>
      </w:r>
      <w:r>
        <w:rPr>
          <w:rStyle w:val="9"/>
          <w:rFonts w:ascii="Times New Roman" w:hAnsi="Times New Roman" w:cs="Times New Roman"/>
          <w:b/>
          <w:color w:val="auto"/>
          <w:sz w:val="24"/>
          <w:szCs w:val="24"/>
        </w:rPr>
        <w:t xml:space="preserve">случае принятия нотариусом на хранение документов без описи, а </w:t>
      </w:r>
      <w:r>
        <w:rPr>
          <w:rStyle w:val="10"/>
          <w:rFonts w:ascii="Times New Roman" w:hAnsi="Times New Roman"/>
          <w:b/>
          <w:sz w:val="24"/>
          <w:szCs w:val="24"/>
        </w:rPr>
        <w:t xml:space="preserve">в </w:t>
      </w:r>
      <w:r>
        <w:rPr>
          <w:rStyle w:val="9"/>
          <w:rFonts w:ascii="Times New Roman" w:hAnsi="Times New Roman" w:cs="Times New Roman"/>
          <w:b/>
          <w:color w:val="auto"/>
          <w:sz w:val="24"/>
          <w:szCs w:val="24"/>
        </w:rPr>
        <w:t xml:space="preserve">упаковке, несет </w:t>
      </w:r>
      <w:r>
        <w:rPr>
          <w:rStyle w:val="10"/>
          <w:rFonts w:ascii="Times New Roman" w:hAnsi="Times New Roman"/>
          <w:b/>
          <w:sz w:val="24"/>
          <w:szCs w:val="24"/>
        </w:rPr>
        <w:t xml:space="preserve">ли </w:t>
      </w:r>
      <w:r>
        <w:rPr>
          <w:rStyle w:val="9"/>
          <w:rFonts w:ascii="Times New Roman" w:hAnsi="Times New Roman" w:cs="Times New Roman"/>
          <w:b/>
          <w:color w:val="auto"/>
          <w:sz w:val="24"/>
          <w:szCs w:val="24"/>
        </w:rPr>
        <w:t xml:space="preserve">нотариус ответственность </w:t>
      </w:r>
      <w:r>
        <w:rPr>
          <w:rStyle w:val="10"/>
          <w:rFonts w:ascii="Times New Roman" w:hAnsi="Times New Roman"/>
          <w:b/>
          <w:sz w:val="24"/>
          <w:szCs w:val="24"/>
        </w:rPr>
        <w:t xml:space="preserve">за </w:t>
      </w:r>
      <w:r>
        <w:rPr>
          <w:rStyle w:val="9"/>
          <w:rFonts w:ascii="Times New Roman" w:hAnsi="Times New Roman" w:cs="Times New Roman"/>
          <w:b/>
          <w:color w:val="auto"/>
          <w:sz w:val="24"/>
          <w:szCs w:val="24"/>
        </w:rPr>
        <w:t>сохранность</w:t>
      </w:r>
      <w:r>
        <w:rPr>
          <w:rStyle w:val="9"/>
          <w:rFonts w:ascii="Times New Roman" w:hAnsi="Times New Roman"/>
          <w:sz w:val="24"/>
          <w:szCs w:val="24"/>
        </w:rPr>
        <w:t>:</w:t>
      </w:r>
    </w:p>
    <w:p w14:paraId="69E8CCF1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  <w:sz w:val="24"/>
          <w:szCs w:val="24"/>
        </w:rPr>
        <w:t>Выберите один или несколько ответов:</w:t>
      </w:r>
    </w:p>
    <w:p w14:paraId="22FF84A3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Style w:val="10"/>
          <w:rFonts w:ascii="Times New Roman" w:hAnsi="Times New Roman"/>
          <w:sz w:val="24"/>
          <w:szCs w:val="24"/>
        </w:rPr>
        <w:t>а. документов</w:t>
      </w:r>
    </w:p>
    <w:p w14:paraId="17D3372A">
      <w:pPr>
        <w:pStyle w:val="7"/>
        <w:ind w:right="-1"/>
        <w:rPr>
          <w:rStyle w:val="9"/>
          <w:rFonts w:ascii="Times New Roman" w:hAnsi="Times New Roman" w:cs="Times New Roman"/>
          <w:b/>
          <w:color w:val="auto"/>
        </w:rPr>
      </w:pPr>
      <w:r>
        <w:rPr>
          <w:rStyle w:val="9"/>
          <w:rFonts w:ascii="Times New Roman" w:hAnsi="Times New Roman" w:cs="Times New Roman"/>
          <w:color w:val="auto"/>
        </w:rPr>
        <w:t xml:space="preserve"> </w:t>
      </w:r>
      <w:r>
        <w:rPr>
          <w:rStyle w:val="10"/>
          <w:rFonts w:ascii="Times New Roman" w:hAnsi="Times New Roman"/>
          <w:b/>
          <w:sz w:val="24"/>
          <w:szCs w:val="24"/>
        </w:rPr>
        <w:t>Ь. упаковки</w:t>
      </w:r>
    </w:p>
    <w:p w14:paraId="3FA22A32">
      <w:pPr>
        <w:pStyle w:val="7"/>
        <w:pBdr>
          <w:bottom w:val="single" w:color="auto" w:sz="12" w:space="1"/>
        </w:pBdr>
        <w:ind w:right="141"/>
        <w:rPr>
          <w:rStyle w:val="9"/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</w:rPr>
        <w:t xml:space="preserve">СТ  97 </w:t>
      </w:r>
      <w:r>
        <w:rPr>
          <w:rStyle w:val="9"/>
          <w:rFonts w:ascii="Times New Roman" w:hAnsi="Times New Roman"/>
          <w:sz w:val="24"/>
          <w:szCs w:val="24"/>
        </w:rPr>
        <w:t>ОЗОН</w:t>
      </w:r>
    </w:p>
    <w:p w14:paraId="5785FE03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Style w:val="9"/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Завещательное возложение – это</w:t>
      </w:r>
    </w:p>
    <w:p w14:paraId="0D25412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6C65AC7">
      <w:pPr>
        <w:pStyle w:val="7"/>
        <w:numPr>
          <w:ilvl w:val="0"/>
          <w:numId w:val="1"/>
        </w:numP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возложение на наследников по завещанию обязанности совершить какое-либо действие имущественного характера, направленное на осуществление общеполезной цели; </w:t>
      </w:r>
    </w:p>
    <w:p w14:paraId="43BB6AE1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передача полномочий по исполнению завещательного отказа. </w:t>
      </w:r>
    </w:p>
    <w:p w14:paraId="4B4F7965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возложение на наследников по завещанию или по закону обязанности совершить какое-либо действие имущественного или неимущественного характера, направленное на осуществление общеполезной цели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; </w:t>
      </w:r>
    </w:p>
    <w:p w14:paraId="03433A95">
      <w:pPr>
        <w:pStyle w:val="7"/>
        <w:numPr>
          <w:ilvl w:val="0"/>
          <w:numId w:val="1"/>
        </w:numP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возложение на наследников по завещанию обязанности совершить какое-либо действие имущественного или неимущественного характера, направленное на осуществление общеполезной цели; </w:t>
      </w:r>
    </w:p>
    <w:p w14:paraId="1BC63DB9">
      <w:pPr>
        <w:pStyle w:val="7"/>
        <w:numPr>
          <w:ilvl w:val="0"/>
          <w:numId w:val="1"/>
        </w:numP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возложение на наследников по завещанию обязанности совершить какое-либо действие неимущественного характера, направленное на осуществление  общеполезной цели; </w:t>
      </w:r>
    </w:p>
    <w:p w14:paraId="63EEE599">
      <w:pPr>
        <w:pStyle w:val="7"/>
        <w:pBdr>
          <w:bottom w:val="single" w:color="auto" w:sz="12" w:space="1"/>
        </w:pBdr>
        <w:ind w:left="405"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 1 ст. 1139  ГК РФ </w:t>
      </w:r>
    </w:p>
    <w:p w14:paraId="17755BCC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В случае продажи с публичных торгов бесхозяйственно содержимых культурных ценностей какую вырученную от продажи сумму имеет право получить бывший собственник таких ценностей?</w:t>
      </w:r>
    </w:p>
    <w:p w14:paraId="42B3FDE6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C535FF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При продаже с публичных торгов собственнику передается вырученная от продажи сумма за вычетом расходов на проведение торгов, а также стоимости восстановительных работ в отношении этого объекта культурного наследия, или  стоимости мероприятий, необходимых для его сохранения</w:t>
      </w:r>
    </w:p>
    <w:p w14:paraId="68886B31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Статья 240 ГК РФ </w:t>
      </w:r>
    </w:p>
    <w:p w14:paraId="2FCA6502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Удостоверяя время предъявления документа, нотариус совершает удостоверительную надпись</w:t>
      </w:r>
    </w:p>
    <w:p w14:paraId="4E6F60FD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>
        <w:rPr>
          <w:rFonts w:ascii="Times New Roman" w:hAnsi="Times New Roman"/>
          <w:b/>
          <w:sz w:val="24"/>
          <w:szCs w:val="24"/>
        </w:rPr>
        <w:t>Какие размеры алиментов, взыскиваемых на несовершеннолетних детей в судебном порядке, установлены семейным законодательством?</w:t>
      </w:r>
    </w:p>
    <w:p w14:paraId="6D91B2A7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B276916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а. на 1 ребенка - 1/4, на 2 - 1/3, на 3 и более - 1/2 всех доходов плательщика;</w:t>
      </w:r>
    </w:p>
    <w:p w14:paraId="6D97F32C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на 1 ребенка - 1/3, на 2 - 1/2, на 3 и более - 3/4 всех доходов плательщика.</w:t>
      </w:r>
    </w:p>
    <w:p w14:paraId="316C62A4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на каждого ребенка по 1/4 всех доходов плательщика алиментов;</w:t>
      </w:r>
    </w:p>
    <w:p w14:paraId="464A26CB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81 СК РФ</w:t>
      </w:r>
    </w:p>
    <w:p w14:paraId="3045ED78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Вправе ли завещатель указать в завещании распоряжения относительно имущества, которое он может приобрести в будущем?</w:t>
      </w:r>
    </w:p>
    <w:p w14:paraId="2CB4E11F">
      <w:pPr>
        <w:pStyle w:val="7"/>
        <w:tabs>
          <w:tab w:val="left" w:pos="1701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61BBF747">
      <w:pPr>
        <w:pStyle w:val="7"/>
        <w:tabs>
          <w:tab w:val="left" w:pos="1701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нет. </w:t>
      </w:r>
    </w:p>
    <w:p w14:paraId="6C799A76">
      <w:pPr>
        <w:pStyle w:val="7"/>
        <w:tabs>
          <w:tab w:val="left" w:pos="1701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b. да; </w:t>
      </w:r>
    </w:p>
    <w:p w14:paraId="74B77B91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 1120 ГК РФ</w:t>
      </w:r>
    </w:p>
    <w:p w14:paraId="19CEFF5C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9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По общему правилу нотариусом подтверждаются решения высшего органа управления:</w:t>
      </w:r>
    </w:p>
    <w:p w14:paraId="0D3A8D38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7FBC14A4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казачьего общества; </w:t>
      </w:r>
    </w:p>
    <w:p w14:paraId="27D974CA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b. непубличного акционерного общества; </w:t>
      </w:r>
    </w:p>
    <w:p w14:paraId="67149D21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потребительского кооператива. </w:t>
      </w:r>
    </w:p>
    <w:p w14:paraId="64268BB3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публичного акционерного общества; </w:t>
      </w:r>
    </w:p>
    <w:p w14:paraId="48E2CC55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e. общества с ограниченной ответственностью</w:t>
      </w:r>
    </w:p>
    <w:p w14:paraId="13D0955B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f. публично-правовой компании; </w:t>
      </w:r>
    </w:p>
    <w:p w14:paraId="39FAE77B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g. хозяйственного партнерства; </w:t>
      </w:r>
    </w:p>
    <w:p w14:paraId="29B2BA5E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h. полного товарищества; </w:t>
      </w:r>
    </w:p>
    <w:p w14:paraId="0B973B56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67.1 ГК РФ</w:t>
      </w:r>
    </w:p>
    <w:p w14:paraId="1B953F66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Права кредитора по обязательству не переходят к другому лицу на основании закона…</w:t>
      </w:r>
    </w:p>
    <w:p w14:paraId="7B7F5D77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8B48193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вследствие неисполнения должником обязательств по ипотеке перед банком. </w:t>
      </w:r>
    </w:p>
    <w:p w14:paraId="48067D48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вследствие исполнения обязательства не являющимся должником по этому обязательству залогодателем; </w:t>
      </w:r>
    </w:p>
    <w:p w14:paraId="30BCD1E8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по решению суда о переводе прав кредитора на другое лицо; </w:t>
      </w:r>
    </w:p>
    <w:p w14:paraId="7240C032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в результате универсального правопреемства в правах кредитора;</w:t>
      </w:r>
    </w:p>
    <w:p w14:paraId="7726489D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387 гк РФ</w:t>
      </w:r>
    </w:p>
    <w:p w14:paraId="5CC79ED1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Принятые нотариусом закрытые завещания регистрируются нотариусом в</w:t>
      </w:r>
    </w:p>
    <w:p w14:paraId="2D7E8549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Алфавитной книге учета завещаний </w:t>
      </w:r>
      <w:r>
        <w:rPr>
          <w:rFonts w:ascii="Times New Roman" w:hAnsi="Times New Roman"/>
          <w:sz w:val="24"/>
          <w:szCs w:val="24"/>
          <w:shd w:val="clear" w:color="auto" w:fill="FFFFFF"/>
        </w:rPr>
        <w:t>и в реестре нотариальных действий единой информационной системы нотариата с пометкой "закрытое"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8D33FBD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Права на денежные средства, находящихся на вкладе наследодателя, в отношении которого составлено завещательное распоряжение, удостоверенное после 01 марта 2002 года возникают у наследника, указанного в нем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…</w:t>
      </w:r>
    </w:p>
    <w:p w14:paraId="347F923E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121EE5D7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со дня открытия наследства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; </w:t>
      </w:r>
    </w:p>
    <w:p w14:paraId="2BA7513D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с момента, когда он узнал о наличии завещательного распоряжения. </w:t>
      </w:r>
    </w:p>
    <w:p w14:paraId="19D3F17B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с момента получения свидетельства о праве на наследство по завещанию; </w:t>
      </w:r>
    </w:p>
    <w:p w14:paraId="6C3DC399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по истечении шести месяцев со дня смерти наследодателя; </w:t>
      </w:r>
    </w:p>
    <w:p w14:paraId="3CBB789B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1152 П 4 ГК РФ</w:t>
      </w:r>
    </w:p>
    <w:p w14:paraId="3521BFEA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13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Предприятие считается переданным покупателю…</w:t>
      </w:r>
    </w:p>
    <w:p w14:paraId="0F042B12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43CDEBC7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с момента вступления покупателя во владение предприятием; </w:t>
      </w:r>
    </w:p>
    <w:p w14:paraId="0E90FD58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с момента подписания передаточного акта обеими сторонами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; </w:t>
      </w:r>
    </w:p>
    <w:p w14:paraId="7AB593C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с момента вступления покупателя во владение предприятием и подписания передаточного акта покупателем. </w:t>
      </w:r>
    </w:p>
    <w:p w14:paraId="1E6DBA1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с момента подписания передаточного акта покупателем; </w:t>
      </w:r>
    </w:p>
    <w:p w14:paraId="023177BE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563 ГК РФ</w:t>
      </w:r>
    </w:p>
    <w:p w14:paraId="32AA8892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14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По общему правилу при осуществлении прав по закладной владелец закладной:</w:t>
      </w:r>
    </w:p>
    <w:p w14:paraId="11A85FB8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364D2F8A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обязан предъявлять нотариально засвидетельствованную копию закладной соответствующему обязанному лицу по его требованию; </w:t>
      </w:r>
    </w:p>
    <w:p w14:paraId="05655497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вправе осуществлять права по закладной без предъявления закладной соответствующему обязанному лицу; </w:t>
      </w:r>
    </w:p>
    <w:p w14:paraId="3261AD94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обязан предъявлять подлинную закладную соответствующему обязанному лицу по его требованию;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</w:p>
    <w:p w14:paraId="14EC38C8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вправе вместо закладной предъявлять соответствующему обязанному лицу договор об ипотеке. </w:t>
      </w:r>
    </w:p>
    <w:p w14:paraId="3ED65B1D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1 СТ 17 ФЗ 102 ОБ ИПОТЕКЕ</w:t>
      </w:r>
    </w:p>
    <w:p w14:paraId="00EDC69E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15. При наследовании имущества члена крестьянского (фермерского) хозяйства, его супруга, являющаяся членом такого хозяйства:</w:t>
      </w:r>
    </w:p>
    <w:p w14:paraId="787116E4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5CEFA0C5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имеет право только на выделение из имущества члена такого хозяйства доли имущества, нажитого супругами в период брака;</w:t>
      </w:r>
    </w:p>
    <w:p w14:paraId="18CFE585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имеет право также на выделение из имущества члена такого хозяйства доли имущества, нажитого супругами в период брака;</w:t>
      </w:r>
    </w:p>
    <w:p w14:paraId="03E353D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права на имущество члена крестьянского (фермерского) хозяйства не входят в состав наследства.</w:t>
      </w:r>
    </w:p>
    <w:p w14:paraId="640304EE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b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 наследует имущество члена крестьянского (фермерского) хозяйства наравне с иными наследниками умершего члена;</w:t>
      </w:r>
    </w:p>
    <w:p w14:paraId="080F15FA">
      <w:pPr>
        <w:pStyle w:val="7"/>
        <w:ind w:right="-1"/>
        <w:jc w:val="both"/>
        <w:rPr>
          <w:rStyle w:val="9"/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Style w:val="9"/>
          <w:rFonts w:ascii="Times New Roman" w:hAnsi="Times New Roman" w:cs="Times New Roman"/>
          <w:b/>
          <w:color w:val="auto"/>
          <w:sz w:val="24"/>
          <w:szCs w:val="24"/>
        </w:rPr>
        <w:t>Может ли должностное лицо консульских учреждений Российской Федерации обеспечивать доказательства?</w:t>
      </w:r>
    </w:p>
    <w:p w14:paraId="0A06A980">
      <w:pPr>
        <w:pStyle w:val="7"/>
        <w:ind w:right="-1"/>
        <w:rPr>
          <w:rStyle w:val="9"/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  <w:sz w:val="24"/>
          <w:szCs w:val="24"/>
        </w:rPr>
        <w:t>Выберите один или несколько ответов:</w:t>
      </w:r>
    </w:p>
    <w:p w14:paraId="7B716EE1">
      <w:pPr>
        <w:pStyle w:val="7"/>
        <w:ind w:right="-1"/>
        <w:rPr>
          <w:rStyle w:val="12"/>
          <w:rFonts w:ascii="Times New Roman" w:hAnsi="Times New Roman"/>
          <w:b/>
          <w:bCs/>
        </w:rPr>
      </w:pPr>
      <w:r>
        <w:rPr>
          <w:rStyle w:val="12"/>
          <w:rFonts w:ascii="Times New Roman" w:hAnsi="Times New Roman"/>
          <w:b/>
          <w:bCs/>
        </w:rPr>
        <w:t xml:space="preserve">а. нет; </w:t>
      </w:r>
    </w:p>
    <w:p w14:paraId="08C7612A">
      <w:pPr>
        <w:pStyle w:val="7"/>
        <w:ind w:right="-1"/>
        <w:rPr>
          <w:rStyle w:val="12"/>
          <w:rFonts w:ascii="Times New Roman" w:hAnsi="Times New Roman"/>
          <w:bCs/>
        </w:rPr>
      </w:pPr>
      <w:r>
        <w:rPr>
          <w:rStyle w:val="12"/>
          <w:rFonts w:ascii="Times New Roman" w:hAnsi="Times New Roman"/>
          <w:bCs/>
          <w:lang w:val="en-US"/>
        </w:rPr>
        <w:t>b</w:t>
      </w:r>
      <w:r>
        <w:rPr>
          <w:rStyle w:val="12"/>
          <w:rFonts w:ascii="Times New Roman" w:hAnsi="Times New Roman"/>
          <w:bCs/>
        </w:rPr>
        <w:t>. да.</w:t>
      </w:r>
    </w:p>
    <w:p w14:paraId="6870A16F">
      <w:pPr>
        <w:pStyle w:val="7"/>
        <w:pBdr>
          <w:bottom w:val="single" w:color="auto" w:sz="12" w:space="1"/>
        </w:pBdr>
        <w:ind w:right="-1"/>
        <w:jc w:val="both"/>
        <w:rPr>
          <w:rStyle w:val="11"/>
          <w:rFonts w:ascii="Times New Roman" w:hAnsi="Times New Roman"/>
          <w:b w:val="0"/>
          <w:sz w:val="24"/>
          <w:szCs w:val="24"/>
        </w:rPr>
      </w:pPr>
      <w:r>
        <w:rPr>
          <w:rStyle w:val="11"/>
          <w:rFonts w:ascii="Times New Roman" w:hAnsi="Times New Roman"/>
          <w:b w:val="0"/>
          <w:sz w:val="24"/>
          <w:szCs w:val="24"/>
        </w:rPr>
        <w:t>Ст 38 основ</w:t>
      </w:r>
    </w:p>
    <w:p w14:paraId="5F6E5B5E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Style w:val="11"/>
          <w:rFonts w:ascii="Times New Roman" w:hAnsi="Times New Roman"/>
          <w:b w:val="0"/>
          <w:sz w:val="24"/>
          <w:szCs w:val="24"/>
        </w:rPr>
        <w:t xml:space="preserve">17.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Установленные Федеральной нотариальной палатой предельные размеры платы за оказание услуг правового и технического характера обязательны для применения:</w:t>
      </w:r>
    </w:p>
    <w:p w14:paraId="35714261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776D4FAB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всеми нотариусами, в том числе работающими в государственных нотариальных конторах; </w:t>
      </w:r>
    </w:p>
    <w:p w14:paraId="67F26095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всеми вышеперечисленными лицами. </w:t>
      </w:r>
    </w:p>
    <w:p w14:paraId="73FA72E3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главами местных администраций и специально уполномоченными должностными лицами местного самоуправления; </w:t>
      </w:r>
    </w:p>
    <w:p w14:paraId="2C977F43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нотариусами, занимающимися частной практикой; </w:t>
      </w:r>
    </w:p>
    <w:p w14:paraId="784270B0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e. должностными лицами консульских учреждений; </w:t>
      </w:r>
    </w:p>
    <w:p w14:paraId="7421C53D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ПИСЬМО ФНП ОТ 20/11/2017</w:t>
      </w:r>
    </w:p>
    <w:p w14:paraId="67ADBFC3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18. Обязан ли ссудополучатель пользоваться имуществом в соответствии с назначением имущества при условии, что такие условия договором безвозмездного пользования не определены</w:t>
      </w:r>
    </w:p>
    <w:p w14:paraId="361CBBE5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Арендатор обязан пользоваться арендованным имуществом в соответствии с условиями договора аренды, а если такие условия в договоре не определены, в соответствии с назначением имущества.</w:t>
      </w:r>
    </w:p>
    <w:p w14:paraId="2E5C0E20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615 ГК РФ</w:t>
      </w:r>
    </w:p>
    <w:p w14:paraId="2E837B11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7E4B5E84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19. Кодекс профессиональной этики нотариусов в РФ устанавливает требования для:</w:t>
      </w:r>
    </w:p>
    <w:p w14:paraId="619F73A4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Нотариусов и лиц, их замещающих</w:t>
      </w:r>
    </w:p>
    <w:p w14:paraId="500FF799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20.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На какой срок по общему правилу товар, проданный в кредит, передается в залог на основании закона?</w:t>
      </w:r>
    </w:p>
    <w:p w14:paraId="08959571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3E6FF35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до получения уведомления от продавца о снятии обременения; </w:t>
      </w:r>
    </w:p>
    <w:p w14:paraId="352F062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до внесения сведений о прекращении залога в реестр уведомлений о залоге движимого имущества; </w:t>
      </w:r>
    </w:p>
    <w:p w14:paraId="403033FA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на срок, предусмотренный соглашением сторон, но не более трех лет с даты передачи товара. </w:t>
      </w:r>
    </w:p>
    <w:p w14:paraId="40A5CDF5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до полной оплаты товара; </w:t>
      </w:r>
    </w:p>
    <w:p w14:paraId="2E035110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5 СТ 488 ГК РФ</w:t>
      </w:r>
    </w:p>
    <w:p w14:paraId="43F07E01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21. </w:t>
      </w:r>
      <w:r>
        <w:rPr>
          <w:rFonts w:ascii="Times New Roman" w:hAnsi="Times New Roman"/>
          <w:b/>
          <w:sz w:val="24"/>
          <w:szCs w:val="24"/>
        </w:rPr>
        <w:t>Вправе ли командир воинской части удостоверять завещания членов семей гражданских лиц, работающих в этой части?</w:t>
      </w:r>
    </w:p>
    <w:p w14:paraId="331C200A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D77D81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да, во всех случаях;</w:t>
      </w:r>
    </w:p>
    <w:p w14:paraId="69AB0AD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да, если воинская часть находится на территории закрытого территориального образования.</w:t>
      </w:r>
    </w:p>
    <w:p w14:paraId="07A68273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нет, во всех случаях;</w:t>
      </w:r>
    </w:p>
    <w:p w14:paraId="25A27D16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да, если в пункте дислокации воинской части нет нотариусов; </w:t>
      </w:r>
    </w:p>
    <w:p w14:paraId="5BCE4520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>СТ 1127 ГК РФ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BC53318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22. </w:t>
      </w:r>
      <w:r>
        <w:rPr>
          <w:rFonts w:ascii="Times New Roman" w:hAnsi="Times New Roman"/>
          <w:b/>
          <w:sz w:val="24"/>
          <w:szCs w:val="24"/>
        </w:rPr>
        <w:t>Что означает удостоверение равнозначности электронного документа документу на бумажном носителе?</w:t>
      </w:r>
    </w:p>
    <w:p w14:paraId="52CA9A5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5F81F901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подтверждение тождественности содержания, представленного нотариусу электронного документа содержанию изготовленного нотариусом документа на бумажном носителе;</w:t>
      </w:r>
    </w:p>
    <w:p w14:paraId="114390EA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Ь. подтверждение тождественности содержания, изготовленного нотариусом электронного документа содержанию документа, представленного нотариусу на бумажном носителе;</w:t>
      </w:r>
    </w:p>
    <w:p w14:paraId="02F4B1A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подтверждение равной юридической силы изготовленного нотариусом электронного документа и документа, представленного нотариусу на бумажном носителе;</w:t>
      </w:r>
    </w:p>
    <w:p w14:paraId="6E3C549F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</w:rPr>
        <w:t>. подтверждение равной юридической силы представленного нотариусу документа на бумажном носителе и изготовленного нотариусом электронного документа</w:t>
      </w:r>
    </w:p>
    <w:p w14:paraId="44CCFE8E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23. </w:t>
      </w:r>
      <w:r>
        <w:rPr>
          <w:rFonts w:ascii="Times New Roman" w:hAnsi="Times New Roman"/>
          <w:b/>
          <w:sz w:val="24"/>
          <w:szCs w:val="24"/>
        </w:rPr>
        <w:t>Если в доверенности не указан срок ее действия, и она не предназначена для совершения действий за границей, то в течение какого времени она сохраняет свою силу?</w:t>
      </w:r>
    </w:p>
    <w:p w14:paraId="5E3AFC19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1549773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3 лет;</w:t>
      </w:r>
    </w:p>
    <w:p w14:paraId="1B3D158F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b/>
          <w:sz w:val="24"/>
          <w:szCs w:val="24"/>
        </w:rPr>
        <w:t>1 года;</w:t>
      </w:r>
    </w:p>
    <w:p w14:paraId="11BAB084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до момента ее отмены, лицом, выдавшим доверенность.</w:t>
      </w:r>
    </w:p>
    <w:p w14:paraId="70306222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186 ГК РФ</w:t>
      </w:r>
    </w:p>
    <w:p w14:paraId="37B8FF33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24. При удостоверении сделки представителем гражданина нотариус проверяет:</w:t>
      </w:r>
    </w:p>
    <w:p w14:paraId="1D5933B8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Полномочия представителя</w:t>
      </w:r>
    </w:p>
    <w:p w14:paraId="4065CC3B">
      <w:pPr>
        <w:pStyle w:val="7"/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25. Прекращается ли право пожизненного наследуемого владения или постоянного (бессрочного) пользования на земельный участок, представленный гражданину до введения в действие Земельного кодекса Российской Федерации, в случае регистрации права собственности в упрощенном порядке на такой земельный участок?</w:t>
      </w:r>
    </w:p>
    <w:p w14:paraId="07D7F4B2">
      <w:pPr>
        <w:pStyle w:val="7"/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</w:t>
      </w:r>
      <w:r>
        <w:rPr>
          <w:rFonts w:ascii="Times New Roman" w:hAnsi="Times New Roman"/>
          <w:b/>
          <w:sz w:val="24"/>
          <w:szCs w:val="24"/>
        </w:rPr>
        <w:t>. да, прекращается;</w:t>
      </w:r>
    </w:p>
    <w:p w14:paraId="41F1127A">
      <w:pPr>
        <w:pStyle w:val="7"/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продолжает существовать.</w:t>
      </w:r>
    </w:p>
    <w:p w14:paraId="08F5C0BB">
      <w:pPr>
        <w:pStyle w:val="7"/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49 ФЗ 218 ЕГРН</w:t>
      </w:r>
    </w:p>
    <w:p w14:paraId="20785122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26.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Недостойные наследники вправе наследовать...</w:t>
      </w:r>
    </w:p>
    <w:p w14:paraId="4CD1042E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260B82E2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а.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по завещанию, если наследодатель завещал им имущество после утраты ими права наследования.</w:t>
      </w:r>
    </w:p>
    <w:p w14:paraId="3AFB8A47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Ь. по закону;</w:t>
      </w:r>
    </w:p>
    <w:p w14:paraId="07FD6406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по любому основанию при отказе от принятия наследства всеми остальными наследниками;</w:t>
      </w:r>
    </w:p>
    <w:p w14:paraId="2DB17B3F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по завещанию;</w:t>
      </w:r>
    </w:p>
    <w:p w14:paraId="6C523D1D">
      <w:pPr>
        <w:pStyle w:val="7"/>
        <w:pBdr>
          <w:bottom w:val="single" w:color="auto" w:sz="12" w:space="1"/>
        </w:pBdr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1117 ГК РФ П 1</w:t>
      </w:r>
    </w:p>
    <w:p w14:paraId="6977485B">
      <w:pPr>
        <w:pStyle w:val="7"/>
        <w:tabs>
          <w:tab w:val="left" w:pos="993"/>
          <w:tab w:val="left" w:pos="1418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27.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Перечень оснований для отказа в государственной регистрации юридического лица при создании является…</w:t>
      </w:r>
    </w:p>
    <w:p w14:paraId="39F61BBE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1CA15D2D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a. закрытым. </w:t>
      </w:r>
    </w:p>
    <w:p w14:paraId="31B6E4E7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открытым; </w:t>
      </w:r>
    </w:p>
    <w:p w14:paraId="58EE4E0C">
      <w:pPr>
        <w:pStyle w:val="7"/>
        <w:pBdr>
          <w:bottom w:val="single" w:color="auto" w:sz="12" w:space="1"/>
        </w:pBdr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23 ФЗ 129 О РЕГИСТРАЦИИ ЮР ЛИЦ ИП</w:t>
      </w:r>
    </w:p>
    <w:p w14:paraId="6D1702AD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28.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Удостоверение каких документов может приравниваться к нотариальным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: </w:t>
      </w:r>
    </w:p>
    <w:p w14:paraId="6051552F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354C9816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а. удостоверение факта нахождения гражданина в живых;</w:t>
      </w:r>
    </w:p>
    <w:p w14:paraId="75CFE09B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Ь.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удостоверение завещания.</w:t>
      </w:r>
    </w:p>
    <w:p w14:paraId="52703323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с. Удостоверение доверенности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;</w:t>
      </w:r>
    </w:p>
    <w:p w14:paraId="5618C06E">
      <w:pPr>
        <w:pStyle w:val="7"/>
        <w:pBdr>
          <w:bottom w:val="single" w:color="auto" w:sz="12" w:space="1"/>
        </w:pBdr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185.1 + 1127 гк рф.</w:t>
      </w:r>
    </w:p>
    <w:p w14:paraId="0F5B7581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</w:t>
      </w:r>
      <w:r>
        <w:rPr>
          <w:rFonts w:ascii="Times New Roman" w:hAnsi="Times New Roman"/>
          <w:b/>
          <w:sz w:val="24"/>
          <w:szCs w:val="24"/>
        </w:rPr>
        <w:t>. При отсутствии полномочий действовать от имени другого лица или при превышении таких полномочий сделка считается…</w:t>
      </w:r>
    </w:p>
    <w:p w14:paraId="3EC81392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750AAE6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заключенной от имени в интересах представляемого, если он впоследствии не оспорит ее в суде;</w:t>
      </w:r>
    </w:p>
    <w:p w14:paraId="5067B667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заключенной от имени и в интересах совершившего ее лица;</w:t>
      </w:r>
    </w:p>
    <w:p w14:paraId="705F3B90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заключенной от имени и в интересах совершившего ее лица, если представляемый впоследствии не одобрит данную сделку.</w:t>
      </w:r>
    </w:p>
    <w:p w14:paraId="5749104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незаключенной;</w:t>
      </w:r>
    </w:p>
    <w:p w14:paraId="0CA64290">
      <w:pPr>
        <w:pStyle w:val="7"/>
        <w:pBdr>
          <w:bottom w:val="single" w:color="auto" w:sz="12" w:space="1"/>
        </w:pBdr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1 СТ 183 ГК РФ</w:t>
      </w:r>
    </w:p>
    <w:p w14:paraId="493383A3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30. </w:t>
      </w:r>
      <w:r>
        <w:rPr>
          <w:rFonts w:ascii="Times New Roman" w:hAnsi="Times New Roman"/>
          <w:b/>
          <w:sz w:val="24"/>
          <w:szCs w:val="24"/>
        </w:rPr>
        <w:t>Возможно ли принять наследство по истечении установленного законом срока?</w:t>
      </w:r>
    </w:p>
    <w:p w14:paraId="51AC1CFE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B26452D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да, без обращения в суд при условии согласия на это всех остальных наследников по закону.</w:t>
      </w:r>
    </w:p>
    <w:p w14:paraId="300CBF76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b/>
          <w:sz w:val="24"/>
          <w:szCs w:val="24"/>
        </w:rPr>
        <w:t>да, при условии согласия в письменной форме на это всех остальных наследников, принявших наследство;</w:t>
      </w:r>
    </w:p>
    <w:p w14:paraId="328FDF2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да, но только при обращении в суд;</w:t>
      </w:r>
    </w:p>
    <w:p w14:paraId="4E97FC6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нет, наследство не может быть принято наследником по истечении срока, установленного для его принятия;</w:t>
      </w:r>
    </w:p>
    <w:p w14:paraId="343B0820">
      <w:pPr>
        <w:pStyle w:val="7"/>
        <w:pBdr>
          <w:bottom w:val="single" w:color="auto" w:sz="12" w:space="1"/>
        </w:pBdr>
        <w:tabs>
          <w:tab w:val="left" w:pos="993"/>
          <w:tab w:val="left" w:pos="1418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1155 п 2</w:t>
      </w:r>
    </w:p>
    <w:p w14:paraId="32A03721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31. </w:t>
      </w:r>
      <w:r>
        <w:rPr>
          <w:rFonts w:ascii="Times New Roman" w:hAnsi="Times New Roman" w:eastAsia="Times New Roman"/>
          <w:sz w:val="24"/>
          <w:szCs w:val="24"/>
        </w:rPr>
        <w:t>Допускается ли подназначение наследника на случай, если наследник не будет иметь право наследовать или будет отстранен от наследования как недостойный?</w:t>
      </w:r>
    </w:p>
    <w:p w14:paraId="08F114F8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>Выберите один или несколько ответов:</w:t>
      </w:r>
    </w:p>
    <w:p w14:paraId="3C52ADBB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 xml:space="preserve"> а. нет.</w:t>
      </w:r>
    </w:p>
    <w:p w14:paraId="66AB06D1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</w:rPr>
        <w:t>B. да;</w:t>
      </w:r>
    </w:p>
    <w:p w14:paraId="1D1A0A37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СТ. 1121 ГК РФ </w:t>
      </w:r>
    </w:p>
    <w:p w14:paraId="624C683F">
      <w:pPr>
        <w:pStyle w:val="7"/>
        <w:ind w:right="-1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0ABC8C28">
      <w:pPr>
        <w:pStyle w:val="7"/>
        <w:ind w:right="-1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415551CD">
      <w:pPr>
        <w:pStyle w:val="7"/>
        <w:ind w:right="-1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7C7F9952">
      <w:pPr>
        <w:pStyle w:val="7"/>
        <w:ind w:right="-1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43834024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32. </w:t>
      </w:r>
      <w:r>
        <w:rPr>
          <w:rFonts w:ascii="Times New Roman" w:hAnsi="Times New Roman"/>
          <w:b/>
          <w:sz w:val="24"/>
          <w:szCs w:val="24"/>
        </w:rPr>
        <w:t>При расторжении брака с наследодателем в судебном порядке лишается ли бывший супруг права на наследство</w:t>
      </w:r>
      <w:r>
        <w:rPr>
          <w:rFonts w:ascii="Times New Roman" w:hAnsi="Times New Roman"/>
          <w:sz w:val="24"/>
          <w:szCs w:val="24"/>
        </w:rPr>
        <w:t>…</w:t>
      </w:r>
    </w:p>
    <w:p w14:paraId="40ABBBEA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B1AE965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лишается права наследовать в качестве наследника первой очереди, вне зависимости от даты вступления в законную силу решения суда;</w:t>
      </w:r>
    </w:p>
    <w:p w14:paraId="4774E08B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b/>
          <w:sz w:val="24"/>
          <w:szCs w:val="24"/>
        </w:rPr>
        <w:t>лишается права наследовать в качестве наследника первой очереди, если решение суда вступило в законную силу до дня открытия наследства;</w:t>
      </w:r>
    </w:p>
    <w:p w14:paraId="2641718B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не лишается права наследовать в качестве наследника первой очереди, если не внесена актовая запись о расторжении брака в органах ЗАГС на основании решения суда.</w:t>
      </w:r>
    </w:p>
    <w:p w14:paraId="4D0A93A5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Style w:val="14"/>
          <w:rFonts w:ascii="Times New Roman" w:hAnsi="Times New Roman"/>
          <w:b/>
          <w:sz w:val="24"/>
          <w:szCs w:val="24"/>
        </w:rPr>
        <w:t xml:space="preserve">В </w:t>
      </w:r>
      <w:r>
        <w:rPr>
          <w:rStyle w:val="13"/>
          <w:rFonts w:ascii="Times New Roman" w:hAnsi="Times New Roman" w:cs="Times New Roman"/>
          <w:b/>
          <w:color w:val="auto"/>
          <w:sz w:val="24"/>
          <w:szCs w:val="24"/>
        </w:rPr>
        <w:t>какой форме может заключаться договор пожизненного содержания с иждивением?</w:t>
      </w:r>
    </w:p>
    <w:p w14:paraId="3027E28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Style w:val="13"/>
          <w:rFonts w:ascii="Times New Roman" w:hAnsi="Times New Roman" w:cs="Times New Roman"/>
          <w:color w:val="auto"/>
          <w:sz w:val="24"/>
          <w:szCs w:val="24"/>
        </w:rPr>
        <w:t>Выберите один или несколько ответов:</w:t>
      </w:r>
    </w:p>
    <w:p w14:paraId="01D8F0C2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9"/>
          <w:rFonts w:ascii="Times New Roman" w:hAnsi="Times New Roman" w:cs="Times New Roman"/>
          <w:b/>
          <w:color w:val="auto"/>
        </w:rPr>
        <w:t xml:space="preserve"> </w:t>
      </w:r>
      <w:r>
        <w:rPr>
          <w:rStyle w:val="13"/>
          <w:rFonts w:ascii="Times New Roman" w:hAnsi="Times New Roman" w:cs="Times New Roman"/>
          <w:b/>
          <w:color w:val="auto"/>
          <w:sz w:val="24"/>
          <w:szCs w:val="24"/>
        </w:rPr>
        <w:t>а. нотариальная форма;</w:t>
      </w:r>
    </w:p>
    <w:p w14:paraId="4110A1C9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</w:rPr>
        <w:t xml:space="preserve"> </w:t>
      </w:r>
      <w:r>
        <w:rPr>
          <w:rStyle w:val="13"/>
          <w:rFonts w:ascii="Times New Roman" w:hAnsi="Times New Roman" w:cs="Times New Roman"/>
          <w:color w:val="auto"/>
          <w:sz w:val="24"/>
          <w:szCs w:val="24"/>
        </w:rPr>
        <w:t>Ь. простая письменная форма путем составления одного документа, подписанного сторонами;</w:t>
      </w:r>
    </w:p>
    <w:p w14:paraId="6ECB3143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</w:rPr>
        <w:t xml:space="preserve"> </w:t>
      </w:r>
      <w:r>
        <w:rPr>
          <w:rStyle w:val="13"/>
          <w:rFonts w:ascii="Times New Roman" w:hAnsi="Times New Roman" w:cs="Times New Roman"/>
          <w:color w:val="auto"/>
          <w:sz w:val="24"/>
          <w:szCs w:val="24"/>
        </w:rPr>
        <w:t>с. устная форма;</w:t>
      </w:r>
    </w:p>
    <w:p w14:paraId="5DAB98E9">
      <w:pPr>
        <w:pStyle w:val="7"/>
        <w:ind w:right="-1"/>
        <w:rPr>
          <w:rStyle w:val="13"/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ascii="Times New Roman" w:hAnsi="Times New Roman" w:cs="Times New Roman"/>
          <w:color w:val="auto"/>
        </w:rPr>
        <w:t xml:space="preserve"> </w:t>
      </w:r>
      <w:r>
        <w:rPr>
          <w:rStyle w:val="13"/>
          <w:rFonts w:ascii="Times New Roman" w:hAnsi="Times New Roman" w:cs="Times New Roman"/>
          <w:color w:val="auto"/>
          <w:sz w:val="24"/>
          <w:szCs w:val="24"/>
          <w:lang w:val="en-US" w:eastAsia="en-US" w:bidi="en-US"/>
        </w:rPr>
        <w:t>d</w:t>
      </w:r>
      <w:r>
        <w:rPr>
          <w:rStyle w:val="13"/>
          <w:rFonts w:ascii="Times New Roman" w:hAnsi="Times New Roman" w:cs="Times New Roman"/>
          <w:color w:val="auto"/>
          <w:sz w:val="24"/>
          <w:szCs w:val="24"/>
          <w:lang w:eastAsia="en-US" w:bidi="en-US"/>
        </w:rPr>
        <w:t xml:space="preserve">. </w:t>
      </w:r>
      <w:r>
        <w:rPr>
          <w:rStyle w:val="13"/>
          <w:rFonts w:ascii="Times New Roman" w:hAnsi="Times New Roman" w:cs="Times New Roman"/>
          <w:color w:val="auto"/>
          <w:sz w:val="24"/>
          <w:szCs w:val="24"/>
        </w:rPr>
        <w:t xml:space="preserve">простая письменная форма путем обмена письмами, телеграммами, телексами, телефаксами и иными документами, в том числе электронными </w:t>
      </w:r>
    </w:p>
    <w:p w14:paraId="32FD5F7A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Style w:val="13"/>
          <w:rFonts w:ascii="Times New Roman" w:hAnsi="Times New Roman" w:cs="Times New Roman"/>
          <w:color w:val="auto"/>
          <w:sz w:val="24"/>
          <w:szCs w:val="24"/>
        </w:rPr>
        <w:t>документами, передаваемыми по каналам связи, позволяющими достоверно установить, что документ исходит от стороны по договору.</w:t>
      </w:r>
    </w:p>
    <w:p w14:paraId="2C822811">
      <w:pPr>
        <w:pStyle w:val="7"/>
        <w:ind w:right="-1"/>
        <w:jc w:val="both"/>
        <w:rPr>
          <w:rStyle w:val="11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1"/>
          <w:rFonts w:ascii="Times New Roman" w:hAnsi="Times New Roman"/>
          <w:b w:val="0"/>
          <w:bCs w:val="0"/>
          <w:sz w:val="24"/>
          <w:szCs w:val="24"/>
        </w:rPr>
        <w:t>Ст 584 ГК РФ</w:t>
      </w:r>
    </w:p>
    <w:p w14:paraId="6AA239EE">
      <w:pPr>
        <w:pStyle w:val="7"/>
        <w:pBdr>
          <w:top w:val="single" w:color="auto" w:sz="12" w:space="1"/>
          <w:bottom w:val="single" w:color="auto" w:sz="12" w:space="1"/>
        </w:pBdr>
        <w:ind w:right="-1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Style w:val="11"/>
          <w:rFonts w:ascii="Times New Roman" w:hAnsi="Times New Roman"/>
          <w:b w:val="0"/>
          <w:bCs w:val="0"/>
          <w:sz w:val="24"/>
          <w:szCs w:val="24"/>
        </w:rPr>
        <w:t xml:space="preserve">34. </w:t>
      </w:r>
      <w:r>
        <w:rPr>
          <w:rFonts w:ascii="Arial" w:hAnsi="Arial" w:cs="Arial"/>
          <w:color w:val="000000"/>
          <w:shd w:val="clear" w:color="auto" w:fill="FFFFFF"/>
        </w:rPr>
        <w:t>Вексель – это ценная бумага, подтверждающая обязанность должника (векселедателя) уплатить указанную сумму кредитору (векселедержателю) через оговоренный срок после предъявления векселя к оплате.</w:t>
      </w:r>
    </w:p>
    <w:p w14:paraId="241B9CEE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35. </w:t>
      </w:r>
      <w:r>
        <w:rPr>
          <w:rFonts w:ascii="Times New Roman" w:hAnsi="Times New Roman"/>
          <w:b/>
          <w:sz w:val="24"/>
          <w:szCs w:val="24"/>
        </w:rPr>
        <w:t>Кто из перечисленных лиц может удостоверить завещание гражданина, проживающего в доме для престарелых и инвалидов?</w:t>
      </w:r>
    </w:p>
    <w:p w14:paraId="05A98CA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7FC3A3C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а. </w:t>
      </w:r>
      <w:r>
        <w:rPr>
          <w:rFonts w:ascii="Times New Roman" w:hAnsi="Times New Roman"/>
          <w:b/>
          <w:sz w:val="24"/>
          <w:szCs w:val="24"/>
        </w:rPr>
        <w:t>главный врач дома для престарелых и инвалидов;</w:t>
      </w:r>
    </w:p>
    <w:p w14:paraId="5351E689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заместитель главного врача дома для престарелых и инвалидов по медицинской части.</w:t>
      </w:r>
    </w:p>
    <w:p w14:paraId="6EA8FD89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с. </w:t>
      </w:r>
      <w:r>
        <w:rPr>
          <w:rFonts w:ascii="Times New Roman" w:hAnsi="Times New Roman"/>
          <w:b/>
          <w:sz w:val="24"/>
          <w:szCs w:val="24"/>
        </w:rPr>
        <w:t>директор дома для престарелых и инвалидов;</w:t>
      </w:r>
    </w:p>
    <w:p w14:paraId="2BEF23F4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П1 СТ 1127 ГК РФ </w:t>
      </w:r>
    </w:p>
    <w:p w14:paraId="148694E8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36.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Требуется сдача повторного квалификационного экзамена, если…</w:t>
      </w:r>
    </w:p>
    <w:p w14:paraId="2204B268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1895A1B9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лицо, сдавшее квалификационный экзамен, не приступившее в течение двух лет к работе в должности нотариуса, помощника нотариуса, или к замещению временно </w:t>
      </w:r>
      <w:r>
        <w:rPr>
          <w:rFonts w:ascii="Times New Roman" w:hAnsi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отсутствующего нотариуса; </w:t>
      </w:r>
    </w:p>
    <w:p w14:paraId="4846F96D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лицо, сдавшее квалификационный экзамен, назначенное на должность нотариуса, но не приступившее в течение четырех лет к работе в должности нотариуса в связи </w:t>
      </w:r>
      <w:r>
        <w:rPr>
          <w:rFonts w:ascii="Times New Roman" w:hAnsi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 избранием его депутатом Государственной Думы; </w:t>
      </w:r>
    </w:p>
    <w:p w14:paraId="0A8C3988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c. лицо, сдавшее квалификационный экзамен, но не приступившее к работе в должности помощника нотариуса, или к замещению временно отсутствующего нотариуса, или не назначенное на должность нотариуса в течение трех лет с момента сдачи экзамена либо имеющее перерыв свыше пяти лет в работе в должности нотариуса (после сложения полномочий), помощника нотариуса или в замещении временно отсутствующего нотариуса; </w:t>
      </w:r>
    </w:p>
    <w:p w14:paraId="2AF8463A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лицо, сдавшее квалификационный экзамен, и в течении пяти лет не приступившее к работе в должности нотариуса, но работавшее все это время помощником нотариуса. </w:t>
      </w:r>
    </w:p>
    <w:p w14:paraId="39F2828A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3.1 ОСНОВ</w:t>
      </w:r>
    </w:p>
    <w:p w14:paraId="3FDB73D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37. </w:t>
      </w:r>
      <w:r>
        <w:rPr>
          <w:rFonts w:ascii="Times New Roman" w:hAnsi="Times New Roman"/>
          <w:b/>
          <w:sz w:val="24"/>
          <w:szCs w:val="24"/>
        </w:rPr>
        <w:t>На каком виде права могут обладать земельными участками из земель сельскохозяйственного назначения иностранные граждане, иностранные юридические лица, лица без гражданства, а также юридические лица, в уставном (складочном) капитале которых доли иностранных граждан, иностранных юридических лиц, лиц без гражданства составляют менее чем 50 %?</w:t>
      </w:r>
    </w:p>
    <w:p w14:paraId="77C3DB7C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76074AB7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только на праве аренды;</w:t>
      </w:r>
    </w:p>
    <w:p w14:paraId="550E597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на праве сервитута.</w:t>
      </w:r>
    </w:p>
    <w:p w14:paraId="2DB58F15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на праве безвозмездного срочного пользования;</w:t>
      </w:r>
    </w:p>
    <w:p w14:paraId="2FA9A90A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на праве собственности;</w:t>
      </w:r>
    </w:p>
    <w:p w14:paraId="16E5911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e. на праве постоянного (бессрочного) пользования;</w:t>
      </w:r>
    </w:p>
    <w:p w14:paraId="1923F22F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3 ФЗ 101 ОБ ОБОРОТЕ СЕЛЬХОЗ ЗУ</w:t>
      </w:r>
    </w:p>
    <w:p w14:paraId="6B5367D8">
      <w:pPr>
        <w:pStyle w:val="7"/>
        <w:ind w:right="-1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38. </w:t>
      </w:r>
      <w:r>
        <w:rPr>
          <w:rFonts w:ascii="Arial" w:hAnsi="Arial" w:cs="Arial"/>
          <w:color w:val="333333"/>
          <w:shd w:val="clear" w:color="auto" w:fill="FFFFFF"/>
        </w:rPr>
        <w:t>При аренде земельного участка, находящегося в государственной или муниципальной собственности, на срок более чем пять лет арендатор земельного участка имеет право, если иное не установлено федеральными </w:t>
      </w:r>
      <w:r>
        <w:t>законами</w:t>
      </w:r>
      <w:r>
        <w:rPr>
          <w:rFonts w:ascii="Arial" w:hAnsi="Arial" w:cs="Arial"/>
          <w:color w:val="333333"/>
          <w:shd w:val="clear" w:color="auto" w:fill="FFFFFF"/>
        </w:rPr>
        <w:t>, в пределах срока договора аренды земельного участка передавать свои права и обязанности по этому договору третьему лицу, в том числе права и обязанности, указанные в </w:t>
      </w:r>
      <w:r>
        <w:fldChar w:fldCharType="begin"/>
      </w:r>
      <w:r>
        <w:instrText xml:space="preserve"> HYPERLINK "http://www.consultant.ru/document/cons_doc_LAW_300880/0d8d747e3b9275980d0ee41932e25b2591a0ab2a/" \l "dst1" </w:instrText>
      </w:r>
      <w:r>
        <w:fldChar w:fldCharType="separate"/>
      </w:r>
      <w:r>
        <w:rPr>
          <w:rStyle w:val="4"/>
          <w:rFonts w:ascii="Arial" w:hAnsi="Arial" w:cs="Arial"/>
          <w:color w:val="666699"/>
          <w:shd w:val="clear" w:color="auto" w:fill="FFFFFF"/>
        </w:rPr>
        <w:t>пунктах 5</w:t>
      </w:r>
      <w:r>
        <w:rPr>
          <w:rStyle w:val="4"/>
          <w:rFonts w:ascii="Arial" w:hAnsi="Arial" w:cs="Arial"/>
          <w:color w:val="666699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hd w:val="clear" w:color="auto" w:fill="FFFFFF"/>
        </w:rPr>
        <w:t> и </w:t>
      </w:r>
      <w:r>
        <w:fldChar w:fldCharType="begin"/>
      </w:r>
      <w:r>
        <w:instrText xml:space="preserve"> HYPERLINK "http://www.consultant.ru/document/cons_doc_LAW_300880/0d8d747e3b9275980d0ee41932e25b2591a0ab2a/" \l "dst2" </w:instrText>
      </w:r>
      <w:r>
        <w:fldChar w:fldCharType="separate"/>
      </w:r>
      <w:r>
        <w:rPr>
          <w:rStyle w:val="4"/>
          <w:rFonts w:ascii="Arial" w:hAnsi="Arial" w:cs="Arial"/>
          <w:color w:val="666699"/>
          <w:shd w:val="clear" w:color="auto" w:fill="FFFFFF"/>
        </w:rPr>
        <w:t>6</w:t>
      </w:r>
      <w:r>
        <w:rPr>
          <w:rStyle w:val="4"/>
          <w:rFonts w:ascii="Arial" w:hAnsi="Arial" w:cs="Arial"/>
          <w:color w:val="666699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hd w:val="clear" w:color="auto" w:fill="FFFFFF"/>
        </w:rPr>
        <w:t>настоящей статьи, без согласия арендодателя при условии его уведомления</w:t>
      </w:r>
    </w:p>
    <w:p w14:paraId="6C146074">
      <w:pPr>
        <w:pStyle w:val="7"/>
        <w:pBdr>
          <w:bottom w:val="single" w:color="auto" w:sz="12" w:space="1"/>
        </w:pBdr>
        <w:ind w:right="-1"/>
        <w:jc w:val="both"/>
        <w:rPr>
          <w:rStyle w:val="15"/>
          <w:rFonts w:ascii="Arial" w:hAnsi="Arial" w:cs="Arial"/>
          <w:bCs/>
          <w:color w:val="333333"/>
          <w:shd w:val="clear" w:color="auto" w:fill="FFFFFF"/>
        </w:rPr>
      </w:pPr>
      <w:r>
        <w:rPr>
          <w:rStyle w:val="15"/>
          <w:rFonts w:ascii="Arial" w:hAnsi="Arial" w:cs="Arial"/>
          <w:bCs/>
          <w:color w:val="333333"/>
          <w:shd w:val="clear" w:color="auto" w:fill="FFFFFF"/>
        </w:rPr>
        <w:t>ЗК РФ Статья 22</w:t>
      </w:r>
    </w:p>
    <w:p w14:paraId="55BD53CF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39.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Предметом завещательного отказа не может быть…</w:t>
      </w:r>
    </w:p>
    <w:p w14:paraId="701B975A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4769C359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приобретение для отказополучателя и передача ему транспортного средства; </w:t>
      </w:r>
    </w:p>
    <w:p w14:paraId="439A7B09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осуществление в пользу отказополучателя периодических платежей. </w:t>
      </w:r>
    </w:p>
    <w:p w14:paraId="225A85F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выполнение для отказополучателя определенной работы; </w:t>
      </w:r>
    </w:p>
    <w:p w14:paraId="1CCAFECF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содержание принадлежащих завещателю домашних животных; </w:t>
      </w:r>
    </w:p>
    <w:p w14:paraId="2A382175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e. передача в собственность вещи, входящей в состав наследства; </w:t>
      </w:r>
    </w:p>
    <w:p w14:paraId="5E729C10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1137+1139 ГК РФ</w:t>
      </w:r>
    </w:p>
    <w:p w14:paraId="1CF74859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40</w:t>
      </w:r>
      <w:r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Дети обязаны содержать своих родителей в случае:</w:t>
      </w:r>
    </w:p>
    <w:p w14:paraId="66F2AE86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6F3F97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дети не обязаны содержать своих родителей.</w:t>
      </w:r>
    </w:p>
    <w:p w14:paraId="4268CDCD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если дети являются совершеннолетними и трудоспособными;</w:t>
      </w:r>
    </w:p>
    <w:p w14:paraId="0F3FCBBF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если дети являются совершеннолетними и трудоспособными, а родители – нетрудоспособными и нуждающимися;</w:t>
      </w:r>
    </w:p>
    <w:p w14:paraId="7F11A3BD">
      <w:pPr>
        <w:pStyle w:val="7"/>
        <w:ind w:right="-1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если дети являются совершеннолетними; </w:t>
      </w:r>
    </w:p>
    <w:p w14:paraId="193C897D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ст. 87 СК 1. </w:t>
      </w:r>
    </w:p>
    <w:p w14:paraId="4B6D0A2E">
      <w:pPr>
        <w:pStyle w:val="7"/>
        <w:pBdr>
          <w:top w:val="single" w:color="auto" w:sz="12" w:space="1"/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41. Вексель является документарной ценной бумагой</w:t>
      </w:r>
    </w:p>
    <w:p w14:paraId="08322893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</w:t>
      </w:r>
      <w:r>
        <w:rPr>
          <w:rFonts w:ascii="Times New Roman" w:hAnsi="Times New Roman"/>
          <w:b/>
          <w:sz w:val="24"/>
          <w:szCs w:val="24"/>
        </w:rPr>
        <w:t>. В каком случае в договоре возможно предусмотреть, что залог на основании закона не возникает?</w:t>
      </w:r>
    </w:p>
    <w:p w14:paraId="2F1758A1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передаче под выплату ренты земельного участка или другого недвижимого имущества</w:t>
      </w:r>
    </w:p>
    <w:p w14:paraId="174780DC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приобретении в рассрочку государственного или муниципального имущества</w:t>
      </w:r>
    </w:p>
    <w:p w14:paraId="7E180AD0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 оплате товара в кредит</w:t>
      </w:r>
    </w:p>
    <w:p w14:paraId="5B605F09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 приобретении земельного участка с использованием кредитных средств банка</w:t>
      </w:r>
    </w:p>
    <w:p w14:paraId="5E8331D1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43. </w:t>
      </w:r>
      <w:r>
        <w:rPr>
          <w:rFonts w:ascii="Times New Roman" w:hAnsi="Times New Roman"/>
          <w:b/>
          <w:sz w:val="24"/>
          <w:szCs w:val="24"/>
        </w:rPr>
        <w:t>При передаче нотариусом документов физических и юридических лиц другим физическим и юридическим лицам в состав передаваемых документов включается…</w:t>
      </w:r>
    </w:p>
    <w:p w14:paraId="5A558E9F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6ACA92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заявление лица, обратившегося за совершением такого нотариального действия;</w:t>
      </w:r>
    </w:p>
    <w:p w14:paraId="5460E3F2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b/>
          <w:sz w:val="24"/>
          <w:szCs w:val="24"/>
        </w:rPr>
        <w:t>сопроводительное письмо нотариуса;</w:t>
      </w:r>
    </w:p>
    <w:p w14:paraId="00425A1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свидетельство о направлении документов.</w:t>
      </w:r>
    </w:p>
    <w:p w14:paraId="039D61C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свидетельство о передаче документов;</w:t>
      </w:r>
    </w:p>
    <w:p w14:paraId="7DACF02C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86 ОСНОВ</w:t>
      </w:r>
    </w:p>
    <w:p w14:paraId="0B7AEB1C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</w:p>
    <w:p w14:paraId="35BD3A93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</w:p>
    <w:p w14:paraId="12FE7022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</w:p>
    <w:p w14:paraId="60139054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</w:p>
    <w:p w14:paraId="0FDDB5CD">
      <w:pPr>
        <w:pStyle w:val="7"/>
        <w:ind w:right="-1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44. Если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 доля наследства, причитавшаяся наследнику, на которого была возложена обязанность исполнить завещательный отказ или завещательное возложение, переходит к другим наследникам, последние, постольку, поскольку из завещания или закона не следует иное, обязаны исполнить такой отказ или такое возложение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14:paraId="1BE06C46">
      <w:pPr>
        <w:pStyle w:val="7"/>
        <w:pBdr>
          <w:bottom w:val="single" w:color="auto" w:sz="12" w:space="1"/>
        </w:pBdr>
        <w:ind w:right="-1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Ст. 1140 ГК РФ</w:t>
      </w:r>
    </w:p>
    <w:p w14:paraId="2D0433FC">
      <w:pPr>
        <w:pStyle w:val="7"/>
        <w:tabs>
          <w:tab w:val="left" w:pos="1701"/>
          <w:tab w:val="left" w:pos="6521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45</w:t>
      </w:r>
      <w:r>
        <w:rPr>
          <w:rFonts w:ascii="Times New Roman" w:hAnsi="Times New Roman"/>
          <w:b/>
          <w:color w:val="333333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В течении какого срока орган местного самоуправления муниципального образования, в собственности которого находится земельный участок, выделеный в счет земельных долей, обязан опубликовать в средствах массовой информации, определенных субъектом РФ, и разместить на своем официальном сайте в сети «Интернет» (при его наличии) информацию о возможности приобретения такого земельного участка?</w:t>
      </w:r>
    </w:p>
    <w:p w14:paraId="61B58007">
      <w:pPr>
        <w:pStyle w:val="7"/>
        <w:tabs>
          <w:tab w:val="left" w:pos="1701"/>
          <w:tab w:val="left" w:pos="6521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течении месяца</w:t>
      </w:r>
    </w:p>
    <w:p w14:paraId="2DEF91CA">
      <w:pPr>
        <w:pStyle w:val="7"/>
        <w:tabs>
          <w:tab w:val="left" w:pos="1701"/>
          <w:tab w:val="left" w:pos="6521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течении одной недели</w:t>
      </w:r>
    </w:p>
    <w:p w14:paraId="5F2FBF20">
      <w:pPr>
        <w:pStyle w:val="7"/>
        <w:tabs>
          <w:tab w:val="left" w:pos="1701"/>
          <w:tab w:val="left" w:pos="6521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течении трех недель</w:t>
      </w:r>
    </w:p>
    <w:p w14:paraId="7220EF9D">
      <w:pPr>
        <w:pStyle w:val="7"/>
        <w:tabs>
          <w:tab w:val="left" w:pos="1701"/>
          <w:tab w:val="left" w:pos="6521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течении двух недель</w:t>
      </w:r>
    </w:p>
    <w:p w14:paraId="1ED71B52">
      <w:pPr>
        <w:pStyle w:val="7"/>
        <w:pBdr>
          <w:bottom w:val="single" w:color="auto" w:sz="12" w:space="1"/>
        </w:pBdr>
        <w:tabs>
          <w:tab w:val="left" w:pos="1701"/>
          <w:tab w:val="left" w:pos="6521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5.1. Ст. 10 "Об обороте земель СЕЛЬЗОХ.</w:t>
      </w:r>
    </w:p>
    <w:p w14:paraId="6C992D3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46</w:t>
      </w:r>
      <w:r>
        <w:rPr>
          <w:rFonts w:ascii="Times New Roman" w:hAnsi="Times New Roman"/>
          <w:b/>
          <w:sz w:val="24"/>
          <w:szCs w:val="24"/>
        </w:rPr>
        <w:t>. Соглашение об изменении сроков исковой давности является недействительным...</w:t>
      </w:r>
    </w:p>
    <w:p w14:paraId="4C805528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830B265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если оно ухудшает положение сторон;</w:t>
      </w:r>
    </w:p>
    <w:p w14:paraId="45F04B8F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если оно заключено в отношении прав несовершеннолетних;</w:t>
      </w:r>
    </w:p>
    <w:p w14:paraId="32143DAE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при несоблюдении нотариальной формы;</w:t>
      </w:r>
    </w:p>
    <w:p w14:paraId="360E0D46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при несоблюдении письменной формы;</w:t>
      </w:r>
    </w:p>
    <w:p w14:paraId="5855A843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е</w:t>
      </w:r>
      <w:r>
        <w:rPr>
          <w:rFonts w:ascii="Times New Roman" w:hAnsi="Times New Roman"/>
          <w:b/>
          <w:sz w:val="24"/>
          <w:szCs w:val="24"/>
        </w:rPr>
        <w:t>. в любом случае</w:t>
      </w:r>
    </w:p>
    <w:p w14:paraId="49620241">
      <w:pPr>
        <w:pStyle w:val="7"/>
        <w:pBdr>
          <w:bottom w:val="single" w:color="auto" w:sz="12" w:space="1"/>
        </w:pBdr>
        <w:tabs>
          <w:tab w:val="left" w:pos="1701"/>
          <w:tab w:val="left" w:pos="6521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198 ГК РФ</w:t>
      </w:r>
    </w:p>
    <w:p w14:paraId="13C72801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47.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Имеет ли поднаниматель после прекращения договора поднайма жилого помещения преимущественное право на заключение договора поднайма на новый срок?</w:t>
      </w:r>
    </w:p>
    <w:p w14:paraId="23CD8353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1117596A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a. нет. </w:t>
      </w:r>
    </w:p>
    <w:p w14:paraId="3A0DFD9E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да; </w:t>
      </w:r>
    </w:p>
    <w:p w14:paraId="75649165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П 6 СТ 685 ГК РФ </w:t>
      </w:r>
    </w:p>
    <w:p w14:paraId="483EEC2C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48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Могут ли быть переданы в аренду земельные участки из земель сельскохозяйственного назначения, в том числе земельные участки, находящиеся в долевой собственности, без прохождения государственного кадастрового учета?</w:t>
      </w:r>
    </w:p>
    <w:p w14:paraId="726BE1A4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7280A3F4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да;</w:t>
      </w:r>
    </w:p>
    <w:p w14:paraId="3D3B74E8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 нет.</w:t>
      </w:r>
    </w:p>
    <w:p w14:paraId="21B6777A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kern w:val="36"/>
          <w:sz w:val="24"/>
          <w:szCs w:val="24"/>
          <w:lang w:eastAsia="ru-RU"/>
        </w:rPr>
      </w:pPr>
      <w:r>
        <w:rPr>
          <w:rFonts w:ascii="Times New Roman" w:hAnsi="Times New Roman"/>
          <w:kern w:val="36"/>
          <w:sz w:val="24"/>
          <w:szCs w:val="24"/>
          <w:lang w:eastAsia="ru-RU"/>
        </w:rPr>
        <w:t>Статья 9 ФЗ 101 ОБ ОБОРОТЕ СЕЛЬХОЗ ЗУ</w:t>
      </w:r>
    </w:p>
    <w:p w14:paraId="63B6E8F1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kern w:val="36"/>
          <w:sz w:val="24"/>
          <w:szCs w:val="24"/>
          <w:lang w:eastAsia="ru-RU"/>
        </w:rPr>
        <w:t>49</w:t>
      </w:r>
      <w:r>
        <w:rPr>
          <w:rFonts w:ascii="Times New Roman" w:hAnsi="Times New Roman"/>
          <w:b/>
          <w:kern w:val="36"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Реквизиция имущества у собственника производится:</w:t>
      </w:r>
    </w:p>
    <w:p w14:paraId="5D1EEFE1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3E1A8581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а.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возмездно.</w:t>
      </w:r>
    </w:p>
    <w:p w14:paraId="5A2A6B02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Ь. безвозмездно;</w:t>
      </w:r>
    </w:p>
    <w:p w14:paraId="01B6727E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242 ГК РФ</w:t>
      </w:r>
    </w:p>
    <w:p w14:paraId="042F8BB3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50.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В каких случаях права получателя постоянной ренты по договору постоянной ренты могут передаваться другим лицам путем уступки требования и переходить по наследству?</w:t>
      </w:r>
    </w:p>
    <w:p w14:paraId="6A9C20F0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620DFA47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а. могут переходить во всех случаях, если иное не установлено законом.</w:t>
      </w:r>
    </w:p>
    <w:p w14:paraId="7177B3A2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Ь. могут переходить только в случаях, прямо предусмотренных договором;</w:t>
      </w:r>
    </w:p>
    <w:p w14:paraId="4CF10A50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не могут переходить ни в каких случаях;</w:t>
      </w:r>
    </w:p>
    <w:p w14:paraId="0B7F4AC0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могут переходить во всех случаях, если иное не установлено законом или договором постоянной ренты;</w:t>
      </w:r>
    </w:p>
    <w:p w14:paraId="05F43BD1">
      <w:pPr>
        <w:spacing w:after="0" w:line="312" w:lineRule="auto"/>
        <w:ind w:right="-1" w:firstLine="540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Статья 589. ГК РФ</w:t>
      </w:r>
    </w:p>
    <w:p w14:paraId="6BB132D2">
      <w:pPr>
        <w:pStyle w:val="7"/>
        <w:ind w:right="-1"/>
        <w:rPr>
          <w:rFonts w:ascii="Times New Roman" w:hAnsi="Times New Roman"/>
          <w:kern w:val="36"/>
          <w:sz w:val="24"/>
          <w:szCs w:val="24"/>
          <w:lang w:eastAsia="ru-RU"/>
        </w:rPr>
      </w:pPr>
    </w:p>
    <w:p w14:paraId="30C26BA1">
      <w:pPr>
        <w:pStyle w:val="7"/>
        <w:ind w:right="-1"/>
        <w:rPr>
          <w:rFonts w:ascii="Times New Roman" w:hAnsi="Times New Roman"/>
          <w:kern w:val="36"/>
          <w:sz w:val="24"/>
          <w:szCs w:val="24"/>
          <w:lang w:eastAsia="ru-RU"/>
        </w:rPr>
      </w:pPr>
    </w:p>
    <w:p w14:paraId="549CBFB6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</w:p>
    <w:p w14:paraId="4EDE60E2">
      <w:pPr>
        <w:pStyle w:val="7"/>
        <w:tabs>
          <w:tab w:val="left" w:pos="1701"/>
          <w:tab w:val="left" w:pos="6521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3EFD0CE3">
      <w:pPr>
        <w:pStyle w:val="7"/>
        <w:tabs>
          <w:tab w:val="left" w:pos="1701"/>
          <w:tab w:val="left" w:pos="6521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52714A59">
      <w:pPr>
        <w:pStyle w:val="7"/>
        <w:tabs>
          <w:tab w:val="left" w:pos="993"/>
          <w:tab w:val="left" w:pos="1418"/>
          <w:tab w:val="left" w:pos="1701"/>
          <w:tab w:val="left" w:pos="6521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5E941792">
      <w:pPr>
        <w:pStyle w:val="7"/>
        <w:tabs>
          <w:tab w:val="left" w:pos="993"/>
          <w:tab w:val="left" w:pos="1418"/>
          <w:tab w:val="left" w:pos="1701"/>
          <w:tab w:val="left" w:pos="6521"/>
        </w:tabs>
        <w:ind w:right="-1"/>
        <w:jc w:val="both"/>
        <w:rPr>
          <w:rStyle w:val="9"/>
          <w:rFonts w:ascii="Times New Roman" w:hAnsi="Times New Roman" w:cs="Times New Roman"/>
          <w:color w:val="auto"/>
        </w:rPr>
      </w:pPr>
    </w:p>
    <w:p w14:paraId="01396930">
      <w:pPr>
        <w:pStyle w:val="7"/>
        <w:tabs>
          <w:tab w:val="left" w:pos="993"/>
          <w:tab w:val="left" w:pos="1418"/>
          <w:tab w:val="left" w:pos="1701"/>
          <w:tab w:val="left" w:pos="6521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4DD90A2F">
      <w:pPr>
        <w:pStyle w:val="7"/>
        <w:tabs>
          <w:tab w:val="left" w:pos="993"/>
          <w:tab w:val="left" w:pos="1418"/>
          <w:tab w:val="left" w:pos="1701"/>
          <w:tab w:val="left" w:pos="6521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</w:p>
    <w:p w14:paraId="4DBC9651">
      <w:pPr>
        <w:tabs>
          <w:tab w:val="left" w:pos="993"/>
          <w:tab w:val="left" w:pos="1418"/>
          <w:tab w:val="left" w:pos="1701"/>
          <w:tab w:val="left" w:pos="6521"/>
        </w:tabs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A2A9D"/>
    <w:multiLevelType w:val="multilevel"/>
    <w:tmpl w:val="26EA2A9D"/>
    <w:lvl w:ilvl="0" w:tentative="0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25" w:hanging="360"/>
      </w:pPr>
    </w:lvl>
    <w:lvl w:ilvl="2" w:tentative="0">
      <w:start w:val="1"/>
      <w:numFmt w:val="lowerRoman"/>
      <w:lvlText w:val="%3."/>
      <w:lvlJc w:val="right"/>
      <w:pPr>
        <w:ind w:left="1845" w:hanging="180"/>
      </w:pPr>
    </w:lvl>
    <w:lvl w:ilvl="3" w:tentative="0">
      <w:start w:val="1"/>
      <w:numFmt w:val="decimal"/>
      <w:lvlText w:val="%4."/>
      <w:lvlJc w:val="left"/>
      <w:pPr>
        <w:ind w:left="2565" w:hanging="360"/>
      </w:pPr>
    </w:lvl>
    <w:lvl w:ilvl="4" w:tentative="0">
      <w:start w:val="1"/>
      <w:numFmt w:val="lowerLetter"/>
      <w:lvlText w:val="%5."/>
      <w:lvlJc w:val="left"/>
      <w:pPr>
        <w:ind w:left="3285" w:hanging="360"/>
      </w:pPr>
    </w:lvl>
    <w:lvl w:ilvl="5" w:tentative="0">
      <w:start w:val="1"/>
      <w:numFmt w:val="lowerRoman"/>
      <w:lvlText w:val="%6."/>
      <w:lvlJc w:val="right"/>
      <w:pPr>
        <w:ind w:left="4005" w:hanging="180"/>
      </w:pPr>
    </w:lvl>
    <w:lvl w:ilvl="6" w:tentative="0">
      <w:start w:val="1"/>
      <w:numFmt w:val="decimal"/>
      <w:lvlText w:val="%7."/>
      <w:lvlJc w:val="left"/>
      <w:pPr>
        <w:ind w:left="4725" w:hanging="360"/>
      </w:pPr>
    </w:lvl>
    <w:lvl w:ilvl="7" w:tentative="0">
      <w:start w:val="1"/>
      <w:numFmt w:val="lowerLetter"/>
      <w:lvlText w:val="%8."/>
      <w:lvlJc w:val="left"/>
      <w:pPr>
        <w:ind w:left="5445" w:hanging="360"/>
      </w:pPr>
    </w:lvl>
    <w:lvl w:ilvl="8" w:tentative="0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DEB"/>
    <w:rsid w:val="00045516"/>
    <w:rsid w:val="000A7CBA"/>
    <w:rsid w:val="000C4BE5"/>
    <w:rsid w:val="00137155"/>
    <w:rsid w:val="001547BB"/>
    <w:rsid w:val="001866DE"/>
    <w:rsid w:val="001A680A"/>
    <w:rsid w:val="001C6731"/>
    <w:rsid w:val="00283425"/>
    <w:rsid w:val="002871CF"/>
    <w:rsid w:val="002B3021"/>
    <w:rsid w:val="002C057B"/>
    <w:rsid w:val="002D5A47"/>
    <w:rsid w:val="00324C95"/>
    <w:rsid w:val="0034736F"/>
    <w:rsid w:val="003B7D6E"/>
    <w:rsid w:val="003C140A"/>
    <w:rsid w:val="00443138"/>
    <w:rsid w:val="004C5396"/>
    <w:rsid w:val="005112F0"/>
    <w:rsid w:val="00574A12"/>
    <w:rsid w:val="0057732F"/>
    <w:rsid w:val="00632957"/>
    <w:rsid w:val="00704811"/>
    <w:rsid w:val="00864D03"/>
    <w:rsid w:val="009358FF"/>
    <w:rsid w:val="009625FD"/>
    <w:rsid w:val="009826B8"/>
    <w:rsid w:val="00A036A2"/>
    <w:rsid w:val="00A761A2"/>
    <w:rsid w:val="00AC71C7"/>
    <w:rsid w:val="00AD10C1"/>
    <w:rsid w:val="00AD2A0E"/>
    <w:rsid w:val="00B42DEB"/>
    <w:rsid w:val="00B4674D"/>
    <w:rsid w:val="00B94BDC"/>
    <w:rsid w:val="00BA195B"/>
    <w:rsid w:val="00BB25A5"/>
    <w:rsid w:val="00BD5F6B"/>
    <w:rsid w:val="00C20938"/>
    <w:rsid w:val="00CB3066"/>
    <w:rsid w:val="00D10F40"/>
    <w:rsid w:val="00D217C3"/>
    <w:rsid w:val="00D7649B"/>
    <w:rsid w:val="00E83313"/>
    <w:rsid w:val="00ED1537"/>
    <w:rsid w:val="00ED5DF3"/>
    <w:rsid w:val="00F26D5B"/>
    <w:rsid w:val="00FA283C"/>
    <w:rsid w:val="4834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eastAsia="Calibri" w:cs="Tahoma"/>
      <w:sz w:val="16"/>
      <w:szCs w:val="16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styleId="7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8">
    <w:name w:val="Текст выноски Знак"/>
    <w:basedOn w:val="2"/>
    <w:link w:val="5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Основной текст2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0">
    <w:name w:val="Основной текст3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">
    <w:name w:val="Основной текст (2)"/>
    <w:basedOn w:val="2"/>
    <w:qFormat/>
    <w:uiPriority w:val="0"/>
    <w:rPr>
      <w:rFonts w:ascii="Arial Unicode MS" w:hAnsi="Arial Unicode MS" w:eastAsia="Arial Unicode MS" w:cs="Arial Unicode MS"/>
      <w:b/>
      <w:bCs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12">
    <w:name w:val="Основной текст (3)"/>
    <w:basedOn w:val="2"/>
    <w:qFormat/>
    <w:uiPriority w:val="0"/>
    <w:rPr>
      <w:rFonts w:ascii="Tahoma" w:hAnsi="Tahoma" w:eastAsia="Tahoma" w:cs="Tahoma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13">
    <w:name w:val="Основной текст1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">
    <w:name w:val="Основной текст4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5">
    <w:name w:val="hl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2972</Words>
  <Characters>16942</Characters>
  <Lines>141</Lines>
  <Paragraphs>39</Paragraphs>
  <TotalTime>3087</TotalTime>
  <ScaleCrop>false</ScaleCrop>
  <LinksUpToDate>false</LinksUpToDate>
  <CharactersWithSpaces>19875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2019-04-10T16:01:00Z</dcterms:created>
  <dc:creator>User</dc:creator>
  <cp:lastModifiedBy>acer</cp:lastModifiedBy>
  <dcterms:modified xsi:type="dcterms:W3CDTF">2025-10-14T17:03:00Z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64F3E6D75F8747299EC253B1AC3487F4_13</vt:lpwstr>
  </property>
</Properties>
</file>