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911.png" ContentType="image/png"/>
  <Override PartName="/word/media/logo-bedrock-horizontal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1691640" cy="329184"/>
            <wp:effectExtent b="0" l="0" r="0" t="0"/>
            <wp:docPr descr="" title="" id="912" name="Picture"/>
            <a:graphic>
              <a:graphicData uri="http://schemas.openxmlformats.org/drawingml/2006/picture">
                <pic:pic>
                  <pic:nvPicPr>
                    <pic:cNvPr descr="logo-bedrock-horizontal.png" id="913" name="Picture"/>
                    <pic:cNvPicPr>
                      <a:picLocks noChangeArrowheads="1" noChangeAspect="1"/>
                    </pic:cNvPicPr>
                  </pic:nvPicPr>
                  <pic:blipFill>
                    <a:blip r:embed="rId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329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Eyebrow"/>
      </w:pPr>
      <w:r>
        <w:t xml:space="preserve">Factus S.A.S. · Plataforma de Facturación Electrónica · NIT 901.724.254-1</w:t>
      </w:r>
    </w:p>
    <w:p>
      <w:pPr>
        <w:pStyle w:val="PortadaTitulo"/>
      </w:pPr>
      <w:r>
        <w:t xml:space="preserve">Términos y Condiciones de Servicio</w:t>
      </w:r>
    </w:p>
    <w:p>
      <w:pPr>
        <w:pStyle w:val="LineaAcento"/>
      </w:pPr>
      <w:r>
        <w:t xml:space="preserve"> </w:t>
      </w:r>
    </w:p>
    <w:p>
      <w:pPr>
        <w:pStyle w:val="Lede"/>
      </w:pPr>
      <w:r>
        <w:t xml:space="preserve">Términos y Condiciones que rigen la relación entre FACTUS (proveedor de tecnología de facturación electrónica) y Clientes Finales que utilizan la plataforma para emitir documentos electrónicos ante la DIAN.</w:t>
      </w:r>
    </w:p>
    <w:p>
      <w:r>
        <w:br w:type="page"/>
      </w:r>
    </w:p>
    <w:bookmarkStart w:id="914" w:name="resumen-ejecutivo"/>
    <w:p>
      <w:pPr>
        <w:pStyle w:val="Heading1"/>
      </w:pPr>
      <w:r>
        <w:t xml:space="preserve">Resumen Ejecutivo</w:t>
      </w:r>
    </w:p>
    <w:p>
      <w:pPr>
        <w:pStyle w:val="FirstParagraph"/>
      </w:pPr>
      <w:r>
        <w:t xml:space="preserve">Estos Términos y Condiciones regulan el acceso y uso de la plataforma de facturación electrónica de</w:t>
      </w:r>
      <w:r>
        <w:t xml:space="preserve"> </w:t>
      </w:r>
      <w:r>
        <w:rPr>
          <w:b/>
          <w:bCs/>
        </w:rPr>
        <w:t xml:space="preserve">FACTUS S.A.S.</w:t>
      </w:r>
      <w:r>
        <w:t xml:space="preserve"> </w:t>
      </w:r>
      <w:r>
        <w:t xml:space="preserve">(en adelante,</w:t>
      </w:r>
      <w:r>
        <w:t xml:space="preserve"> </w:t>
      </w:r>
      <w:r>
        <w:rPr>
          <w:b/>
          <w:bCs/>
        </w:rPr>
        <w:t xml:space="preserve">“FACTUS”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“la Plataforma”</w:t>
      </w:r>
      <w:r>
        <w:t xml:space="preserve">) por parte de empresas y personas naturales que deseen emitir documentos electrónicos (Facturas, Notas Débito, Notas Crédito, Documentos Soporte, Nómina Electrónica) ante la Dirección de Impuestos y Aduanas Nacionales (</w:t>
      </w:r>
      <w:r>
        <w:rPr>
          <w:b/>
          <w:bCs/>
        </w:rPr>
        <w:t xml:space="preserve">“DIAN”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Punto crítico:</w:t>
      </w:r>
      <w:r>
        <w:t xml:space="preserve"> </w:t>
      </w:r>
      <w:r>
        <w:t xml:space="preserve">FACTUS es un canal tecnológico. FACTUS no es contador, no es abogado, no determina si tus documentos cumplen normas tributarias. Tú (Cliente) eres responsable de:</w:t>
      </w:r>
      <w:r>
        <w:t xml:space="preserve"> </w:t>
      </w:r>
      <w:r>
        <w:t xml:space="preserve">- Validar que los datos en tus documentos son correctos y legales.</w:t>
      </w:r>
      <w:r>
        <w:t xml:space="preserve"> </w:t>
      </w:r>
      <w:r>
        <w:t xml:space="preserve">- Cumplir normas tributarias de la DIAN.</w:t>
      </w:r>
      <w:r>
        <w:t xml:space="preserve"> </w:t>
      </w:r>
      <w:r>
        <w:t xml:space="preserve">- Cargue de rangos, solicitud de habilitaciones y trámites ante DIAN (si aplica).</w:t>
      </w:r>
    </w:p>
    <w:p>
      <w:pPr>
        <w:pStyle w:val="BodyText"/>
      </w:pPr>
      <w:r>
        <w:t xml:space="preserve">Si incumples normas tributarias, FACTUS no es responsable. La responsabilidad es tuya y puede resultar en multa, auditoría o sanción de la DIAN.</w:t>
      </w:r>
    </w:p>
    <w:p>
      <w:r>
        <w:pict>
          <v:rect style="width:0;height:1.5pt" o:hralign="center" o:hrstd="t" o:hr="t"/>
        </w:pict>
      </w:r>
    </w:p>
    <w:bookmarkEnd w:id="914"/>
    <w:bookmarkStart w:id="915" w:name="identificación-de-factus"/>
    <w:p>
      <w:pPr>
        <w:pStyle w:val="Heading1"/>
      </w:pPr>
      <w:r>
        <w:t xml:space="preserve">1. Identificación de FACTUS</w:t>
      </w:r>
    </w:p>
    <w:p>
      <w:pPr>
        <w:pStyle w:val="FirstParagraph"/>
      </w:pPr>
      <w:r>
        <w:rPr>
          <w:b/>
          <w:bCs/>
        </w:rPr>
        <w:t xml:space="preserve">Nombre:</w:t>
      </w:r>
      <w:r>
        <w:t xml:space="preserve"> </w:t>
      </w:r>
      <w:r>
        <w:t xml:space="preserve">FACTUS S.A.S.</w:t>
      </w:r>
      <w:r>
        <w:br/>
      </w:r>
      <w:r>
        <w:rPr>
          <w:b/>
          <w:bCs/>
        </w:rPr>
        <w:t xml:space="preserve">NIT:</w:t>
      </w:r>
      <w:r>
        <w:t xml:space="preserve"> </w:t>
      </w:r>
      <w:r>
        <w:t xml:space="preserve">901.724.254-1</w:t>
      </w:r>
      <w:r>
        <w:br/>
      </w:r>
      <w:r>
        <w:rPr>
          <w:b/>
          <w:bCs/>
        </w:rPr>
        <w:t xml:space="preserve">Domicilio:</w:t>
      </w:r>
      <w:r>
        <w:t xml:space="preserve"> </w:t>
      </w:r>
      <w:r>
        <w:t xml:space="preserve">San Gil, Santander, Colombia</w:t>
      </w:r>
      <w:r>
        <w:br/>
      </w:r>
      <w:r>
        <w:rPr>
          <w:b/>
          <w:bCs/>
        </w:rPr>
        <w:t xml:space="preserve">Sitio web:</w:t>
      </w:r>
      <w:r>
        <w:t xml:space="preserve"> </w:t>
      </w:r>
      <w:r>
        <w:t xml:space="preserve">www.factus.com.co (o URL del reseller)</w:t>
      </w:r>
      <w:r>
        <w:br/>
      </w:r>
      <w:r>
        <w:rPr>
          <w:b/>
          <w:bCs/>
        </w:rPr>
        <w:t xml:space="preserve">Correo de soporte:</w:t>
      </w:r>
      <w:r>
        <w:t xml:space="preserve"> </w:t>
      </w:r>
      <w:r>
        <w:t xml:space="preserve">soporte@factus.com.co</w:t>
      </w:r>
      <w:r>
        <w:br/>
      </w:r>
      <w:r>
        <w:rPr>
          <w:b/>
          <w:bCs/>
        </w:rPr>
        <w:t xml:space="preserve">Teléfono:</w:t>
      </w:r>
      <w:r>
        <w:t xml:space="preserve"> </w:t>
      </w:r>
      <w:r>
        <w:t xml:space="preserve">[número vigente]</w:t>
      </w:r>
      <w:r>
        <w:br/>
      </w:r>
      <w:r>
        <w:rPr>
          <w:b/>
          <w:bCs/>
        </w:rPr>
        <w:t xml:space="preserve">Horarios de atención:</w:t>
      </w:r>
      <w:r>
        <w:t xml:space="preserve"> </w:t>
      </w:r>
      <w:r>
        <w:t xml:space="preserve">Lunes a viernes, 8:00 a.m. a 6:00 p.m. (hora Colombia)</w:t>
      </w:r>
    </w:p>
    <w:p>
      <w:pPr>
        <w:pStyle w:val="BodyText"/>
      </w:pPr>
      <w:r>
        <w:t xml:space="preserve">FACTUS es un</w:t>
      </w:r>
      <w:r>
        <w:t xml:space="preserve"> </w:t>
      </w:r>
      <w:r>
        <w:rPr>
          <w:b/>
          <w:bCs/>
        </w:rPr>
        <w:t xml:space="preserve">Facturador Electrónico autorizado por la DIAN</w:t>
      </w:r>
      <w:r>
        <w:t xml:space="preserve"> </w:t>
      </w:r>
      <w:r>
        <w:t xml:space="preserve">conforme a la Resolución 000165 de 2023 y al Oficio 13246 de 2025. Esto significa:</w:t>
      </w:r>
      <w:r>
        <w:t xml:space="preserve"> </w:t>
      </w:r>
      <w:r>
        <w:t xml:space="preserve">- Plataforma cumple estándares técnicos DIAN.</w:t>
      </w:r>
      <w:r>
        <w:t xml:space="preserve"> </w:t>
      </w:r>
      <w:r>
        <w:t xml:space="preserve">- Software es seguro y auditado.</w:t>
      </w:r>
      <w:r>
        <w:t xml:space="preserve"> </w:t>
      </w:r>
      <w:r>
        <w:t xml:space="preserve">- Radicaciones ante DIAN se transmiten correctamente.</w:t>
      </w:r>
    </w:p>
    <w:p>
      <w:pPr>
        <w:pStyle w:val="BodyText"/>
      </w:pPr>
      <w:r>
        <w:rPr>
          <w:b/>
          <w:bCs/>
        </w:rPr>
        <w:t xml:space="preserve">Lo que FACTUS NO es:</w:t>
      </w:r>
      <w:r>
        <w:t xml:space="preserve"> </w:t>
      </w:r>
      <w:r>
        <w:t xml:space="preserve">- No es contador: No asesora sobre tributación.</w:t>
      </w:r>
      <w:r>
        <w:t xml:space="preserve"> </w:t>
      </w:r>
      <w:r>
        <w:t xml:space="preserve">- No es abogado: No da asesoría legal.</w:t>
      </w:r>
      <w:r>
        <w:t xml:space="preserve"> </w:t>
      </w:r>
      <w:r>
        <w:t xml:space="preserve">- No es la DIAN: No toma decisiones sobre aceptación/rechazo de documentos.</w:t>
      </w:r>
      <w:r>
        <w:t xml:space="preserve"> </w:t>
      </w:r>
      <w:r>
        <w:t xml:space="preserve">- No es auditor: No valida si tus datos son correctos.</w:t>
      </w:r>
    </w:p>
    <w:p>
      <w:r>
        <w:pict>
          <v:rect style="width:0;height:1.5pt" o:hralign="center" o:hrstd="t" o:hr="t"/>
        </w:pict>
      </w:r>
    </w:p>
    <w:bookmarkEnd w:id="915"/>
    <w:bookmarkStart w:id="916" w:name="objeto-y-alcance"/>
    <w:p>
      <w:pPr>
        <w:pStyle w:val="Heading1"/>
      </w:pPr>
      <w:r>
        <w:t xml:space="preserve">2. Objeto y Alcance</w:t>
      </w:r>
    </w:p>
    <w:p>
      <w:pPr>
        <w:pStyle w:val="FirstParagraph"/>
      </w:pPr>
      <w:r>
        <w:t xml:space="preserve">2.1</w:t>
      </w:r>
      <w:r>
        <w:t xml:space="preserve"> </w:t>
      </w:r>
      <w:r>
        <w:rPr>
          <w:b/>
          <w:bCs/>
        </w:rPr>
        <w:t xml:space="preserve">Servicios Incluidos:</w:t>
      </w:r>
      <w:r>
        <w:t xml:space="preserve"> </w:t>
      </w:r>
      <w:r>
        <w:t xml:space="preserve">Acceso a la plataforma de facturación electrónica que permite:</w:t>
      </w:r>
    </w:p>
    <w:p>
      <w:pPr>
        <w:pStyle w:val="Compact"/>
        <w:numPr>
          <w:ilvl w:val="0"/>
          <w:numId w:val="1001"/>
        </w:numPr>
      </w:pPr>
      <w:r>
        <w:t xml:space="preserve">Emisión de Facturas Electrónicas.</w:t>
      </w:r>
    </w:p>
    <w:p>
      <w:pPr>
        <w:pStyle w:val="Compact"/>
        <w:numPr>
          <w:ilvl w:val="0"/>
          <w:numId w:val="1001"/>
        </w:numPr>
      </w:pPr>
      <w:r>
        <w:t xml:space="preserve">Emisión de Notas Débito y Notas Crédito.</w:t>
      </w:r>
    </w:p>
    <w:p>
      <w:pPr>
        <w:pStyle w:val="Compact"/>
        <w:numPr>
          <w:ilvl w:val="0"/>
          <w:numId w:val="1001"/>
        </w:numPr>
      </w:pPr>
      <w:r>
        <w:t xml:space="preserve">Emisión de Documentos Soporte.</w:t>
      </w:r>
    </w:p>
    <w:p>
      <w:pPr>
        <w:pStyle w:val="Compact"/>
        <w:numPr>
          <w:ilvl w:val="0"/>
          <w:numId w:val="1001"/>
        </w:numPr>
      </w:pPr>
      <w:r>
        <w:t xml:space="preserve">Emisión de Nómina Electrónica (si paquete contratado lo incluye).</w:t>
      </w:r>
    </w:p>
    <w:p>
      <w:pPr>
        <w:pStyle w:val="Compact"/>
        <w:numPr>
          <w:ilvl w:val="0"/>
          <w:numId w:val="1001"/>
        </w:numPr>
      </w:pPr>
      <w:r>
        <w:t xml:space="preserve">Consulta de eventos Radian (recepción, aceptación, rechazo).</w:t>
      </w:r>
    </w:p>
    <w:p>
      <w:pPr>
        <w:pStyle w:val="Compact"/>
        <w:numPr>
          <w:ilvl w:val="0"/>
          <w:numId w:val="1001"/>
        </w:numPr>
      </w:pPr>
      <w:r>
        <w:t xml:space="preserve">Reportes técnicos sobre radicación ante DIAN.</w:t>
      </w:r>
    </w:p>
    <w:p>
      <w:pPr>
        <w:pStyle w:val="Compact"/>
        <w:numPr>
          <w:ilvl w:val="0"/>
          <w:numId w:val="1001"/>
        </w:numPr>
      </w:pPr>
      <w:r>
        <w:t xml:space="preserve">Acceso a sandbox para pruebas.</w:t>
      </w:r>
    </w:p>
    <w:p>
      <w:pPr>
        <w:pStyle w:val="FirstParagraph"/>
      </w:pPr>
      <w:r>
        <w:t xml:space="preserve">2.2</w:t>
      </w:r>
      <w:r>
        <w:t xml:space="preserve"> </w:t>
      </w:r>
      <w:r>
        <w:rPr>
          <w:b/>
          <w:bCs/>
        </w:rPr>
        <w:t xml:space="preserve">Modalidades: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Paquete Facturación:</w:t>
      </w:r>
      <w:r>
        <w:t xml:space="preserve"> </w:t>
      </w:r>
      <w:r>
        <w:t xml:space="preserve">Facturación + Documentos Soporte + consulta Radian.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Paquete Nómina:</w:t>
      </w:r>
      <w:r>
        <w:t xml:space="preserve"> </w:t>
      </w:r>
      <w:r>
        <w:t xml:space="preserve">Nómina Electrónica + Documentos Soporte.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Bolsa Multifacturador:</w:t>
      </w:r>
      <w:r>
        <w:t xml:space="preserve"> </w:t>
      </w:r>
      <w:r>
        <w:t xml:space="preserve">Todos los servicios en una bolsa (requiere certificado por cada NIT adicional).</w:t>
      </w:r>
    </w:p>
    <w:p>
      <w:pPr>
        <w:pStyle w:val="FirstParagraph"/>
      </w:pPr>
      <w:r>
        <w:t xml:space="preserve">2.3</w:t>
      </w:r>
      <w:r>
        <w:t xml:space="preserve"> </w:t>
      </w:r>
      <w:r>
        <w:rPr>
          <w:b/>
          <w:bCs/>
        </w:rPr>
        <w:t xml:space="preserve">Lo que NO está incluido:</w:t>
      </w:r>
    </w:p>
    <w:p>
      <w:pPr>
        <w:pStyle w:val="Compact"/>
        <w:numPr>
          <w:ilvl w:val="0"/>
          <w:numId w:val="1003"/>
        </w:numPr>
      </w:pPr>
      <w:r>
        <w:t xml:space="preserve">Emisión de certificados digitales (se adquieren con la plataforma; costo adicional si certificados adicionales).</w:t>
      </w:r>
    </w:p>
    <w:p>
      <w:pPr>
        <w:pStyle w:val="Compact"/>
        <w:numPr>
          <w:ilvl w:val="0"/>
          <w:numId w:val="1003"/>
        </w:numPr>
      </w:pPr>
      <w:r>
        <w:t xml:space="preserve">Asesoría tributaria o legal.</w:t>
      </w:r>
    </w:p>
    <w:p>
      <w:pPr>
        <w:pStyle w:val="Compact"/>
        <w:numPr>
          <w:ilvl w:val="0"/>
          <w:numId w:val="1003"/>
        </w:numPr>
      </w:pPr>
      <w:r>
        <w:t xml:space="preserve">Integración personalizada de APIs.</w:t>
      </w:r>
    </w:p>
    <w:p>
      <w:pPr>
        <w:pStyle w:val="Compact"/>
        <w:numPr>
          <w:ilvl w:val="0"/>
          <w:numId w:val="1003"/>
        </w:numPr>
      </w:pPr>
      <w:r>
        <w:t xml:space="preserve">Soporte técnico básico SI contratas a través de un</w:t>
      </w:r>
      <w:r>
        <w:t xml:space="preserve"> </w:t>
      </w:r>
      <w:r>
        <w:rPr>
          <w:b/>
          <w:bCs/>
        </w:rPr>
        <w:t xml:space="preserve">reseller</w:t>
      </w:r>
      <w:r>
        <w:t xml:space="preserve"> </w:t>
      </w:r>
      <w:r>
        <w:t xml:space="preserve">— en ese caso, el reseller es responsable del soporte. FACTUS solo responde a fallas de plataforma.</w:t>
      </w:r>
    </w:p>
    <w:p>
      <w:r>
        <w:pict>
          <v:rect style="width:0;height:1.5pt" o:hralign="center" o:hrstd="t" o:hr="t"/>
        </w:pict>
      </w:r>
    </w:p>
    <w:bookmarkEnd w:id="916"/>
    <w:bookmarkStart w:id="917" w:name="condiciones-de-acceso-y-aceptación"/>
    <w:p>
      <w:pPr>
        <w:pStyle w:val="Heading1"/>
      </w:pPr>
      <w:r>
        <w:t xml:space="preserve">3. Condiciones de Acceso y Aceptación</w:t>
      </w:r>
    </w:p>
    <w:p>
      <w:pPr>
        <w:pStyle w:val="FirstParagraph"/>
      </w:pPr>
      <w:r>
        <w:t xml:space="preserve">3.1</w:t>
      </w:r>
      <w:r>
        <w:t xml:space="preserve"> </w:t>
      </w:r>
      <w:r>
        <w:rPr>
          <w:b/>
          <w:bCs/>
        </w:rPr>
        <w:t xml:space="preserve">Aceptación de TyC:</w:t>
      </w:r>
      <w:r>
        <w:t xml:space="preserve"> </w:t>
      </w:r>
      <w:r>
        <w:t xml:space="preserve">Al hacer clic en</w:t>
      </w:r>
      <w:r>
        <w:t xml:space="preserve"> </w:t>
      </w:r>
      <w:r>
        <w:t xml:space="preserve">“ACEPTO”</w:t>
      </w:r>
      <w:r>
        <w:t xml:space="preserve"> </w:t>
      </w:r>
      <w:r>
        <w:t xml:space="preserve">o usar la plataforma, aceptas completamente estos Términos y Condiciones. Si no aceptas, no puedes usar el servicio.</w:t>
      </w:r>
    </w:p>
    <w:p>
      <w:pPr>
        <w:pStyle w:val="BodyText"/>
      </w:pPr>
      <w:r>
        <w:t xml:space="preserve">3.2</w:t>
      </w:r>
      <w:r>
        <w:t xml:space="preserve"> </w:t>
      </w:r>
      <w:r>
        <w:rPr>
          <w:b/>
          <w:bCs/>
        </w:rPr>
        <w:t xml:space="preserve">Requisitos para Contratar:</w:t>
      </w:r>
    </w:p>
    <w:p>
      <w:pPr>
        <w:pStyle w:val="Compact"/>
        <w:numPr>
          <w:ilvl w:val="0"/>
          <w:numId w:val="1004"/>
        </w:numPr>
      </w:pPr>
      <w:r>
        <w:t xml:space="preserve">Ser empresa o persona natural inscrita en el RUT de la DIAN.</w:t>
      </w:r>
    </w:p>
    <w:p>
      <w:pPr>
        <w:pStyle w:val="Compact"/>
        <w:numPr>
          <w:ilvl w:val="0"/>
          <w:numId w:val="1004"/>
        </w:numPr>
      </w:pPr>
      <w:r>
        <w:t xml:space="preserve">Tener Número de Identificación Tributaria (NIT) vigente.</w:t>
      </w:r>
    </w:p>
    <w:p>
      <w:pPr>
        <w:pStyle w:val="Compact"/>
        <w:numPr>
          <w:ilvl w:val="0"/>
          <w:numId w:val="1004"/>
        </w:numPr>
      </w:pPr>
      <w:r>
        <w:t xml:space="preserve">Tener autorización de rango de numeración ante la DIAN (si aplica).</w:t>
      </w:r>
    </w:p>
    <w:p>
      <w:pPr>
        <w:pStyle w:val="Compact"/>
        <w:numPr>
          <w:ilvl w:val="0"/>
          <w:numId w:val="1004"/>
        </w:numPr>
      </w:pPr>
      <w:r>
        <w:t xml:space="preserve">No estar incluido en listas de lavado de activos, financiación del terrorismo, o PEP (Persona Políticamente Expuesta).</w:t>
      </w:r>
    </w:p>
    <w:p>
      <w:pPr>
        <w:pStyle w:val="Compact"/>
        <w:numPr>
          <w:ilvl w:val="0"/>
          <w:numId w:val="1004"/>
        </w:numPr>
      </w:pPr>
      <w:r>
        <w:t xml:space="preserve">Cumplir con legislación tributaria vigente.</w:t>
      </w:r>
    </w:p>
    <w:p>
      <w:pPr>
        <w:pStyle w:val="FirstParagraph"/>
      </w:pPr>
      <w:r>
        <w:t xml:space="preserve">3.3</w:t>
      </w:r>
      <w:r>
        <w:t xml:space="preserve"> </w:t>
      </w:r>
      <w:r>
        <w:rPr>
          <w:b/>
          <w:bCs/>
        </w:rPr>
        <w:t xml:space="preserve">Verificación Identidad:</w:t>
      </w:r>
      <w:r>
        <w:t xml:space="preserve"> </w:t>
      </w:r>
      <w:r>
        <w:t xml:space="preserve">FACTUS se reserva derecho de solicitar documentos de verificación (RUT, Certificado de Existencia y Representación Legal, cédula de representante, etc.) conforme obligaciones de prevención de lavado de activos (Ley 1960 de 2019).</w:t>
      </w:r>
    </w:p>
    <w:p>
      <w:pPr>
        <w:pStyle w:val="BodyText"/>
      </w:pPr>
      <w:r>
        <w:t xml:space="preserve">3.4</w:t>
      </w:r>
      <w:r>
        <w:t xml:space="preserve"> </w:t>
      </w:r>
      <w:r>
        <w:rPr>
          <w:b/>
          <w:bCs/>
        </w:rPr>
        <w:t xml:space="preserve">Menores de Edad:</w:t>
      </w:r>
      <w:r>
        <w:t xml:space="preserve"> </w:t>
      </w:r>
      <w:r>
        <w:t xml:space="preserve">No está permitido a menores de 18 años contratar. Acceso es solo para personas con capacidad legal.</w:t>
      </w:r>
    </w:p>
    <w:p>
      <w:r>
        <w:pict>
          <v:rect style="width:0;height:1.5pt" o:hralign="center" o:hrstd="t" o:hr="t"/>
        </w:pict>
      </w:r>
    </w:p>
    <w:bookmarkEnd w:id="917"/>
    <w:bookmarkStart w:id="918" w:name="prestación-de-servicio"/>
    <w:p>
      <w:pPr>
        <w:pStyle w:val="Heading1"/>
      </w:pPr>
      <w:r>
        <w:t xml:space="preserve">4. Prestación de Servicio</w:t>
      </w:r>
    </w:p>
    <w:p>
      <w:pPr>
        <w:pStyle w:val="FirstParagraph"/>
      </w:pPr>
      <w:r>
        <w:t xml:space="preserve">4.1</w:t>
      </w:r>
      <w:r>
        <w:t xml:space="preserve"> </w:t>
      </w:r>
      <w:r>
        <w:rPr>
          <w:b/>
          <w:bCs/>
        </w:rPr>
        <w:t xml:space="preserve">Acceso a la Plataforma:</w:t>
      </w:r>
    </w:p>
    <w:p>
      <w:pPr>
        <w:pStyle w:val="Compact"/>
        <w:numPr>
          <w:ilvl w:val="0"/>
          <w:numId w:val="1005"/>
        </w:numPr>
      </w:pPr>
      <w:r>
        <w:t xml:space="preserve">FACTUS proporciona credenciales de acceso (usuario y contraseña) para acceso seguro.</w:t>
      </w:r>
    </w:p>
    <w:p>
      <w:pPr>
        <w:pStyle w:val="Compact"/>
        <w:numPr>
          <w:ilvl w:val="0"/>
          <w:numId w:val="1005"/>
        </w:numPr>
      </w:pPr>
      <w:r>
        <w:t xml:space="preserve">El Cliente es responsable de mantener confidencialidad de credenciales.</w:t>
      </w:r>
    </w:p>
    <w:p>
      <w:pPr>
        <w:pStyle w:val="Compact"/>
        <w:numPr>
          <w:ilvl w:val="0"/>
          <w:numId w:val="1005"/>
        </w:numPr>
      </w:pPr>
      <w:r>
        <w:t xml:space="preserve">El Cliente es responsable de cualquier actividad en su cuenta (incluso si no fue él quien actúo).</w:t>
      </w:r>
    </w:p>
    <w:p>
      <w:pPr>
        <w:pStyle w:val="FirstParagraph"/>
      </w:pPr>
      <w:r>
        <w:t xml:space="preserve">4.2</w:t>
      </w:r>
      <w:r>
        <w:t xml:space="preserve"> </w:t>
      </w:r>
      <w:r>
        <w:rPr>
          <w:b/>
          <w:bCs/>
        </w:rPr>
        <w:t xml:space="preserve">Disponibilidad:</w:t>
      </w:r>
    </w:p>
    <w:p>
      <w:pPr>
        <w:pStyle w:val="Compact"/>
        <w:numPr>
          <w:ilvl w:val="0"/>
          <w:numId w:val="1006"/>
        </w:numPr>
      </w:pPr>
      <w:r>
        <w:t xml:space="preserve">FACTUS se compromete a 99 % de disponibilidad en horario hábil (lunes-viernes, 8:00 a.m. - 6:00 p.m.).</w:t>
      </w:r>
    </w:p>
    <w:p>
      <w:pPr>
        <w:pStyle w:val="Compact"/>
        <w:numPr>
          <w:ilvl w:val="0"/>
          <w:numId w:val="1006"/>
        </w:numPr>
      </w:pPr>
      <w:r>
        <w:t xml:space="preserve">Esto NO incluye: fines de semana, festivos, mantenimiento programado (notificado 48 horas antes).</w:t>
      </w:r>
    </w:p>
    <w:p>
      <w:pPr>
        <w:pStyle w:val="Compact"/>
        <w:numPr>
          <w:ilvl w:val="0"/>
          <w:numId w:val="1006"/>
        </w:numPr>
      </w:pPr>
      <w:r>
        <w:t xml:space="preserve">Eventos no controlables (caída DIAN, problemas ISP, DDoS) NO son responsabilidad de FACTUS.</w:t>
      </w:r>
    </w:p>
    <w:p>
      <w:pPr>
        <w:pStyle w:val="FirstParagraph"/>
      </w:pPr>
      <w:r>
        <w:t xml:space="preserve">4.3</w:t>
      </w:r>
      <w:r>
        <w:t xml:space="preserve"> </w:t>
      </w:r>
      <w:r>
        <w:rPr>
          <w:b/>
          <w:bCs/>
        </w:rPr>
        <w:t xml:space="preserve">Certificados Digitales:</w:t>
      </w:r>
    </w:p>
    <w:p>
      <w:pPr>
        <w:pStyle w:val="Compact"/>
        <w:numPr>
          <w:ilvl w:val="0"/>
          <w:numId w:val="1007"/>
        </w:numPr>
      </w:pPr>
      <w:r>
        <w:t xml:space="preserve">Gestión de certificados: 1-3 días hábiles (depende del proveedor de certificación).</w:t>
      </w:r>
    </w:p>
    <w:p>
      <w:pPr>
        <w:pStyle w:val="Compact"/>
        <w:numPr>
          <w:ilvl w:val="0"/>
          <w:numId w:val="1007"/>
        </w:numPr>
      </w:pPr>
      <w:r>
        <w:t xml:space="preserve">Si certificado expira por culpa del Cliente (no lo renovó), FACTUS cobra arancel por reinscripción.</w:t>
      </w:r>
    </w:p>
    <w:p>
      <w:pPr>
        <w:pStyle w:val="Compact"/>
        <w:numPr>
          <w:ilvl w:val="0"/>
          <w:numId w:val="1007"/>
        </w:numPr>
      </w:pPr>
      <w:r>
        <w:t xml:space="preserve">Si certificado se vence mientras está en trámite con FACTUS, no hay cargo adicional.</w:t>
      </w:r>
    </w:p>
    <w:p>
      <w:pPr>
        <w:pStyle w:val="FirstParagraph"/>
      </w:pPr>
      <w:r>
        <w:t xml:space="preserve">4.4</w:t>
      </w:r>
      <w:r>
        <w:t xml:space="preserve"> </w:t>
      </w:r>
      <w:r>
        <w:rPr>
          <w:b/>
          <w:bCs/>
        </w:rPr>
        <w:t xml:space="preserve">Cambios y Actualizaciones:</w:t>
      </w:r>
    </w:p>
    <w:p>
      <w:pPr>
        <w:pStyle w:val="Compact"/>
        <w:numPr>
          <w:ilvl w:val="0"/>
          <w:numId w:val="1008"/>
        </w:numPr>
      </w:pPr>
      <w:r>
        <w:t xml:space="preserve">FACTUS puede hacer cambios, parches de seguridad y actualizaciones de software.</w:t>
      </w:r>
    </w:p>
    <w:p>
      <w:pPr>
        <w:pStyle w:val="Compact"/>
        <w:numPr>
          <w:ilvl w:val="0"/>
          <w:numId w:val="1008"/>
        </w:numPr>
      </w:pPr>
      <w:r>
        <w:t xml:space="preserve">Cambios menores se notifican con 48 horas de anticipación.</w:t>
      </w:r>
    </w:p>
    <w:p>
      <w:pPr>
        <w:pStyle w:val="Compact"/>
        <w:numPr>
          <w:ilvl w:val="0"/>
          <w:numId w:val="1008"/>
        </w:numPr>
      </w:pPr>
      <w:r>
        <w:t xml:space="preserve">Cambios mayores se comunican con mayor anticipación.</w:t>
      </w:r>
    </w:p>
    <w:p>
      <w:pPr>
        <w:pStyle w:val="Compact"/>
        <w:numPr>
          <w:ilvl w:val="0"/>
          <w:numId w:val="1008"/>
        </w:numPr>
      </w:pPr>
      <w:r>
        <w:t xml:space="preserve">Actualizaciones de seguridad pueden ser inmediatas (sin previo aviso) si hay vulnerabilidad detectada.</w:t>
      </w:r>
    </w:p>
    <w:p>
      <w:r>
        <w:pict>
          <v:rect style="width:0;height:1.5pt" o:hralign="center" o:hrstd="t" o:hr="t"/>
        </w:pict>
      </w:r>
    </w:p>
    <w:bookmarkEnd w:id="918"/>
    <w:bookmarkStart w:id="919" w:name="obligaciones-del-cliente"/>
    <w:p>
      <w:pPr>
        <w:pStyle w:val="Heading1"/>
      </w:pPr>
      <w:r>
        <w:t xml:space="preserve">5. Obligaciones del Cliente</w:t>
      </w:r>
    </w:p>
    <w:p>
      <w:pPr>
        <w:pStyle w:val="FirstParagraph"/>
      </w:pPr>
      <w:r>
        <w:t xml:space="preserve">5.1 El Cliente se obliga a:</w:t>
      </w:r>
    </w:p>
    <w:p>
      <w:pPr>
        <w:pStyle w:val="Compact"/>
        <w:numPr>
          <w:ilvl w:val="0"/>
          <w:numId w:val="1009"/>
        </w:numPr>
      </w:pPr>
      <w:r>
        <w:t xml:space="preserve">Usar la plataforma solo para emitir documentos electrónicos conforme normas DIAN.</w:t>
      </w:r>
    </w:p>
    <w:p>
      <w:pPr>
        <w:pStyle w:val="Compact"/>
        <w:numPr>
          <w:ilvl w:val="0"/>
          <w:numId w:val="1009"/>
        </w:numPr>
      </w:pPr>
      <w:r>
        <w:t xml:space="preserve">Cargar datos correctos y completos en sus documentos.</w:t>
      </w:r>
    </w:p>
    <w:p>
      <w:pPr>
        <w:pStyle w:val="Compact"/>
        <w:numPr>
          <w:ilvl w:val="0"/>
          <w:numId w:val="1009"/>
        </w:numPr>
      </w:pPr>
      <w:r>
        <w:t xml:space="preserve">Validar documentos antes de emitir (datos del cliente, valores, impuestos, etc.).</w:t>
      </w:r>
    </w:p>
    <w:p>
      <w:pPr>
        <w:pStyle w:val="Compact"/>
        <w:numPr>
          <w:ilvl w:val="0"/>
          <w:numId w:val="1009"/>
        </w:numPr>
      </w:pPr>
      <w:r>
        <w:t xml:space="preserve">Cumplir normas tributarias vigentes (declaraciones, pagos de impuestos, etc.).</w:t>
      </w:r>
    </w:p>
    <w:p>
      <w:pPr>
        <w:pStyle w:val="Compact"/>
        <w:numPr>
          <w:ilvl w:val="0"/>
          <w:numId w:val="1009"/>
        </w:numPr>
      </w:pPr>
      <w:r>
        <w:t xml:space="preserve">Solicitar y cargar autorización de rangos ante la DIAN (si aplica).</w:t>
      </w:r>
    </w:p>
    <w:p>
      <w:pPr>
        <w:pStyle w:val="Compact"/>
        <w:numPr>
          <w:ilvl w:val="0"/>
          <w:numId w:val="1009"/>
        </w:numPr>
      </w:pPr>
      <w:r>
        <w:t xml:space="preserve">Mantener confidencialidad de credenciales.</w:t>
      </w:r>
    </w:p>
    <w:p>
      <w:pPr>
        <w:pStyle w:val="Compact"/>
        <w:numPr>
          <w:ilvl w:val="0"/>
          <w:numId w:val="1009"/>
        </w:numPr>
      </w:pPr>
      <w:r>
        <w:t xml:space="preserve">Notificar a FACTUS inmediatamente si detecta acceso no autorizado a su cuenta.</w:t>
      </w:r>
    </w:p>
    <w:p>
      <w:pPr>
        <w:pStyle w:val="Compact"/>
        <w:numPr>
          <w:ilvl w:val="0"/>
          <w:numId w:val="1009"/>
        </w:numPr>
      </w:pPr>
      <w:r>
        <w:t xml:space="preserve">Cumplir con leyes y regulaciones vigentes.</w:t>
      </w:r>
    </w:p>
    <w:p>
      <w:pPr>
        <w:pStyle w:val="FirstParagraph"/>
      </w:pPr>
      <w:r>
        <w:t xml:space="preserve">5.2</w:t>
      </w:r>
      <w:r>
        <w:t xml:space="preserve"> </w:t>
      </w:r>
      <w:r>
        <w:rPr>
          <w:b/>
          <w:bCs/>
        </w:rPr>
        <w:t xml:space="preserve">Prohibiciones Expresas:</w:t>
      </w:r>
    </w:p>
    <w:p>
      <w:pPr>
        <w:pStyle w:val="Compact"/>
        <w:numPr>
          <w:ilvl w:val="0"/>
          <w:numId w:val="1010"/>
        </w:numPr>
      </w:pPr>
      <w:r>
        <w:t xml:space="preserve">No intentar acceder a sistemas, bases de datos o información de otros usuarios.</w:t>
      </w:r>
    </w:p>
    <w:p>
      <w:pPr>
        <w:pStyle w:val="Compact"/>
        <w:numPr>
          <w:ilvl w:val="0"/>
          <w:numId w:val="1010"/>
        </w:numPr>
      </w:pPr>
      <w:r>
        <w:t xml:space="preserve">No usar la plataforma para fraude tributario, falsificación de documentos, o fines ilícitos.</w:t>
      </w:r>
    </w:p>
    <w:p>
      <w:pPr>
        <w:pStyle w:val="Compact"/>
        <w:numPr>
          <w:ilvl w:val="0"/>
          <w:numId w:val="1010"/>
        </w:numPr>
      </w:pPr>
      <w:r>
        <w:t xml:space="preserve">No reproducir, copiar, distribuir, o revender el software de FACTUS.</w:t>
      </w:r>
    </w:p>
    <w:p>
      <w:pPr>
        <w:pStyle w:val="Compact"/>
        <w:numPr>
          <w:ilvl w:val="0"/>
          <w:numId w:val="1010"/>
        </w:numPr>
      </w:pPr>
      <w:r>
        <w:t xml:space="preserve">No intentar</w:t>
      </w:r>
      <w:r>
        <w:t xml:space="preserve"> </w:t>
      </w:r>
      <w:r>
        <w:t xml:space="preserve">“hackear”</w:t>
      </w:r>
      <w:r>
        <w:t xml:space="preserve">, modificar o sabotear la plataforma.</w:t>
      </w:r>
    </w:p>
    <w:p>
      <w:pPr>
        <w:pStyle w:val="Compact"/>
        <w:numPr>
          <w:ilvl w:val="0"/>
          <w:numId w:val="1010"/>
        </w:numPr>
      </w:pPr>
      <w:r>
        <w:t xml:space="preserve">No cargar documentos que sabes incumplen normas tributarias.</w:t>
      </w:r>
    </w:p>
    <w:p>
      <w:pPr>
        <w:pStyle w:val="FirstParagraph"/>
      </w:pPr>
      <w:r>
        <w:t xml:space="preserve">5.3</w:t>
      </w:r>
      <w:r>
        <w:t xml:space="preserve"> </w:t>
      </w:r>
      <w:r>
        <w:rPr>
          <w:b/>
          <w:bCs/>
        </w:rPr>
        <w:t xml:space="preserve">Validación Propios Datos:</w:t>
      </w:r>
      <w:r>
        <w:t xml:space="preserve"> </w:t>
      </w:r>
      <w:r>
        <w:t xml:space="preserve">El Cliente es</w:t>
      </w:r>
      <w:r>
        <w:t xml:space="preserve"> </w:t>
      </w:r>
      <w:r>
        <w:rPr>
          <w:b/>
          <w:bCs/>
        </w:rPr>
        <w:t xml:space="preserve">único responsable</w:t>
      </w:r>
      <w:r>
        <w:t xml:space="preserve"> </w:t>
      </w:r>
      <w:r>
        <w:t xml:space="preserve">de validar que:</w:t>
      </w:r>
    </w:p>
    <w:p>
      <w:pPr>
        <w:pStyle w:val="Compact"/>
        <w:numPr>
          <w:ilvl w:val="0"/>
          <w:numId w:val="1011"/>
        </w:numPr>
      </w:pPr>
      <w:r>
        <w:t xml:space="preserve">Razón social y NIT son correctos.</w:t>
      </w:r>
    </w:p>
    <w:p>
      <w:pPr>
        <w:pStyle w:val="Compact"/>
        <w:numPr>
          <w:ilvl w:val="0"/>
          <w:numId w:val="1011"/>
        </w:numPr>
      </w:pPr>
      <w:r>
        <w:t xml:space="preserve">Datos de clientes/proveedores incluidos en documentos son exactos.</w:t>
      </w:r>
    </w:p>
    <w:p>
      <w:pPr>
        <w:pStyle w:val="Compact"/>
        <w:numPr>
          <w:ilvl w:val="0"/>
          <w:numId w:val="1011"/>
        </w:numPr>
      </w:pPr>
      <w:r>
        <w:t xml:space="preserve">Valores, cantidades e impuestos están bien calculados.</w:t>
      </w:r>
    </w:p>
    <w:p>
      <w:pPr>
        <w:pStyle w:val="Compact"/>
        <w:numPr>
          <w:ilvl w:val="0"/>
          <w:numId w:val="1011"/>
        </w:numPr>
      </w:pPr>
      <w:r>
        <w:t xml:space="preserve">No hay duplicación de numeración.</w:t>
      </w:r>
    </w:p>
    <w:p>
      <w:pPr>
        <w:pStyle w:val="FirstParagraph"/>
      </w:pPr>
      <w:r>
        <w:t xml:space="preserve">FACTUS NO valida nada de esto antes de radicar. Si cargues datos incorrectos y la DIAN rechaza documentos,</w:t>
      </w:r>
      <w:r>
        <w:t xml:space="preserve"> </w:t>
      </w:r>
      <w:r>
        <w:rPr>
          <w:b/>
          <w:bCs/>
        </w:rPr>
        <w:t xml:space="preserve">es tu responsabilidad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19"/>
    <w:bookmarkStart w:id="920" w:name="responsabilidad-de-factus-limitada"/>
    <w:p>
      <w:pPr>
        <w:pStyle w:val="Heading1"/>
      </w:pPr>
      <w:r>
        <w:t xml:space="preserve">6. Responsabilidad de FACTUS (Limitada)</w:t>
      </w:r>
    </w:p>
    <w:p>
      <w:pPr>
        <w:pStyle w:val="FirstParagraph"/>
      </w:pPr>
      <w:r>
        <w:t xml:space="preserve">6.1</w:t>
      </w:r>
      <w:r>
        <w:t xml:space="preserve"> </w:t>
      </w:r>
      <w:r>
        <w:rPr>
          <w:b/>
          <w:bCs/>
        </w:rPr>
        <w:t xml:space="preserve">Lo que SÍ Responde FACTUS:</w:t>
      </w:r>
    </w:p>
    <w:p>
      <w:pPr>
        <w:pStyle w:val="Compact"/>
        <w:numPr>
          <w:ilvl w:val="0"/>
          <w:numId w:val="1012"/>
        </w:numPr>
      </w:pPr>
      <w:r>
        <w:t xml:space="preserve">Mantener plataforma disponible conforme al SLA (99 % horario hábil).</w:t>
      </w:r>
    </w:p>
    <w:p>
      <w:pPr>
        <w:pStyle w:val="Compact"/>
        <w:numPr>
          <w:ilvl w:val="0"/>
          <w:numId w:val="1012"/>
        </w:numPr>
      </w:pPr>
      <w:r>
        <w:t xml:space="preserve">Guardar tus datos seguros en servidor de FACTUS.</w:t>
      </w:r>
    </w:p>
    <w:p>
      <w:pPr>
        <w:pStyle w:val="Compact"/>
        <w:numPr>
          <w:ilvl w:val="0"/>
          <w:numId w:val="1012"/>
        </w:numPr>
      </w:pPr>
      <w:r>
        <w:t xml:space="preserve">Transmitir correctamente documentos a DIAN (si datos están bien cargados).</w:t>
      </w:r>
    </w:p>
    <w:p>
      <w:pPr>
        <w:pStyle w:val="Compact"/>
        <w:numPr>
          <w:ilvl w:val="0"/>
          <w:numId w:val="1012"/>
        </w:numPr>
      </w:pPr>
      <w:r>
        <w:t xml:space="preserve">Reportar estado de radicación en tiempo real.</w:t>
      </w:r>
    </w:p>
    <w:p>
      <w:pPr>
        <w:pStyle w:val="Compact"/>
        <w:numPr>
          <w:ilvl w:val="0"/>
          <w:numId w:val="1012"/>
        </w:numPr>
      </w:pPr>
      <w:r>
        <w:t xml:space="preserve">Gestionar certificados según tiempos comerciales.</w:t>
      </w:r>
    </w:p>
    <w:p>
      <w:pPr>
        <w:pStyle w:val="FirstParagraph"/>
      </w:pPr>
      <w:r>
        <w:t xml:space="preserve">6.2</w:t>
      </w:r>
      <w:r>
        <w:t xml:space="preserve"> </w:t>
      </w:r>
      <w:r>
        <w:rPr>
          <w:b/>
          <w:bCs/>
        </w:rPr>
        <w:t xml:space="preserve">Lo que NO Responde FACTUS: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Validación de documentos:</w:t>
      </w:r>
      <w:r>
        <w:t xml:space="preserve"> </w:t>
      </w:r>
      <w:r>
        <w:t xml:space="preserve">Si cargaste datos incorrectos, FACTUS no responde.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Aceptación DIAN:</w:t>
      </w:r>
      <w:r>
        <w:t xml:space="preserve"> </w:t>
      </w:r>
      <w:r>
        <w:t xml:space="preserve">Si DIAN rechaza tu documento, no es culpa de FACTUS (a menos que FACTUS tuvo falla técnica comprobada).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Reportes indebidos:</w:t>
      </w:r>
      <w:r>
        <w:t xml:space="preserve"> </w:t>
      </w:r>
      <w:r>
        <w:t xml:space="preserve">Si emitiste factura en nombre de tercero sin autorización, FACTUS no responde.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Cumplimiento tributario:</w:t>
      </w:r>
      <w:r>
        <w:t xml:space="preserve"> </w:t>
      </w:r>
      <w:r>
        <w:t xml:space="preserve">Si no pagaste impuestos, no cargaste rangos, o la DIAN te multa, no es culpa de FACTUS.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Cambios normativos:</w:t>
      </w:r>
      <w:r>
        <w:t xml:space="preserve"> </w:t>
      </w:r>
      <w:r>
        <w:t xml:space="preserve">Si DIAN cambia formatos o requisitos después de que usaste plataforma, FACTUS no es responsable.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Ataques externos:</w:t>
      </w:r>
      <w:r>
        <w:t xml:space="preserve"> </w:t>
      </w:r>
      <w:r>
        <w:t xml:space="preserve">Si sufres DDoS, malware o acceso no autorizado a tu cuenta, FACTUS no es responsable (pero ayuda a investigar).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Daño emergente o lucro cesante:</w:t>
      </w:r>
      <w:r>
        <w:t xml:space="preserve"> </w:t>
      </w:r>
      <w:r>
        <w:t xml:space="preserve">Pérdida de ingresos, clientes, o negocios — no indemniza FACTUS.</w:t>
      </w:r>
    </w:p>
    <w:p>
      <w:pPr>
        <w:pStyle w:val="FirstParagraph"/>
      </w:pPr>
      <w:r>
        <w:t xml:space="preserve">6.3</w:t>
      </w:r>
      <w:r>
        <w:t xml:space="preserve"> </w:t>
      </w:r>
      <w:r>
        <w:rPr>
          <w:b/>
          <w:bCs/>
        </w:rPr>
        <w:t xml:space="preserve">Límite Cuantitativo:</w:t>
      </w:r>
      <w:r>
        <w:t xml:space="preserve"> </w:t>
      </w:r>
      <w:r>
        <w:t xml:space="preserve">Si FACTUS incurriera en falla técnica comprobada, máximo reembolso es el valor de</w:t>
      </w:r>
      <w:r>
        <w:t xml:space="preserve"> </w:t>
      </w:r>
      <w:r>
        <w:rPr>
          <w:b/>
          <w:bCs/>
        </w:rPr>
        <w:t xml:space="preserve">uno (1) mes</w:t>
      </w:r>
      <w:r>
        <w:t xml:space="preserve"> </w:t>
      </w:r>
      <w:r>
        <w:t xml:space="preserve">del servicio contratado.</w:t>
      </w:r>
    </w:p>
    <w:p>
      <w:pPr>
        <w:pStyle w:val="BodyText"/>
      </w:pPr>
      <w:r>
        <w:t xml:space="preserve">6.4</w:t>
      </w:r>
      <w:r>
        <w:t xml:space="preserve"> </w:t>
      </w:r>
      <w:r>
        <w:rPr>
          <w:b/>
          <w:bCs/>
        </w:rPr>
        <w:t xml:space="preserve">“Tal Cual”</w:t>
      </w:r>
      <w:r>
        <w:rPr>
          <w:b/>
          <w:bCs/>
        </w:rPr>
        <w:t xml:space="preserve">:</w:t>
      </w:r>
      <w:r>
        <w:t xml:space="preserve"> </w:t>
      </w:r>
      <w:r>
        <w:t xml:space="preserve">Plataforma se proporciona en estado operacional</w:t>
      </w:r>
      <w:r>
        <w:t xml:space="preserve"> </w:t>
      </w:r>
      <w:r>
        <w:t xml:space="preserve">“como está”</w:t>
      </w:r>
      <w:r>
        <w:t xml:space="preserve">. FACTUS no garantiza que será</w:t>
      </w:r>
      <w:r>
        <w:t xml:space="preserve"> </w:t>
      </w:r>
      <w:r>
        <w:t xml:space="preserve">“perfecta”</w:t>
      </w:r>
      <w:r>
        <w:t xml:space="preserve">, pero la mantiene segura y funcional.</w:t>
      </w:r>
    </w:p>
    <w:p>
      <w:r>
        <w:pict>
          <v:rect style="width:0;height:1.5pt" o:hralign="center" o:hrstd="t" o:hr="t"/>
        </w:pict>
      </w:r>
    </w:p>
    <w:bookmarkEnd w:id="920"/>
    <w:bookmarkStart w:id="921" w:name="protección-de-datos-personales"/>
    <w:p>
      <w:pPr>
        <w:pStyle w:val="Heading1"/>
      </w:pPr>
      <w:r>
        <w:t xml:space="preserve">7. Protección de Datos Personales</w:t>
      </w:r>
    </w:p>
    <w:p>
      <w:pPr>
        <w:pStyle w:val="FirstParagraph"/>
      </w:pPr>
      <w:r>
        <w:t xml:space="preserve">7.1</w:t>
      </w:r>
      <w:r>
        <w:t xml:space="preserve"> </w:t>
      </w:r>
      <w:r>
        <w:rPr>
          <w:b/>
          <w:bCs/>
        </w:rPr>
        <w:t xml:space="preserve">Datos que FACTUS Recibe:</w:t>
      </w:r>
    </w:p>
    <w:p>
      <w:pPr>
        <w:pStyle w:val="Compact"/>
        <w:numPr>
          <w:ilvl w:val="0"/>
          <w:numId w:val="1014"/>
        </w:numPr>
      </w:pPr>
      <w:r>
        <w:t xml:space="preserve">Información tributaria (NIT, razón social, dirección fiscal).</w:t>
      </w:r>
    </w:p>
    <w:p>
      <w:pPr>
        <w:pStyle w:val="Compact"/>
        <w:numPr>
          <w:ilvl w:val="0"/>
          <w:numId w:val="1014"/>
        </w:numPr>
      </w:pPr>
      <w:r>
        <w:t xml:space="preserve">Datos de contacto (email, teléfono).</w:t>
      </w:r>
    </w:p>
    <w:p>
      <w:pPr>
        <w:pStyle w:val="Compact"/>
        <w:numPr>
          <w:ilvl w:val="0"/>
          <w:numId w:val="1014"/>
        </w:numPr>
      </w:pPr>
      <w:r>
        <w:t xml:space="preserve">Datos de clientes/proveedores que incluyes en documentos (nombre, ID, dirección).</w:t>
      </w:r>
    </w:p>
    <w:p>
      <w:pPr>
        <w:pStyle w:val="FirstParagraph"/>
      </w:pPr>
      <w:r>
        <w:t xml:space="preserve">7.2</w:t>
      </w:r>
      <w:r>
        <w:t xml:space="preserve"> </w:t>
      </w:r>
      <w:r>
        <w:rPr>
          <w:b/>
          <w:bCs/>
        </w:rPr>
        <w:t xml:space="preserve">Cumplimiento Normativo:</w:t>
      </w:r>
    </w:p>
    <w:p>
      <w:pPr>
        <w:pStyle w:val="Compact"/>
        <w:numPr>
          <w:ilvl w:val="0"/>
          <w:numId w:val="1015"/>
        </w:numPr>
      </w:pPr>
      <w:r>
        <w:t xml:space="preserve">FACTUS cumple Ley 1581 de 2012 (Protección de Datos Personales) y Decreto 1377 de 2013.</w:t>
      </w:r>
    </w:p>
    <w:p>
      <w:pPr>
        <w:pStyle w:val="Compact"/>
        <w:numPr>
          <w:ilvl w:val="0"/>
          <w:numId w:val="1015"/>
        </w:numPr>
      </w:pPr>
      <w:r>
        <w:t xml:space="preserve">Datos se tratan exclusivamente para:</w:t>
      </w:r>
    </w:p>
    <w:p>
      <w:pPr>
        <w:pStyle w:val="Compact"/>
        <w:numPr>
          <w:ilvl w:val="1"/>
          <w:numId w:val="1016"/>
        </w:numPr>
      </w:pPr>
      <w:r>
        <w:t xml:space="preserve">Emisión y radicación de documentos ante DIAN.</w:t>
      </w:r>
    </w:p>
    <w:p>
      <w:pPr>
        <w:pStyle w:val="Compact"/>
        <w:numPr>
          <w:ilvl w:val="1"/>
          <w:numId w:val="1016"/>
        </w:numPr>
      </w:pPr>
      <w:r>
        <w:t xml:space="preserve">Gestión técnica de la plataforma.</w:t>
      </w:r>
    </w:p>
    <w:p>
      <w:pPr>
        <w:pStyle w:val="Compact"/>
        <w:numPr>
          <w:ilvl w:val="1"/>
          <w:numId w:val="1016"/>
        </w:numPr>
      </w:pPr>
      <w:r>
        <w:t xml:space="preserve">Cumplimiento de obligaciones legales.</w:t>
      </w:r>
    </w:p>
    <w:p>
      <w:pPr>
        <w:pStyle w:val="FirstParagraph"/>
      </w:pPr>
      <w:r>
        <w:t xml:space="preserve">7.3</w:t>
      </w:r>
      <w:r>
        <w:t xml:space="preserve"> </w:t>
      </w:r>
      <w:r>
        <w:rPr>
          <w:b/>
          <w:bCs/>
        </w:rPr>
        <w:t xml:space="preserve">Retención de Datos:</w:t>
      </w:r>
    </w:p>
    <w:p>
      <w:pPr>
        <w:pStyle w:val="Compact"/>
        <w:numPr>
          <w:ilvl w:val="0"/>
          <w:numId w:val="1017"/>
        </w:numPr>
      </w:pPr>
      <w:r>
        <w:t xml:space="preserve">FACTUS retiene documentos y datos</w:t>
      </w:r>
      <w:r>
        <w:t xml:space="preserve"> </w:t>
      </w:r>
      <w:r>
        <w:rPr>
          <w:b/>
          <w:bCs/>
        </w:rPr>
        <w:t xml:space="preserve">5 años mínimo</w:t>
      </w:r>
      <w:r>
        <w:t xml:space="preserve"> </w:t>
      </w:r>
      <w:r>
        <w:t xml:space="preserve">(obligación DIAN).</w:t>
      </w:r>
    </w:p>
    <w:p>
      <w:pPr>
        <w:pStyle w:val="Compact"/>
        <w:numPr>
          <w:ilvl w:val="0"/>
          <w:numId w:val="1017"/>
        </w:numPr>
      </w:pPr>
      <w:r>
        <w:t xml:space="preserve">Después de 5 años, se destruyen de forma segura.</w:t>
      </w:r>
    </w:p>
    <w:p>
      <w:pPr>
        <w:pStyle w:val="Compact"/>
        <w:numPr>
          <w:ilvl w:val="0"/>
          <w:numId w:val="1017"/>
        </w:numPr>
      </w:pPr>
      <w:r>
        <w:t xml:space="preserve">Si cancelas servicio, datos se conservan 5 años; tienes 10 días para solicitarlos en copia.</w:t>
      </w:r>
    </w:p>
    <w:p>
      <w:pPr>
        <w:pStyle w:val="FirstParagraph"/>
      </w:pPr>
      <w:r>
        <w:t xml:space="preserve">7.4</w:t>
      </w:r>
      <w:r>
        <w:t xml:space="preserve"> </w:t>
      </w:r>
      <w:r>
        <w:rPr>
          <w:b/>
          <w:bCs/>
        </w:rPr>
        <w:t xml:space="preserve">Autorización de Datos de Terceros:</w:t>
      </w:r>
    </w:p>
    <w:p>
      <w:pPr>
        <w:pStyle w:val="Compact"/>
        <w:numPr>
          <w:ilvl w:val="0"/>
          <w:numId w:val="1018"/>
        </w:numPr>
      </w:pPr>
      <w:r>
        <w:t xml:space="preserve">Si incluyes datos de clientes/proveedores en documentos,</w:t>
      </w:r>
      <w:r>
        <w:t xml:space="preserve"> </w:t>
      </w:r>
      <w:r>
        <w:rPr>
          <w:b/>
          <w:bCs/>
        </w:rPr>
        <w:t xml:space="preserve">garantizas que tenías autorización de ellos</w:t>
      </w:r>
      <w:r>
        <w:t xml:space="preserve"> </w:t>
      </w:r>
      <w:r>
        <w:t xml:space="preserve">o que es información pública/tributaria.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FACTUS no es responsable</w:t>
      </w:r>
      <w:r>
        <w:t xml:space="preserve"> </w:t>
      </w:r>
      <w:r>
        <w:t xml:space="preserve">si tu cliente declara después que no lo autorizaste. Eso es asunto tuyo con tu cliente.</w:t>
      </w:r>
    </w:p>
    <w:p>
      <w:pPr>
        <w:pStyle w:val="FirstParagraph"/>
      </w:pPr>
      <w:r>
        <w:t xml:space="preserve">7.5</w:t>
      </w:r>
      <w:r>
        <w:t xml:space="preserve"> </w:t>
      </w:r>
      <w:r>
        <w:rPr>
          <w:b/>
          <w:bCs/>
        </w:rPr>
        <w:t xml:space="preserve">Derechos de Titulares:</w:t>
      </w:r>
    </w:p>
    <w:p>
      <w:pPr>
        <w:pStyle w:val="Compact"/>
        <w:numPr>
          <w:ilvl w:val="0"/>
          <w:numId w:val="1019"/>
        </w:numPr>
      </w:pPr>
      <w:r>
        <w:t xml:space="preserve">Personas incluidas en documentos que radiques (clientes, proveedores) pueden solicitar rectificación o supresión conforme ley.</w:t>
      </w:r>
    </w:p>
    <w:p>
      <w:pPr>
        <w:pStyle w:val="Compact"/>
        <w:numPr>
          <w:ilvl w:val="0"/>
          <w:numId w:val="1019"/>
        </w:numPr>
      </w:pPr>
      <w:r>
        <w:t xml:space="preserve">Contactan a FACTUS; FACTUS las refiere a ti (Cliente), pues tú eres responsable de la información.</w:t>
      </w:r>
    </w:p>
    <w:p>
      <w:r>
        <w:pict>
          <v:rect style="width:0;height:1.5pt" o:hralign="center" o:hrstd="t" o:hr="t"/>
        </w:pict>
      </w:r>
    </w:p>
    <w:bookmarkEnd w:id="921"/>
    <w:bookmarkStart w:id="922" w:name="confidencialidad"/>
    <w:p>
      <w:pPr>
        <w:pStyle w:val="Heading1"/>
      </w:pPr>
      <w:r>
        <w:t xml:space="preserve">8. Confidencialidad</w:t>
      </w:r>
    </w:p>
    <w:p>
      <w:pPr>
        <w:pStyle w:val="FirstParagraph"/>
      </w:pPr>
      <w:r>
        <w:t xml:space="preserve">8.1</w:t>
      </w:r>
      <w:r>
        <w:t xml:space="preserve"> </w:t>
      </w:r>
      <w:r>
        <w:rPr>
          <w:b/>
          <w:bCs/>
        </w:rPr>
        <w:t xml:space="preserve">Información Tuya:</w:t>
      </w:r>
    </w:p>
    <w:p>
      <w:pPr>
        <w:pStyle w:val="Compact"/>
        <w:numPr>
          <w:ilvl w:val="0"/>
          <w:numId w:val="1020"/>
        </w:numPr>
      </w:pPr>
      <w:r>
        <w:t xml:space="preserve">FACTUS no comparte tu información con otros clientes ni con terceros (salvo obligación legal).</w:t>
      </w:r>
    </w:p>
    <w:p>
      <w:pPr>
        <w:pStyle w:val="Compact"/>
        <w:numPr>
          <w:ilvl w:val="0"/>
          <w:numId w:val="1020"/>
        </w:numPr>
      </w:pPr>
      <w:r>
        <w:t xml:space="preserve">FACTUS no vende tu data ni la usa para marketing sin tu consentimiento.</w:t>
      </w:r>
    </w:p>
    <w:p>
      <w:pPr>
        <w:pStyle w:val="FirstParagraph"/>
      </w:pPr>
      <w:r>
        <w:t xml:space="preserve">8.2</w:t>
      </w:r>
      <w:r>
        <w:t xml:space="preserve"> </w:t>
      </w:r>
      <w:r>
        <w:rPr>
          <w:b/>
          <w:bCs/>
        </w:rPr>
        <w:t xml:space="preserve">Información Confidencial:</w:t>
      </w:r>
    </w:p>
    <w:p>
      <w:pPr>
        <w:pStyle w:val="Compact"/>
        <w:numPr>
          <w:ilvl w:val="0"/>
          <w:numId w:val="1021"/>
        </w:numPr>
      </w:pPr>
      <w:r>
        <w:t xml:space="preserve">Términos comerciales de tu contrato: Confidenciales entre tú y FACTUS (o tu reseller).</w:t>
      </w:r>
    </w:p>
    <w:p>
      <w:pPr>
        <w:pStyle w:val="Compact"/>
        <w:numPr>
          <w:ilvl w:val="0"/>
          <w:numId w:val="1021"/>
        </w:numPr>
      </w:pPr>
      <w:r>
        <w:t xml:space="preserve">Documentos que radicas: Confidenciales en la plataforma; FACTUS solo los ve a nivel técnico.</w:t>
      </w:r>
    </w:p>
    <w:p>
      <w:pPr>
        <w:pStyle w:val="FirstParagraph"/>
      </w:pPr>
      <w:r>
        <w:t xml:space="preserve">8.3</w:t>
      </w:r>
      <w:r>
        <w:t xml:space="preserve"> </w:t>
      </w:r>
      <w:r>
        <w:rPr>
          <w:b/>
          <w:bCs/>
        </w:rPr>
        <w:t xml:space="preserve">Vigencia:</w:t>
      </w:r>
      <w:r>
        <w:t xml:space="preserve"> </w:t>
      </w:r>
      <w:r>
        <w:t xml:space="preserve">Obligación de confidencialidad sobrevive terminación del contrato por</w:t>
      </w:r>
      <w:r>
        <w:t xml:space="preserve"> </w:t>
      </w:r>
      <w:r>
        <w:rPr>
          <w:b/>
          <w:bCs/>
        </w:rPr>
        <w:t xml:space="preserve">2 años</w:t>
      </w:r>
      <w:r>
        <w:t xml:space="preserve">.</w:t>
      </w:r>
    </w:p>
    <w:p>
      <w:pPr>
        <w:pStyle w:val="BodyText"/>
      </w:pPr>
      <w:r>
        <w:t xml:space="preserve">8.4</w:t>
      </w:r>
      <w:r>
        <w:t xml:space="preserve"> </w:t>
      </w:r>
      <w:r>
        <w:rPr>
          <w:b/>
          <w:bCs/>
        </w:rPr>
        <w:t xml:space="preserve">Excepciones:</w:t>
      </w:r>
      <w:r>
        <w:t xml:space="preserve"> </w:t>
      </w:r>
      <w:r>
        <w:t xml:space="preserve">FACTUS puede revelar información si:</w:t>
      </w:r>
    </w:p>
    <w:p>
      <w:pPr>
        <w:pStyle w:val="Compact"/>
        <w:numPr>
          <w:ilvl w:val="0"/>
          <w:numId w:val="1022"/>
        </w:numPr>
      </w:pPr>
      <w:r>
        <w:t xml:space="preserve">Orden judicial lo ordena.</w:t>
      </w:r>
    </w:p>
    <w:p>
      <w:pPr>
        <w:pStyle w:val="Compact"/>
        <w:numPr>
          <w:ilvl w:val="0"/>
          <w:numId w:val="1022"/>
        </w:numPr>
      </w:pPr>
      <w:r>
        <w:t xml:space="preserve">Obligación legal lo requiere (ejemplo: solicitud DIAN en auditoría).</w:t>
      </w:r>
    </w:p>
    <w:p>
      <w:pPr>
        <w:pStyle w:val="Compact"/>
        <w:numPr>
          <w:ilvl w:val="0"/>
          <w:numId w:val="1022"/>
        </w:numPr>
      </w:pPr>
      <w:r>
        <w:t xml:space="preserve">Necesario para proteger seguridad de plataforma.</w:t>
      </w:r>
    </w:p>
    <w:p>
      <w:r>
        <w:pict>
          <v:rect style="width:0;height:1.5pt" o:hralign="center" o:hrstd="t" o:hr="t"/>
        </w:pict>
      </w:r>
    </w:p>
    <w:bookmarkEnd w:id="922"/>
    <w:bookmarkStart w:id="923" w:name="derecho-de-retracto"/>
    <w:p>
      <w:pPr>
        <w:pStyle w:val="Heading1"/>
      </w:pPr>
      <w:r>
        <w:t xml:space="preserve">9. Derecho de Retracto</w:t>
      </w:r>
    </w:p>
    <w:p>
      <w:pPr>
        <w:pStyle w:val="FirstParagraph"/>
      </w:pPr>
      <w:r>
        <w:t xml:space="preserve">9.1</w:t>
      </w:r>
      <w:r>
        <w:t xml:space="preserve"> </w:t>
      </w:r>
      <w:r>
        <w:rPr>
          <w:b/>
          <w:bCs/>
        </w:rPr>
        <w:t xml:space="preserve">Plazo:</w:t>
      </w:r>
      <w:r>
        <w:t xml:space="preserve"> </w:t>
      </w:r>
      <w:r>
        <w:t xml:space="preserve">El Cliente puede retractarse de este contrato dentro de</w:t>
      </w:r>
      <w:r>
        <w:t xml:space="preserve"> </w:t>
      </w:r>
      <w:r>
        <w:rPr>
          <w:b/>
          <w:bCs/>
        </w:rPr>
        <w:t xml:space="preserve">cinco (5) días calendario</w:t>
      </w:r>
      <w:r>
        <w:t xml:space="preserve"> </w:t>
      </w:r>
      <w:r>
        <w:t xml:space="preserve">contados desde la fecha de aceptación de estos TyC (firma electrónica).</w:t>
      </w:r>
    </w:p>
    <w:p>
      <w:pPr>
        <w:pStyle w:val="BodyText"/>
      </w:pPr>
      <w:r>
        <w:t xml:space="preserve">9.2</w:t>
      </w:r>
      <w:r>
        <w:t xml:space="preserve"> </w:t>
      </w:r>
      <w:r>
        <w:rPr>
          <w:b/>
          <w:bCs/>
        </w:rPr>
        <w:t xml:space="preserve">Condiciones:</w:t>
      </w:r>
    </w:p>
    <w:p>
      <w:pPr>
        <w:pStyle w:val="Compact"/>
        <w:numPr>
          <w:ilvl w:val="0"/>
          <w:numId w:val="1023"/>
        </w:numPr>
      </w:pPr>
      <w:r>
        <w:t xml:space="preserve">Retracto NO aplica si ya has emitido documentos electrónicos en la plataforma.</w:t>
      </w:r>
    </w:p>
    <w:p>
      <w:pPr>
        <w:pStyle w:val="Compact"/>
        <w:numPr>
          <w:ilvl w:val="0"/>
          <w:numId w:val="1023"/>
        </w:numPr>
      </w:pPr>
      <w:r>
        <w:t xml:space="preserve">Si emitiste aunque sea 1 documento, servicio está consumido y no hay retracto.</w:t>
      </w:r>
    </w:p>
    <w:p>
      <w:pPr>
        <w:pStyle w:val="Compact"/>
        <w:numPr>
          <w:ilvl w:val="0"/>
          <w:numId w:val="1023"/>
        </w:numPr>
      </w:pPr>
      <w:r>
        <w:t xml:space="preserve">Retracto SÍ aplica si solo accediste a plataforma pero no emitiste nada.</w:t>
      </w:r>
    </w:p>
    <w:p>
      <w:pPr>
        <w:pStyle w:val="FirstParagraph"/>
      </w:pPr>
      <w:r>
        <w:t xml:space="preserve">9.3</w:t>
      </w:r>
      <w:r>
        <w:t xml:space="preserve"> </w:t>
      </w:r>
      <w:r>
        <w:rPr>
          <w:b/>
          <w:bCs/>
        </w:rPr>
        <w:t xml:space="preserve">Procedimiento:</w:t>
      </w:r>
    </w:p>
    <w:p>
      <w:pPr>
        <w:pStyle w:val="Compact"/>
        <w:numPr>
          <w:ilvl w:val="0"/>
          <w:numId w:val="1024"/>
        </w:numPr>
      </w:pPr>
      <w:r>
        <w:t xml:space="preserve">Cliente envía comunicación escrita indicando:</w:t>
      </w:r>
      <w:r>
        <w:t xml:space="preserve"> </w:t>
      </w:r>
      <w:r>
        <w:t xml:space="preserve">“Me retracto conforme TyC sección 9.”</w:t>
      </w:r>
    </w:p>
    <w:p>
      <w:pPr>
        <w:pStyle w:val="Compact"/>
        <w:numPr>
          <w:ilvl w:val="0"/>
          <w:numId w:val="1024"/>
        </w:numPr>
      </w:pPr>
      <w:r>
        <w:t xml:space="preserve">Incluye: nombre, NIT, cuenta bancaria para reembolso.</w:t>
      </w:r>
    </w:p>
    <w:p>
      <w:pPr>
        <w:pStyle w:val="Compact"/>
        <w:numPr>
          <w:ilvl w:val="0"/>
          <w:numId w:val="1024"/>
        </w:numPr>
      </w:pPr>
      <w:r>
        <w:t xml:space="preserve">FACTUS responde dentro de 1 día hábil confirmando.</w:t>
      </w:r>
    </w:p>
    <w:p>
      <w:pPr>
        <w:pStyle w:val="Compact"/>
        <w:numPr>
          <w:ilvl w:val="0"/>
          <w:numId w:val="1024"/>
        </w:numPr>
      </w:pPr>
      <w:r>
        <w:t xml:space="preserve">Reembolso: Se procesa en máximo 10 días hábiles, descontando certificado digital (costo no recuperable).</w:t>
      </w:r>
    </w:p>
    <w:p>
      <w:pPr>
        <w:pStyle w:val="FirstParagraph"/>
      </w:pPr>
      <w:r>
        <w:t xml:space="preserve">9.4</w:t>
      </w:r>
      <w:r>
        <w:t xml:space="preserve"> </w:t>
      </w:r>
      <w:r>
        <w:rPr>
          <w:b/>
          <w:bCs/>
        </w:rPr>
        <w:t xml:space="preserve">Base Legal:</w:t>
      </w:r>
      <w:r>
        <w:t xml:space="preserve"> </w:t>
      </w:r>
      <w:r>
        <w:t xml:space="preserve">Ley 1480 de 2011 (Estatuto del Consumidor), art. 47-53; Ley 2439 de 2024 (reforma comercio electrónico).</w:t>
      </w:r>
    </w:p>
    <w:p>
      <w:r>
        <w:pict>
          <v:rect style="width:0;height:1.5pt" o:hralign="center" o:hrstd="t" o:hr="t"/>
        </w:pict>
      </w:r>
    </w:p>
    <w:bookmarkEnd w:id="923"/>
    <w:bookmarkStart w:id="924" w:name="terminación-de-servicio"/>
    <w:p>
      <w:pPr>
        <w:pStyle w:val="Heading1"/>
      </w:pPr>
      <w:r>
        <w:t xml:space="preserve">10. Terminación de Servicio</w:t>
      </w:r>
    </w:p>
    <w:p>
      <w:pPr>
        <w:pStyle w:val="FirstParagraph"/>
      </w:pPr>
      <w:r>
        <w:t xml:space="preserve">10.1</w:t>
      </w:r>
      <w:r>
        <w:t xml:space="preserve"> </w:t>
      </w:r>
      <w:r>
        <w:rPr>
          <w:b/>
          <w:bCs/>
        </w:rPr>
        <w:t xml:space="preserve">Por Solicitud del Cliente:</w:t>
      </w:r>
    </w:p>
    <w:p>
      <w:pPr>
        <w:pStyle w:val="Compact"/>
        <w:numPr>
          <w:ilvl w:val="0"/>
          <w:numId w:val="1025"/>
        </w:numPr>
      </w:pPr>
      <w:r>
        <w:t xml:space="preserve">Cliente puede terminar en cualquier momento, notificando con 30 días de anticipación.</w:t>
      </w:r>
    </w:p>
    <w:p>
      <w:pPr>
        <w:pStyle w:val="Compact"/>
        <w:numPr>
          <w:ilvl w:val="0"/>
          <w:numId w:val="1025"/>
        </w:numPr>
      </w:pPr>
      <w:r>
        <w:t xml:space="preserve">Se suspende acceso al terminar plazo; datos se retienen 5 años conforme ley.</w:t>
      </w:r>
    </w:p>
    <w:p>
      <w:pPr>
        <w:pStyle w:val="FirstParagraph"/>
      </w:pPr>
      <w:r>
        <w:t xml:space="preserve">10.2</w:t>
      </w:r>
      <w:r>
        <w:t xml:space="preserve"> </w:t>
      </w:r>
      <w:r>
        <w:rPr>
          <w:b/>
          <w:bCs/>
        </w:rPr>
        <w:t xml:space="preserve">Por Incumplimiento del Cliente:</w:t>
      </w:r>
    </w:p>
    <w:p>
      <w:pPr>
        <w:pStyle w:val="Compact"/>
        <w:numPr>
          <w:ilvl w:val="0"/>
          <w:numId w:val="1026"/>
        </w:numPr>
      </w:pPr>
      <w:r>
        <w:t xml:space="preserve">No pago de 30 días: FACTUS puede suspender acceso inmediatamente.</w:t>
      </w:r>
    </w:p>
    <w:p>
      <w:pPr>
        <w:pStyle w:val="Compact"/>
        <w:numPr>
          <w:ilvl w:val="0"/>
          <w:numId w:val="1026"/>
        </w:numPr>
      </w:pPr>
      <w:r>
        <w:t xml:space="preserve">Falta de pago de 60 días: FACTUS puede dar por terminado el servicio.</w:t>
      </w:r>
    </w:p>
    <w:p>
      <w:pPr>
        <w:pStyle w:val="Compact"/>
        <w:numPr>
          <w:ilvl w:val="0"/>
          <w:numId w:val="1026"/>
        </w:numPr>
      </w:pPr>
      <w:r>
        <w:t xml:space="preserve">Uso indebido (intentos de piratería, fines ilícitos, fraude tributario): Terminación inmediata.</w:t>
      </w:r>
    </w:p>
    <w:p>
      <w:pPr>
        <w:pStyle w:val="FirstParagraph"/>
      </w:pPr>
      <w:r>
        <w:t xml:space="preserve">10.3</w:t>
      </w:r>
      <w:r>
        <w:t xml:space="preserve"> </w:t>
      </w:r>
      <w:r>
        <w:rPr>
          <w:b/>
          <w:bCs/>
        </w:rPr>
        <w:t xml:space="preserve">Por Incumplimiento de FACTUS:</w:t>
      </w:r>
    </w:p>
    <w:p>
      <w:pPr>
        <w:pStyle w:val="Compact"/>
        <w:numPr>
          <w:ilvl w:val="0"/>
          <w:numId w:val="1027"/>
        </w:numPr>
      </w:pPr>
      <w:r>
        <w:t xml:space="preserve">Si indisponibilidad supera 20 días hábiles sin causa: Cliente puede terminar con 30 días de aviso.</w:t>
      </w:r>
    </w:p>
    <w:p>
      <w:pPr>
        <w:pStyle w:val="Compact"/>
        <w:numPr>
          <w:ilvl w:val="0"/>
          <w:numId w:val="1027"/>
        </w:numPr>
      </w:pPr>
      <w:r>
        <w:t xml:space="preserve">Si pérdida de datos: Cliente puede terminar inmediatamente.</w:t>
      </w:r>
    </w:p>
    <w:p>
      <w:pPr>
        <w:pStyle w:val="FirstParagraph"/>
      </w:pPr>
      <w:r>
        <w:t xml:space="preserve">10.4</w:t>
      </w:r>
      <w:r>
        <w:t xml:space="preserve"> </w:t>
      </w:r>
      <w:r>
        <w:rPr>
          <w:b/>
          <w:bCs/>
        </w:rPr>
        <w:t xml:space="preserve">Por Orden de Autoridad:</w:t>
      </w:r>
    </w:p>
    <w:p>
      <w:pPr>
        <w:pStyle w:val="Compact"/>
        <w:numPr>
          <w:ilvl w:val="0"/>
          <w:numId w:val="1028"/>
        </w:numPr>
      </w:pPr>
      <w:r>
        <w:t xml:space="preserve">Si DIAN u otro organismo ordena suspender servicios: Se suspenden sin mediación.</w:t>
      </w:r>
    </w:p>
    <w:p>
      <w:pPr>
        <w:pStyle w:val="FirstParagraph"/>
      </w:pPr>
      <w:r>
        <w:t xml:space="preserve">10.5</w:t>
      </w:r>
      <w:r>
        <w:t xml:space="preserve"> </w:t>
      </w:r>
      <w:r>
        <w:rPr>
          <w:b/>
          <w:bCs/>
        </w:rPr>
        <w:t xml:space="preserve">Consecuencias:</w:t>
      </w:r>
    </w:p>
    <w:p>
      <w:pPr>
        <w:pStyle w:val="Compact"/>
        <w:numPr>
          <w:ilvl w:val="0"/>
          <w:numId w:val="1029"/>
        </w:numPr>
      </w:pPr>
      <w:r>
        <w:t xml:space="preserve">Terminación = pérdida de acceso a plataforma.</w:t>
      </w:r>
    </w:p>
    <w:p>
      <w:pPr>
        <w:pStyle w:val="Compact"/>
        <w:numPr>
          <w:ilvl w:val="0"/>
          <w:numId w:val="1029"/>
        </w:numPr>
      </w:pPr>
      <w:r>
        <w:t xml:space="preserve">Documentos radicados permanecen en histórico DIAN; no se borran.</w:t>
      </w:r>
    </w:p>
    <w:p>
      <w:pPr>
        <w:pStyle w:val="Compact"/>
        <w:numPr>
          <w:ilvl w:val="0"/>
          <w:numId w:val="1029"/>
        </w:numPr>
      </w:pPr>
      <w:r>
        <w:t xml:space="preserve">Datos se retienen/destruyen conforme sección 7.</w:t>
      </w:r>
    </w:p>
    <w:p>
      <w:r>
        <w:pict>
          <v:rect style="width:0;height:1.5pt" o:hralign="center" o:hrstd="t" o:hr="t"/>
        </w:pict>
      </w:r>
    </w:p>
    <w:bookmarkEnd w:id="924"/>
    <w:bookmarkStart w:id="925" w:name="X69b3e9409cf1812275a0f6cdb6f7dd62bfa88e6"/>
    <w:p>
      <w:pPr>
        <w:pStyle w:val="Heading1"/>
      </w:pPr>
      <w:r>
        <w:t xml:space="preserve">11. Limitación de Responsabilidad y Exoneración</w:t>
      </w:r>
    </w:p>
    <w:p>
      <w:pPr>
        <w:pStyle w:val="FirstParagraph"/>
      </w:pPr>
      <w:r>
        <w:t xml:space="preserve">11.1</w:t>
      </w:r>
      <w:r>
        <w:t xml:space="preserve"> </w:t>
      </w:r>
      <w:r>
        <w:rPr>
          <w:b/>
          <w:bCs/>
        </w:rPr>
        <w:t xml:space="preserve">Exclusión de Daños Consecuenciales:</w:t>
      </w:r>
    </w:p>
    <w:p>
      <w:pPr>
        <w:pStyle w:val="BodyText"/>
      </w:pPr>
      <w:r>
        <w:t xml:space="preserve">Bajo ninguna circunstancia FACTUS es responsable por:</w:t>
      </w:r>
      <w:r>
        <w:t xml:space="preserve"> </w:t>
      </w:r>
      <w:r>
        <w:t xml:space="preserve">- Pérdida de beneficios, ganancia o lucro cesante.</w:t>
      </w:r>
      <w:r>
        <w:t xml:space="preserve"> </w:t>
      </w:r>
      <w:r>
        <w:t xml:space="preserve">- Pérdida de datos (a menos que falla técnica de FACTUS comprobada).</w:t>
      </w:r>
      <w:r>
        <w:t xml:space="preserve"> </w:t>
      </w:r>
      <w:r>
        <w:t xml:space="preserve">- Interrupción de negocios.</w:t>
      </w:r>
      <w:r>
        <w:t xml:space="preserve"> </w:t>
      </w:r>
      <w:r>
        <w:t xml:space="preserve">- Daño reputacional.</w:t>
      </w:r>
      <w:r>
        <w:t xml:space="preserve"> </w:t>
      </w:r>
      <w:r>
        <w:t xml:space="preserve">- Multas de la DIAN (eso es responsabilidad tributaria tuya).</w:t>
      </w:r>
    </w:p>
    <w:p>
      <w:pPr>
        <w:pStyle w:val="BodyText"/>
      </w:pPr>
      <w:r>
        <w:t xml:space="preserve">11.2</w:t>
      </w:r>
      <w:r>
        <w:t xml:space="preserve"> </w:t>
      </w:r>
      <w:r>
        <w:rPr>
          <w:b/>
          <w:bCs/>
        </w:rPr>
        <w:t xml:space="preserve">Responsabilidad por Información Tuya:</w:t>
      </w:r>
    </w:p>
    <w:p>
      <w:pPr>
        <w:pStyle w:val="BodyText"/>
      </w:pPr>
      <w:r>
        <w:t xml:space="preserve">FACTUS no es responsable por:</w:t>
      </w:r>
      <w:r>
        <w:t xml:space="preserve"> </w:t>
      </w:r>
      <w:r>
        <w:t xml:space="preserve">- Exactitud de información que cargaste en documentos.</w:t>
      </w:r>
      <w:r>
        <w:t xml:space="preserve"> </w:t>
      </w:r>
      <w:r>
        <w:t xml:space="preserve">- Ilegalidad de documentos que emitiste.</w:t>
      </w:r>
      <w:r>
        <w:t xml:space="preserve"> </w:t>
      </w:r>
      <w:r>
        <w:t xml:space="preserve">- Falta de cumplimiento tributario tuyo.</w:t>
      </w:r>
    </w:p>
    <w:p>
      <w:pPr>
        <w:pStyle w:val="BodyText"/>
      </w:pPr>
      <w:r>
        <w:t xml:space="preserve">Si la DIAN rechaza documentos por error tuyo, no es culpa de FACTUS.</w:t>
      </w:r>
    </w:p>
    <w:p>
      <w:pPr>
        <w:pStyle w:val="BodyText"/>
      </w:pPr>
      <w:r>
        <w:t xml:space="preserve">11.3</w:t>
      </w:r>
      <w:r>
        <w:t xml:space="preserve"> </w:t>
      </w:r>
      <w:r>
        <w:rPr>
          <w:b/>
          <w:bCs/>
        </w:rPr>
        <w:t xml:space="preserve">Responsabilidad por Terceros:</w:t>
      </w:r>
    </w:p>
    <w:p>
      <w:pPr>
        <w:pStyle w:val="BodyText"/>
      </w:pPr>
      <w:r>
        <w:t xml:space="preserve">FACTUS no es responsable por:</w:t>
      </w:r>
      <w:r>
        <w:t xml:space="preserve"> </w:t>
      </w:r>
      <w:r>
        <w:t xml:space="preserve">- Acciones de tus clientes/proveedores (si los incluiste sin autorización en documentos).</w:t>
      </w:r>
      <w:r>
        <w:t xml:space="preserve"> </w:t>
      </w:r>
      <w:r>
        <w:t xml:space="preserve">- Reclamaciones de terceros contra ti por documentos que emitiste.</w:t>
      </w:r>
      <w:r>
        <w:t xml:space="preserve"> </w:t>
      </w:r>
      <w:r>
        <w:t xml:space="preserve">- Acciones de reseller (si contrataste a través de reseller, reclama al reseller; es intermediario).</w:t>
      </w:r>
    </w:p>
    <w:p>
      <w:pPr>
        <w:pStyle w:val="BodyText"/>
      </w:pPr>
      <w:r>
        <w:t xml:space="preserve">11.4</w:t>
      </w:r>
      <w:r>
        <w:t xml:space="preserve"> </w:t>
      </w:r>
      <w:r>
        <w:rPr>
          <w:b/>
          <w:bCs/>
        </w:rPr>
        <w:t xml:space="preserve">Fuerza Mayor:</w:t>
      </w:r>
    </w:p>
    <w:p>
      <w:pPr>
        <w:pStyle w:val="Compact"/>
        <w:numPr>
          <w:ilvl w:val="0"/>
          <w:numId w:val="1030"/>
        </w:numPr>
      </w:pPr>
      <w:r>
        <w:t xml:space="preserve">Ataques DDoS, caídas de DIAN, cortes de internet, desastres naturales: FACTUS no responde.</w:t>
      </w:r>
    </w:p>
    <w:p>
      <w:pPr>
        <w:pStyle w:val="Compact"/>
        <w:numPr>
          <w:ilvl w:val="0"/>
          <w:numId w:val="1030"/>
        </w:numPr>
      </w:pPr>
      <w:r>
        <w:t xml:space="preserve">Mantenimiento de emergencia: Se notifica lo antes posible, no es incumplimiento SLA.</w:t>
      </w:r>
    </w:p>
    <w:p>
      <w:r>
        <w:pict>
          <v:rect style="width:0;height:1.5pt" o:hralign="center" o:hrstd="t" o:hr="t"/>
        </w:pict>
      </w:r>
    </w:p>
    <w:bookmarkEnd w:id="925"/>
    <w:bookmarkStart w:id="926" w:name="cambios-en-tyc"/>
    <w:p>
      <w:pPr>
        <w:pStyle w:val="Heading1"/>
      </w:pPr>
      <w:r>
        <w:t xml:space="preserve">12. Cambios en TyC</w:t>
      </w:r>
    </w:p>
    <w:p>
      <w:pPr>
        <w:pStyle w:val="FirstParagraph"/>
      </w:pPr>
      <w:r>
        <w:t xml:space="preserve">12.1</w:t>
      </w:r>
      <w:r>
        <w:t xml:space="preserve"> </w:t>
      </w:r>
      <w:r>
        <w:rPr>
          <w:b/>
          <w:bCs/>
        </w:rPr>
        <w:t xml:space="preserve">Modificación de Términos:</w:t>
      </w:r>
    </w:p>
    <w:p>
      <w:pPr>
        <w:pStyle w:val="BodyText"/>
      </w:pPr>
      <w:r>
        <w:t xml:space="preserve">FACTUS se reserva derecho de cambiar estos TyC en cualquier momento.</w:t>
      </w:r>
    </w:p>
    <w:p>
      <w:pPr>
        <w:pStyle w:val="BodyText"/>
      </w:pPr>
      <w:r>
        <w:t xml:space="preserve">12.2</w:t>
      </w:r>
      <w:r>
        <w:t xml:space="preserve"> </w:t>
      </w:r>
      <w:r>
        <w:rPr>
          <w:b/>
          <w:bCs/>
        </w:rPr>
        <w:t xml:space="preserve">Notificación:</w:t>
      </w:r>
    </w:p>
    <w:p>
      <w:pPr>
        <w:pStyle w:val="Compact"/>
        <w:numPr>
          <w:ilvl w:val="0"/>
          <w:numId w:val="1031"/>
        </w:numPr>
      </w:pPr>
      <w:r>
        <w:t xml:space="preserve">Cambios menores: Publicados en la plataforma, considerados aceptados si sigues usando.</w:t>
      </w:r>
    </w:p>
    <w:p>
      <w:pPr>
        <w:pStyle w:val="Compact"/>
        <w:numPr>
          <w:ilvl w:val="0"/>
          <w:numId w:val="1031"/>
        </w:numPr>
      </w:pPr>
      <w:r>
        <w:t xml:space="preserve">Cambios mayores: FACTUS notifica por email 30 días antes. Si no aceptas, puedes terminar sin penalidad.</w:t>
      </w:r>
    </w:p>
    <w:p>
      <w:pPr>
        <w:pStyle w:val="FirstParagraph"/>
      </w:pPr>
      <w:r>
        <w:t xml:space="preserve">12.3</w:t>
      </w:r>
      <w:r>
        <w:t xml:space="preserve"> </w:t>
      </w:r>
      <w:r>
        <w:rPr>
          <w:b/>
          <w:bCs/>
        </w:rPr>
        <w:t xml:space="preserve">Continuación de Uso = Aceptación:</w:t>
      </w:r>
    </w:p>
    <w:p>
      <w:pPr>
        <w:pStyle w:val="BodyText"/>
      </w:pPr>
      <w:r>
        <w:t xml:space="preserve">Si después de notificación sigues usando plataforma, aceptas nuevos TyC.</w:t>
      </w:r>
    </w:p>
    <w:p>
      <w:r>
        <w:pict>
          <v:rect style="width:0;height:1.5pt" o:hralign="center" o:hrstd="t" o:hr="t"/>
        </w:pict>
      </w:r>
    </w:p>
    <w:bookmarkEnd w:id="926"/>
    <w:bookmarkStart w:id="927" w:name="X9a8c5ca311da87de04a2a710efda7a684bd6368"/>
    <w:p>
      <w:pPr>
        <w:pStyle w:val="Heading1"/>
      </w:pPr>
      <w:r>
        <w:t xml:space="preserve">13. Ley Aplicable y Solución de Controversias</w:t>
      </w:r>
    </w:p>
    <w:p>
      <w:pPr>
        <w:pStyle w:val="FirstParagraph"/>
      </w:pPr>
      <w:r>
        <w:t xml:space="preserve">13.1</w:t>
      </w:r>
      <w:r>
        <w:t xml:space="preserve"> </w:t>
      </w:r>
      <w:r>
        <w:rPr>
          <w:b/>
          <w:bCs/>
        </w:rPr>
        <w:t xml:space="preserve">Ley Aplicable:</w:t>
      </w:r>
      <w:r>
        <w:t xml:space="preserve"> </w:t>
      </w:r>
      <w:r>
        <w:t xml:space="preserve">Estos TyC se rigen por leyes de la República de Colombia.</w:t>
      </w:r>
    </w:p>
    <w:p>
      <w:pPr>
        <w:pStyle w:val="BodyText"/>
      </w:pPr>
      <w:r>
        <w:t xml:space="preserve">13.2</w:t>
      </w:r>
      <w:r>
        <w:t xml:space="preserve"> </w:t>
      </w:r>
      <w:r>
        <w:rPr>
          <w:b/>
          <w:bCs/>
        </w:rPr>
        <w:t xml:space="preserve">Intento Amistoso:</w:t>
      </w:r>
      <w:r>
        <w:t xml:space="preserve"> </w:t>
      </w:r>
      <w:r>
        <w:t xml:space="preserve">Cualquier controversia se resuelve primero entre Cliente y FACTUS mediante diálogo.</w:t>
      </w:r>
    </w:p>
    <w:p>
      <w:pPr>
        <w:pStyle w:val="BodyText"/>
      </w:pPr>
      <w:r>
        <w:t xml:space="preserve">13.3</w:t>
      </w:r>
      <w:r>
        <w:t xml:space="preserve"> </w:t>
      </w:r>
      <w:r>
        <w:rPr>
          <w:b/>
          <w:bCs/>
        </w:rPr>
        <w:t xml:space="preserve">Mediación:</w:t>
      </w:r>
      <w:r>
        <w:t xml:space="preserve"> </w:t>
      </w:r>
      <w:r>
        <w:t xml:space="preserve">Si diálogo falla, mediación ante Centro de Conciliación de Cámara de Comercio (ciudad del Cliente).</w:t>
      </w:r>
    </w:p>
    <w:p>
      <w:pPr>
        <w:pStyle w:val="BodyText"/>
      </w:pPr>
      <w:r>
        <w:t xml:space="preserve">13.4</w:t>
      </w:r>
      <w:r>
        <w:t xml:space="preserve"> </w:t>
      </w:r>
      <w:r>
        <w:rPr>
          <w:b/>
          <w:bCs/>
        </w:rPr>
        <w:t xml:space="preserve">Arbitraje/Jurisdicción:</w:t>
      </w:r>
      <w:r>
        <w:t xml:space="preserve"> </w:t>
      </w:r>
      <w:r>
        <w:t xml:space="preserve">Si mediación falla, controversia se resuelve en juzgados civiles de jurisdicción del domicilio del Cliente.</w:t>
      </w:r>
    </w:p>
    <w:p>
      <w:r>
        <w:pict>
          <v:rect style="width:0;height:1.5pt" o:hralign="center" o:hrstd="t" o:hr="t"/>
        </w:pict>
      </w:r>
    </w:p>
    <w:bookmarkEnd w:id="927"/>
    <w:bookmarkStart w:id="928" w:name="seguridad-y-responsabilidad-del-cliente"/>
    <w:p>
      <w:pPr>
        <w:pStyle w:val="Heading1"/>
      </w:pPr>
      <w:r>
        <w:t xml:space="preserve">14. Seguridad y Responsabilidad del Cliente</w:t>
      </w:r>
    </w:p>
    <w:p>
      <w:pPr>
        <w:pStyle w:val="FirstParagraph"/>
      </w:pPr>
      <w:r>
        <w:t xml:space="preserve">14.1</w:t>
      </w:r>
      <w:r>
        <w:t xml:space="preserve"> </w:t>
      </w:r>
      <w:r>
        <w:rPr>
          <w:b/>
          <w:bCs/>
        </w:rPr>
        <w:t xml:space="preserve">Uso Responsable:</w:t>
      </w:r>
    </w:p>
    <w:p>
      <w:pPr>
        <w:pStyle w:val="Compact"/>
        <w:numPr>
          <w:ilvl w:val="0"/>
          <w:numId w:val="1032"/>
        </w:numPr>
      </w:pPr>
      <w:r>
        <w:t xml:space="preserve">Cambiar contraseña regularmente.</w:t>
      </w:r>
    </w:p>
    <w:p>
      <w:pPr>
        <w:pStyle w:val="Compact"/>
        <w:numPr>
          <w:ilvl w:val="0"/>
          <w:numId w:val="1032"/>
        </w:numPr>
      </w:pPr>
      <w:r>
        <w:t xml:space="preserve">No compartir credenciales.</w:t>
      </w:r>
    </w:p>
    <w:p>
      <w:pPr>
        <w:pStyle w:val="Compact"/>
        <w:numPr>
          <w:ilvl w:val="0"/>
          <w:numId w:val="1032"/>
        </w:numPr>
      </w:pPr>
      <w:r>
        <w:t xml:space="preserve">Reportar acceso sospechoso inmediatamente.</w:t>
      </w:r>
    </w:p>
    <w:p>
      <w:pPr>
        <w:pStyle w:val="Compact"/>
        <w:numPr>
          <w:ilvl w:val="0"/>
          <w:numId w:val="1032"/>
        </w:numPr>
      </w:pPr>
      <w:r>
        <w:t xml:space="preserve">No usar conexiones públicas sin VPN para acceder.</w:t>
      </w:r>
    </w:p>
    <w:p>
      <w:pPr>
        <w:pStyle w:val="FirstParagraph"/>
      </w:pPr>
      <w:r>
        <w:t xml:space="preserve">14.2</w:t>
      </w:r>
      <w:r>
        <w:t xml:space="preserve"> </w:t>
      </w:r>
      <w:r>
        <w:rPr>
          <w:b/>
          <w:bCs/>
        </w:rPr>
        <w:t xml:space="preserve">Responsabilidad por Cuenta:</w:t>
      </w:r>
    </w:p>
    <w:p>
      <w:pPr>
        <w:pStyle w:val="BodyText"/>
      </w:pPr>
      <w:r>
        <w:t xml:space="preserve">Todo lo que ocurra en tu cuenta es responsabilidad tuya, incluso si</w:t>
      </w:r>
      <w:r>
        <w:t xml:space="preserve"> </w:t>
      </w:r>
      <w:r>
        <w:t xml:space="preserve">“alguien más”</w:t>
      </w:r>
      <w:r>
        <w:t xml:space="preserve"> </w:t>
      </w:r>
      <w:r>
        <w:t xml:space="preserve">lo hizo.</w:t>
      </w:r>
    </w:p>
    <w:p>
      <w:pPr>
        <w:pStyle w:val="BodyText"/>
      </w:pPr>
      <w:r>
        <w:t xml:space="preserve">14.3</w:t>
      </w:r>
      <w:r>
        <w:t xml:space="preserve"> </w:t>
      </w:r>
      <w:r>
        <w:rPr>
          <w:b/>
          <w:bCs/>
        </w:rPr>
        <w:t xml:space="preserve">Cumplimiento Tributario:</w:t>
      </w:r>
    </w:p>
    <w:p>
      <w:pPr>
        <w:pStyle w:val="BodyText"/>
      </w:pPr>
      <w:r>
        <w:t xml:space="preserve">Eres responsable de:</w:t>
      </w:r>
      <w:r>
        <w:t xml:space="preserve"> </w:t>
      </w:r>
      <w:r>
        <w:t xml:space="preserve">- Pago de impuestos (IVA, renta, retención).</w:t>
      </w:r>
      <w:r>
        <w:t xml:space="preserve"> </w:t>
      </w:r>
      <w:r>
        <w:t xml:space="preserve">- Cargas de rangos ante DIAN.</w:t>
      </w:r>
      <w:r>
        <w:t xml:space="preserve"> </w:t>
      </w:r>
      <w:r>
        <w:t xml:space="preserve">- Solicitudes de habilitación.</w:t>
      </w:r>
      <w:r>
        <w:t xml:space="preserve"> </w:t>
      </w:r>
      <w:r>
        <w:t xml:space="preserve">- Cumplimiento de normas DIAN.</w:t>
      </w:r>
    </w:p>
    <w:p>
      <w:pPr>
        <w:pStyle w:val="BodyText"/>
      </w:pPr>
      <w:r>
        <w:t xml:space="preserve">FACTUS no es asesor tributario. Si tienes dudas, consulta contador.</w:t>
      </w:r>
    </w:p>
    <w:p>
      <w:r>
        <w:pict>
          <v:rect style="width:0;height:1.5pt" o:hralign="center" o:hrstd="t" o:hr="t"/>
        </w:pict>
      </w:r>
    </w:p>
    <w:bookmarkEnd w:id="928"/>
    <w:bookmarkStart w:id="929" w:name="contacto-y-soporte"/>
    <w:p>
      <w:pPr>
        <w:pStyle w:val="Heading1"/>
      </w:pPr>
      <w:r>
        <w:t xml:space="preserve">15. Contacto y Soporte</w:t>
      </w:r>
    </w:p>
    <w:p>
      <w:pPr>
        <w:pStyle w:val="FirstParagraph"/>
      </w:pPr>
      <w:r>
        <w:t xml:space="preserve">15.1</w:t>
      </w:r>
      <w:r>
        <w:t xml:space="preserve"> </w:t>
      </w:r>
      <w:r>
        <w:rPr>
          <w:b/>
          <w:bCs/>
        </w:rPr>
        <w:t xml:space="preserve">Canales:</w:t>
      </w:r>
    </w:p>
    <w:p>
      <w:pPr>
        <w:pStyle w:val="Compact"/>
        <w:numPr>
          <w:ilvl w:val="0"/>
          <w:numId w:val="1033"/>
        </w:numPr>
      </w:pPr>
      <w:r>
        <w:t xml:space="preserve">Email: soporte@factus.com.co</w:t>
      </w:r>
    </w:p>
    <w:p>
      <w:pPr>
        <w:pStyle w:val="Compact"/>
        <w:numPr>
          <w:ilvl w:val="0"/>
          <w:numId w:val="1033"/>
        </w:numPr>
      </w:pPr>
      <w:r>
        <w:t xml:space="preserve">WhatsApp: [número]</w:t>
      </w:r>
    </w:p>
    <w:p>
      <w:pPr>
        <w:pStyle w:val="Compact"/>
        <w:numPr>
          <w:ilvl w:val="0"/>
          <w:numId w:val="1033"/>
        </w:numPr>
      </w:pPr>
      <w:r>
        <w:t xml:space="preserve">Teléfono: [número]</w:t>
      </w:r>
    </w:p>
    <w:p>
      <w:pPr>
        <w:pStyle w:val="Compact"/>
        <w:numPr>
          <w:ilvl w:val="0"/>
          <w:numId w:val="1033"/>
        </w:numPr>
      </w:pPr>
      <w:r>
        <w:t xml:space="preserve">Horarios: Lunes-viernes, 8:00 a.m. - 6:00 p.m. (Colombia)</w:t>
      </w:r>
    </w:p>
    <w:p>
      <w:pPr>
        <w:pStyle w:val="FirstParagraph"/>
      </w:pPr>
      <w:r>
        <w:t xml:space="preserve">15.2</w:t>
      </w:r>
      <w:r>
        <w:t xml:space="preserve"> </w:t>
      </w:r>
      <w:r>
        <w:rPr>
          <w:b/>
          <w:bCs/>
        </w:rPr>
        <w:t xml:space="preserve">Tiempo de Respuesta:</w:t>
      </w:r>
    </w:p>
    <w:p>
      <w:pPr>
        <w:pStyle w:val="Compact"/>
        <w:numPr>
          <w:ilvl w:val="0"/>
          <w:numId w:val="1034"/>
        </w:numPr>
      </w:pPr>
      <w:r>
        <w:t xml:space="preserve">Consultas urgentes (plataforma caída): 30 minutos.</w:t>
      </w:r>
    </w:p>
    <w:p>
      <w:pPr>
        <w:pStyle w:val="Compact"/>
        <w:numPr>
          <w:ilvl w:val="0"/>
          <w:numId w:val="1034"/>
        </w:numPr>
      </w:pPr>
      <w:r>
        <w:t xml:space="preserve">Consultas normales: 2-4 horas.</w:t>
      </w:r>
    </w:p>
    <w:p>
      <w:pPr>
        <w:pStyle w:val="Compact"/>
        <w:numPr>
          <w:ilvl w:val="0"/>
          <w:numId w:val="1034"/>
        </w:numPr>
      </w:pPr>
      <w:r>
        <w:t xml:space="preserve">Consultas administrativas (cambio de datos): 24 horas.</w:t>
      </w:r>
    </w:p>
    <w:p>
      <w:pPr>
        <w:pStyle w:val="FirstParagraph"/>
      </w:pPr>
      <w:r>
        <w:t xml:space="preserve">15.3</w:t>
      </w:r>
      <w:r>
        <w:t xml:space="preserve"> </w:t>
      </w:r>
      <w:r>
        <w:rPr>
          <w:b/>
          <w:bCs/>
        </w:rPr>
        <w:t xml:space="preserve">Soporte Limitado:</w:t>
      </w:r>
    </w:p>
    <w:p>
      <w:pPr>
        <w:pStyle w:val="BodyText"/>
      </w:pPr>
      <w:r>
        <w:t xml:space="preserve">Si contratas a través de reseller:</w:t>
      </w:r>
      <w:r>
        <w:t xml:space="preserve"> </w:t>
      </w:r>
      <w:r>
        <w:t xml:space="preserve">- Soporte comercial: Reseller.</w:t>
      </w:r>
      <w:r>
        <w:t xml:space="preserve"> </w:t>
      </w:r>
      <w:r>
        <w:t xml:space="preserve">- Soporte técnico plataforma: FACTUS.</w:t>
      </w:r>
      <w:r>
        <w:t xml:space="preserve"> </w:t>
      </w:r>
      <w:r>
        <w:t xml:space="preserve">- Soporte tributario: Contador (no FACTUS).</w:t>
      </w:r>
    </w:p>
    <w:p>
      <w:r>
        <w:pict>
          <v:rect style="width:0;height:1.5pt" o:hralign="center" o:hrstd="t" o:hr="t"/>
        </w:pict>
      </w:r>
    </w:p>
    <w:bookmarkEnd w:id="929"/>
    <w:bookmarkStart w:id="930" w:name="aceptación-final"/>
    <w:p>
      <w:pPr>
        <w:pStyle w:val="Heading1"/>
      </w:pPr>
      <w:r>
        <w:t xml:space="preserve">16. Aceptación Final</w:t>
      </w:r>
    </w:p>
    <w:p>
      <w:pPr>
        <w:pStyle w:val="FirstParagraph"/>
      </w:pPr>
      <w:r>
        <w:t xml:space="preserve">Al hacer clic en</w:t>
      </w:r>
      <w:r>
        <w:t xml:space="preserve"> </w:t>
      </w:r>
      <w:r>
        <w:t xml:space="preserve">“ACEPTO”</w:t>
      </w:r>
      <w:r>
        <w:t xml:space="preserve"> </w:t>
      </w:r>
      <w:r>
        <w:t xml:space="preserve">o usar la plataforma después de ver estos TyC, aceptas:</w:t>
      </w:r>
      <w:r>
        <w:t xml:space="preserve"> </w:t>
      </w:r>
      <w:r>
        <w:t xml:space="preserve">- Todos los términos y condiciones anteriores.</w:t>
      </w:r>
      <w:r>
        <w:t xml:space="preserve"> </w:t>
      </w:r>
      <w:r>
        <w:t xml:space="preserve">- Limitaciones de responsabilidad.</w:t>
      </w:r>
      <w:r>
        <w:t xml:space="preserve"> </w:t>
      </w:r>
      <w:r>
        <w:t xml:space="preserve">- Que eres responsable de tu información y documentos.</w:t>
      </w:r>
      <w:r>
        <w:t xml:space="preserve"> </w:t>
      </w:r>
      <w:r>
        <w:t xml:space="preserve">- Que FACTUS es un canal tecnológico, no asesor.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Vigencia:</w:t>
      </w:r>
      <w:r>
        <w:t xml:space="preserve"> </w:t>
      </w:r>
      <w:r>
        <w:t xml:space="preserve">Estos TyC entraron en vigor en septiembre de 2026.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Autor:</w:t>
      </w:r>
      <w:r>
        <w:t xml:space="preserve"> </w:t>
      </w:r>
      <w:r>
        <w:t xml:space="preserve">Bedrock Abogados S.A.S.</w:t>
      </w:r>
      <w:r>
        <w:br/>
      </w:r>
      <w:r>
        <w:rPr>
          <w:b/>
          <w:bCs/>
        </w:rPr>
        <w:t xml:space="preserve">Para:</w:t>
      </w:r>
      <w:r>
        <w:t xml:space="preserve"> </w:t>
      </w:r>
      <w:r>
        <w:t xml:space="preserve">FACTUS S.A.S.</w:t>
      </w:r>
      <w:r>
        <w:br/>
      </w:r>
      <w:r>
        <w:rPr>
          <w:b/>
          <w:bCs/>
        </w:rPr>
        <w:t xml:space="preserve">Clasificación:</w:t>
      </w:r>
      <w:r>
        <w:t xml:space="preserve"> </w:t>
      </w:r>
      <w:r>
        <w:t xml:space="preserve">Público — Cliente Final</w:t>
      </w:r>
    </w:p>
    <w:p>
      <w:r>
        <w:pict>
          <v:rect style="width:0;height:1.5pt" o:hralign="center" o:hrstd="t" o:hr="t"/>
        </w:pict>
      </w:r>
    </w:p>
    <w:bookmarkEnd w:id="930"/>
    <w:bookmarkStart w:id="931" w:name="X147a9c7018ce51efa68ebf9e74e087ca3399ab1"/>
    <w:p>
      <w:pPr>
        <w:pStyle w:val="Heading1"/>
      </w:pPr>
      <w:r>
        <w:t xml:space="preserve">Anexo I: Procedimiento de Aceptación por Firma Electrónica</w:t>
      </w:r>
    </w:p>
    <w:p>
      <w:pPr>
        <w:pStyle w:val="FirstParagraph"/>
      </w:pPr>
      <w:r>
        <w:t xml:space="preserve">Cliente acepta estos TyC mediante firma electrónica (Ley 527 de 1999, Decreto 2364 de 2012):</w:t>
      </w:r>
    </w:p>
    <w:p>
      <w:pPr>
        <w:pStyle w:val="Compact"/>
        <w:numPr>
          <w:ilvl w:val="0"/>
          <w:numId w:val="1035"/>
        </w:numPr>
      </w:pPr>
      <w:r>
        <w:t xml:space="preserve">Cliente ingresa credenciales en plataforma.</w:t>
      </w:r>
    </w:p>
    <w:p>
      <w:pPr>
        <w:pStyle w:val="Compact"/>
        <w:numPr>
          <w:ilvl w:val="0"/>
          <w:numId w:val="1035"/>
        </w:numPr>
      </w:pPr>
      <w:r>
        <w:t xml:space="preserve">Sistema presenta checkbox:</w:t>
      </w:r>
      <w:r>
        <w:t xml:space="preserve"> </w:t>
      </w:r>
      <w:r>
        <w:t xml:space="preserve">“Acepto Términos y Condiciones de Factus.”</w:t>
      </w:r>
    </w:p>
    <w:p>
      <w:pPr>
        <w:pStyle w:val="Compact"/>
        <w:numPr>
          <w:ilvl w:val="0"/>
          <w:numId w:val="1035"/>
        </w:numPr>
      </w:pPr>
      <w:r>
        <w:t xml:space="preserve">Cliente marca checkbox.</w:t>
      </w:r>
    </w:p>
    <w:p>
      <w:pPr>
        <w:pStyle w:val="Compact"/>
        <w:numPr>
          <w:ilvl w:val="0"/>
          <w:numId w:val="1035"/>
        </w:numPr>
      </w:pPr>
      <w:r>
        <w:t xml:space="preserve">Cliente hace clic en</w:t>
      </w:r>
      <w:r>
        <w:t xml:space="preserve"> </w:t>
      </w:r>
      <w:r>
        <w:t xml:space="preserve">“Aceptar.”</w:t>
      </w:r>
    </w:p>
    <w:p>
      <w:pPr>
        <w:pStyle w:val="Compact"/>
        <w:numPr>
          <w:ilvl w:val="0"/>
          <w:numId w:val="1035"/>
        </w:numPr>
      </w:pPr>
      <w:r>
        <w:t xml:space="preserve">Sistema registra:</w:t>
      </w:r>
    </w:p>
    <w:p>
      <w:pPr>
        <w:pStyle w:val="Compact"/>
        <w:numPr>
          <w:ilvl w:val="1"/>
          <w:numId w:val="1036"/>
        </w:numPr>
      </w:pPr>
      <w:r>
        <w:t xml:space="preserve">Fecha y hora de aceptación.</w:t>
      </w:r>
    </w:p>
    <w:p>
      <w:pPr>
        <w:pStyle w:val="Compact"/>
        <w:numPr>
          <w:ilvl w:val="1"/>
          <w:numId w:val="1036"/>
        </w:numPr>
      </w:pPr>
      <w:r>
        <w:t xml:space="preserve">IP del Cliente.</w:t>
      </w:r>
    </w:p>
    <w:p>
      <w:pPr>
        <w:pStyle w:val="Compact"/>
        <w:numPr>
          <w:ilvl w:val="1"/>
          <w:numId w:val="1036"/>
        </w:numPr>
      </w:pPr>
      <w:r>
        <w:t xml:space="preserve">Hash de documento.</w:t>
      </w:r>
    </w:p>
    <w:p>
      <w:pPr>
        <w:pStyle w:val="Compact"/>
        <w:numPr>
          <w:ilvl w:val="1"/>
          <w:numId w:val="1036"/>
        </w:numPr>
      </w:pPr>
      <w:r>
        <w:t xml:space="preserve">Confirmación de aceptación.</w:t>
      </w:r>
    </w:p>
    <w:p>
      <w:pPr>
        <w:pStyle w:val="Compact"/>
        <w:numPr>
          <w:ilvl w:val="0"/>
          <w:numId w:val="1035"/>
        </w:numPr>
      </w:pPr>
      <w:r>
        <w:t xml:space="preserve">Cliente recibe confirmación por email con link a documento aceptado.</w:t>
      </w:r>
    </w:p>
    <w:p>
      <w:pPr>
        <w:pStyle w:val="FirstParagraph"/>
      </w:pPr>
      <w:r>
        <w:t xml:space="preserve">Esta firma electrónica tiene efecto legal equivalente a firma manuscrita conforme leyes vigentes.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 Términos y Condiciones</w:t>
      </w:r>
    </w:p>
    <w:bookmarkEnd w:id="931"/>
    <w:sectPr>
      <w:headerReference r:id="rId901" w:type="default"/>
      <w:footerReference r:id="rId902" w:type="default"/>
      <w:pgSz w:h="15840" w:w="12240"/>
      <w:pgMar w:bottom="1440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4" w:color="E2E6EB"/>
      </w:pBdr>
      <w:spacing w:before="0" w:after="0"/>
      <w:jc w:val="center"/>
    </w:pPr>
    <w:r>
      <w:rPr>
        <w:rFonts w:asciiTheme="majorHAnsi" w:hAnsiTheme="majorHAnsi"/>
        <w:color w:val="6B6F7A"/>
        <w:sz w:val="16"/>
      </w:rPr>
      <w:t xml:space="preserve">Página </w:t>
    </w:r>
    <w:r>
      <w:rPr>
        <w:rFonts w:asciiTheme="majorHAnsi" w:hAnsiTheme="majorHAnsi"/>
        <w:color w:val="6B6F7A"/>
        <w:sz w:val="16"/>
      </w:rPr>
      <w:fldChar w:fldCharType="begin"/>
    </w:r>
    <w:r>
      <w:instrText>PAGE</w:instrText>
    </w:r>
    <w:r>
      <w:fldChar w:fldCharType="end"/>
    </w:r>
    <w:r>
      <w:rPr>
        <w:rFonts w:asciiTheme="majorHAnsi" w:hAnsiTheme="majorHAnsi"/>
        <w:color w:val="6B6F7A"/>
        <w:sz w:val="16"/>
      </w:rPr>
      <w:t xml:space="preserve"> de </w:t>
    </w:r>
    <w:r>
      <w:rPr>
        <w:rFonts w:asciiTheme="majorHAnsi" w:hAnsiTheme="majorHAnsi"/>
        <w:color w:val="6B6F7A"/>
        <w:sz w:val="16"/>
      </w:rPr>
      <w:fldChar w:fldCharType="begin"/>
    </w:r>
    <w:r>
      <w:instrText>NUMPAGES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4" w:space="6" w:color="E2E6EB"/>
      </w:pBdr>
      <w:spacing w:after="0"/>
      <w:jc w:val="left"/>
    </w:pPr>
    <w:r>
      <w:drawing>
        <wp:inline distT="0" distB="0" distL="0" distR="0">
          <wp:extent cx="613410" cy="118872"/>
          <wp:effectExtent l="0" t="0" r="0" b="0"/>
          <wp:docPr id="101" name="Bedrock Abogados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1" name="Bedrock Abogados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613410" cy="1188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1"/>
        <w:szCs w:val="21"/>
        <w:lang w:bidi="ar-SA" w:eastAsia="zh-CN" w:val="en-US"/>
      </w:rPr>
    </w:rPrDefault>
    <w:pPrDefault>
      <w:pPr>
        <w:spacing w:after="160" w:line="312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  <w:jc w:val="left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jc w:val="left"/>
      <w:outlineLvl w:val="0"/>
    </w:pPr>
    <w:rPr>
      <w:rFonts w:asciiTheme="majorHAnsi" w:cstheme="majorBidi" w:eastAsiaTheme="majorEastAsia" w:hAnsiTheme="majorHAnsi"/>
      <w:b/>
      <w:color w:val="1B1D36"/>
      <w:sz w:val="42"/>
      <w:szCs w:val="4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jc w:val="left"/>
      <w:outlineLvl w:val="1"/>
    </w:pPr>
    <w:rPr>
      <w:rFonts w:asciiTheme="majorHAnsi" w:cstheme="majorBidi" w:eastAsiaTheme="majorEastAsia" w:hAnsiTheme="majorHAnsi"/>
      <w:b/>
      <w:color w:val="224D6E"/>
      <w:sz w:val="30"/>
      <w:szCs w:val="30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jc w:val="left"/>
      <w:outlineLvl w:val="2"/>
    </w:pPr>
    <w:rPr>
      <w:rFonts w:asciiTheme="majorHAnsi" w:cstheme="majorBidi" w:eastAsiaTheme="majorEastAsia" w:hAnsiTheme="majorHAnsi"/>
      <w:b/>
      <w:color w:val="224D6E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Eyebrow" w:type="paragraph">
    <w:name w:val="Eyebrow"/>
    <w:basedOn w:val="Normal"/>
    <w:qFormat/>
    <w:pPr>
      <w:spacing w:after="60" w:before="0"/>
      <w:jc w:val="left"/>
    </w:pPr>
    <w:rPr>
      <w:rFonts w:asciiTheme="majorHAnsi" w:hAnsiTheme="majorHAnsi"/>
      <w:b/>
      <w:caps/>
      <w:color w:val="224D6E"/>
      <w:spacing w:val="60"/>
      <w:sz w:val="17"/>
      <w:szCs w:val="17"/>
    </w:rPr>
  </w:style>
  <w:style w:customStyle="1" w:styleId="PortadaTitulo" w:type="paragraph">
    <w:name w:val="Portada Titulo"/>
    <w:basedOn w:val="Normal"/>
    <w:qFormat/>
    <w:pPr>
      <w:spacing w:after="200" w:before="120" w:line="288" w:lineRule="auto"/>
      <w:jc w:val="left"/>
    </w:pPr>
    <w:rPr>
      <w:rFonts w:asciiTheme="majorHAnsi" w:hAnsiTheme="majorHAnsi"/>
      <w:b/>
      <w:color w:val="1B1D36"/>
      <w:sz w:val="54"/>
      <w:szCs w:val="54"/>
    </w:rPr>
  </w:style>
  <w:style w:customStyle="1" w:styleId="Lede" w:type="paragraph">
    <w:name w:val="Lede"/>
    <w:basedOn w:val="Normal"/>
    <w:qFormat/>
    <w:pPr>
      <w:spacing w:after="320" w:before="0"/>
      <w:jc w:val="left"/>
    </w:pPr>
    <w:rPr>
      <w:color w:val="000000"/>
      <w:sz w:val="24"/>
      <w:szCs w:val="24"/>
    </w:rPr>
  </w:style>
  <w:style w:customStyle="1" w:styleId="LineaAcento" w:type="paragraph">
    <w:name w:val="Linea Acento"/>
    <w:basedOn w:val="Normal"/>
    <w:qFormat/>
    <w:pPr>
      <w:pBdr>
        <w:bottom w:color="E9CDA5" w:space="0" w:sz="18" w:val="single"/>
      </w:pBdr>
      <w:spacing w:after="200" w:before="0"/>
      <w:ind w:right="7600"/>
    </w:pPr>
    <w:rPr>
      <w:sz w:val="2"/>
      <w:szCs w:val="2"/>
    </w:rPr>
  </w:style>
  <w:style w:customStyle="1" w:styleId="ResumenTitulo" w:type="paragraph">
    <w:name w:val="Resumen Titulo"/>
    <w:basedOn w:val="Normal"/>
    <w:qFormat/>
    <w:pPr>
      <w:spacing w:after="120" w:before="200"/>
      <w:jc w:val="left"/>
    </w:pPr>
    <w:rPr>
      <w:rFonts w:asciiTheme="majorHAnsi" w:hAnsiTheme="majorHAnsi"/>
      <w:b/>
      <w:caps/>
      <w:color w:val="6B6F7A"/>
      <w:spacing w:val="40"/>
      <w:sz w:val="18"/>
      <w:szCs w:val="18"/>
    </w:rPr>
  </w:style>
  <w:style w:customStyle="1" w:styleId="ResumenItem" w:type="paragraph">
    <w:name w:val="Resumen Item"/>
    <w:basedOn w:val="Normal"/>
    <w:qFormat/>
    <w:pPr>
      <w:pBdr>
        <w:left w:color="224D6E" w:space="8" w:sz="18" w:val="single"/>
      </w:pBdr>
      <w:spacing w:after="60" w:before="60"/>
      <w:ind w:left="160"/>
      <w:jc w:val="left"/>
    </w:pPr>
    <w:rPr>
      <w:sz w:val="20"/>
      <w:szCs w:val="20"/>
    </w:rPr>
  </w:style>
  <w:style w:customStyle="1" w:styleId="FinePrint" w:type="paragraph">
    <w:name w:val="Fine Print"/>
    <w:basedOn w:val="Normal"/>
    <w:qFormat/>
    <w:pPr>
      <w:spacing w:after="0" w:before="240"/>
      <w:jc w:val="left"/>
    </w:pPr>
    <w:rPr>
      <w:i/>
      <w:color w:val="6B6F7A"/>
      <w:sz w:val="16"/>
      <w:szCs w:val="16"/>
    </w:rPr>
  </w:style>
  <w:style w:customStyle="1" w:styleId="Campo" w:type="character">
    <w:name w:val="Campo"/>
    <w:qFormat/>
    <w:rPr>
      <w:shd w:color="auto" w:fill="FFF3D6" w:val="clear"/>
      <w:color w:val="6B5218"/>
    </w:rPr>
  </w:style>
  <w:style w:type="paragraph" w:customStyle="1" w:styleId="LineaAcento">
    <w:name w:val="LineaAcento"/>
    <w:basedOn w:val="BodyText"/>
    <w:qFormat/>
  </w:style>
  <w:style w:type="paragraph" w:customStyle="1" w:styleId="PortadaTitulo">
    <w:name w:val="PortadaTitulo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910" Target="numbering.xml" /><Relationship Type="http://schemas.openxmlformats.org/officeDocument/2006/relationships/styles" Id="rId909" Target="styles.xml" /><Relationship Type="http://schemas.openxmlformats.org/officeDocument/2006/relationships/settings" Id="rId908" Target="settings.xml" /><Relationship Type="http://schemas.openxmlformats.org/officeDocument/2006/relationships/webSettings" Id="rId907" Target="webSettings.xml" /><Relationship Type="http://schemas.openxmlformats.org/officeDocument/2006/relationships/fontTable" Id="rId906" Target="fontTable.xml" /><Relationship Type="http://schemas.openxmlformats.org/officeDocument/2006/relationships/theme" Id="rId905" Target="theme/theme1.xml" /><Relationship Type="http://schemas.openxmlformats.org/officeDocument/2006/relationships/footnotes" Id="rId904" Target="footnotes.xml" /><Relationship Type="http://schemas.openxmlformats.org/officeDocument/2006/relationships/comments" Id="rId903" Target="comments.xml" /><Relationship Id="rId901" Target="header1.xml" Type="http://schemas.openxmlformats.org/officeDocument/2006/relationships/header" /><Relationship Id="rId902" Target="footer1.xml" Type="http://schemas.openxmlformats.org/officeDocument/2006/relationships/footer" /><Relationship Type="http://schemas.openxmlformats.org/officeDocument/2006/relationships/image" Id="rId911" Target="media/rId911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><Relationship Id="rIdLogo1" Type="http://schemas.openxmlformats.org/officeDocument/2006/relationships/image" Target="media/logo-bedrock-horizontal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Montserra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n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2026-09-28T01:51:16Z</dcterms:created>
  <dcterms:modified xsi:type="dcterms:W3CDTF">2026-09-28T01:51:16Z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