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11.png" ContentType="image/png"/>
  <Override PartName="/word/media/logo-bedrock-horizontal.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691640" cy="329184"/>
            <wp:effectExtent b="0" l="0" r="0" t="0"/>
            <wp:docPr descr="" title="" id="912" name="Picture"/>
            <a:graphic>
              <a:graphicData uri="http://schemas.openxmlformats.org/drawingml/2006/picture">
                <pic:pic>
                  <pic:nvPicPr>
                    <pic:cNvPr descr="logo-bedrock-horizontal.png" id="913" name="Picture"/>
                    <pic:cNvPicPr>
                      <a:picLocks noChangeArrowheads="1" noChangeAspect="1"/>
                    </pic:cNvPicPr>
                  </pic:nvPicPr>
                  <pic:blipFill>
                    <a:blip r:embed="rId911"/>
                    <a:stretch>
                      <a:fillRect/>
                    </a:stretch>
                  </pic:blipFill>
                  <pic:spPr bwMode="auto">
                    <a:xfrm>
                      <a:off x="0" y="0"/>
                      <a:ext cx="1691640" cy="329184"/>
                    </a:xfrm>
                    <a:prstGeom prst="rect">
                      <a:avLst/>
                    </a:prstGeom>
                    <a:noFill/>
                    <a:ln w="9525">
                      <a:noFill/>
                      <a:headEnd/>
                      <a:tailEnd/>
                    </a:ln>
                  </pic:spPr>
                </pic:pic>
              </a:graphicData>
            </a:graphic>
          </wp:inline>
        </w:drawing>
      </w:r>
    </w:p>
    <w:p>
      <w:pPr>
        <w:pStyle w:val="Eyebrow"/>
      </w:pPr>
      <w:r>
        <w:t xml:space="preserve">Factus S.A.S. · Facturación electrónica para resellers · NIT 901.724.254-1</w:t>
      </w:r>
    </w:p>
    <w:p>
      <w:pPr>
        <w:pStyle w:val="PortadaTitulo"/>
      </w:pPr>
      <w:r>
        <w:t xml:space="preserve">Contrato de Prestación de Servicios Tecnológicos</w:t>
      </w:r>
    </w:p>
    <w:p>
      <w:pPr>
        <w:pStyle w:val="LineaAcento"/>
      </w:pPr>
      <w:r>
        <w:t xml:space="preserve"> </w:t>
      </w:r>
    </w:p>
    <w:p>
      <w:pPr>
        <w:pStyle w:val="Lede"/>
      </w:pPr>
      <w:r>
        <w:t xml:space="preserve">Contrato marco que regula la prestación de servicios tecnológicos de facturación electrónica entre FACTUS S.A.S., facturador electrónico habilitado por la DIAN, y EL RESELLER que comercializa paquetes de servicios a clientes finales.</w:t>
      </w:r>
    </w:p>
    <w:p>
      <w:pPr>
        <w:pStyle w:val="ResumenTitulo"/>
      </w:pPr>
      <w:r>
        <w:t xml:space="preserve">Resumen del documento</w:t>
      </w:r>
    </w:p>
    <w:p>
      <w:pPr>
        <w:pStyle w:val="ResumenItem"/>
      </w:pPr>
      <w:r>
        <w:rPr>
          <w:b/>
          <w:bCs/>
        </w:rPr>
        <w:t xml:space="preserve">Objeto.</w:t>
      </w:r>
      <w:r>
        <w:t xml:space="preserve"> </w:t>
      </w:r>
      <w:r>
        <w:t xml:space="preserve">Acceso a la plataforma de FACTUS para que EL RESELLER emita y transmita documentos electrónicos ante la DIAN por cuenta de sus clientes finales.</w:t>
      </w:r>
    </w:p>
    <w:p>
      <w:pPr>
        <w:pStyle w:val="ResumenItem"/>
      </w:pPr>
      <w:r>
        <w:rPr>
          <w:b/>
          <w:bCs/>
        </w:rPr>
        <w:t xml:space="preserve">Responsabilidad de FACTUS.</w:t>
      </w:r>
      <w:r>
        <w:t xml:space="preserve"> </w:t>
      </w:r>
      <w:r>
        <w:t xml:space="preserve">Disponibilidad de la plataforma conforme al nivel de servicio pactado. No responde por el contenido de los documentos, por las decisiones de la DIAN ni por el cumplimiento tributario del cliente final.</w:t>
      </w:r>
    </w:p>
    <w:p>
      <w:pPr>
        <w:pStyle w:val="ResumenItem"/>
      </w:pPr>
      <w:r>
        <w:rPr>
          <w:b/>
          <w:bCs/>
        </w:rPr>
        <w:t xml:space="preserve">Nivel de servicio.</w:t>
      </w:r>
      <w:r>
        <w:t xml:space="preserve"> </w:t>
      </w:r>
      <w:r>
        <w:t xml:space="preserve">99% de disponibilidad en horario hábil, equivalente a un máximo acumulado de 2,1 horas de indisponibilidad al mes.</w:t>
      </w:r>
    </w:p>
    <w:p>
      <w:pPr>
        <w:pStyle w:val="ResumenItem"/>
      </w:pPr>
      <w:r>
        <w:rPr>
          <w:b/>
          <w:bCs/>
        </w:rPr>
        <w:t xml:space="preserve">Retracto.</w:t>
      </w:r>
      <w:r>
        <w:t xml:space="preserve"> </w:t>
      </w:r>
      <w:r>
        <w:t xml:space="preserve">Cinco días hábiles desde la firma, conforme al artículo 47 de la Ley 1480 de 2011. No procede una vez emitidos documentos.</w:t>
      </w:r>
    </w:p>
    <w:p>
      <w:pPr>
        <w:pStyle w:val="ResumenItem"/>
      </w:pPr>
      <w:r>
        <w:rPr>
          <w:b/>
          <w:bCs/>
        </w:rPr>
        <w:t xml:space="preserve">Vigencia.</w:t>
      </w:r>
      <w:r>
        <w:t xml:space="preserve"> </w:t>
      </w:r>
      <w:r>
        <w:t xml:space="preserve">Doce meses, con renovación automática salvo aviso con treinta días de anticipación.</w:t>
      </w:r>
    </w:p>
    <w:p>
      <w:pPr>
        <w:pStyle w:val="FinePrint"/>
      </w:pPr>
      <w:r>
        <w:t xml:space="preserve">Documento confidencial. Su contenido es de uso exclusivo del destinatario y no puede reproducirse ni divulgarse sin autorización escrita de FACTUS S.A.S.</w:t>
      </w:r>
    </w:p>
    <w:p>
      <w:r>
        <w:br w:type="page"/>
      </w:r>
    </w:p>
    <w:bookmarkStart w:id="914" w:name="datos-generales"/>
    <w:p>
      <w:pPr>
        <w:pStyle w:val="Heading1"/>
      </w:pPr>
      <w:r>
        <w:t xml:space="preserve">1. DATOS GENERALES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FACTUS S.A.S.</w:t>
            </w:r>
          </w:p>
        </w:tc>
        <w:tc>
          <w:tcPr/>
          <w:p>
            <w:pPr>
              <w:pStyle w:val="Compact"/>
            </w:pPr>
          </w:p>
        </w:tc>
      </w:tr>
      <w:tr>
        <w:tc>
          <w:tcPr/>
          <w:p>
            <w:pPr>
              <w:pStyle w:val="Compact"/>
              <w:jc w:val="left"/>
            </w:pPr>
            <w:r>
              <w:t xml:space="preserve">Razón Social</w:t>
            </w:r>
          </w:p>
        </w:tc>
        <w:tc>
          <w:tcPr/>
          <w:p>
            <w:pPr>
              <w:pStyle w:val="Compact"/>
              <w:jc w:val="left"/>
            </w:pPr>
            <w:r>
              <w:t xml:space="preserve">FACTUS S.A.S.</w:t>
            </w:r>
          </w:p>
        </w:tc>
      </w:tr>
      <w:tr>
        <w:tc>
          <w:tcPr/>
          <w:p>
            <w:pPr>
              <w:pStyle w:val="Compact"/>
              <w:jc w:val="left"/>
            </w:pPr>
            <w:r>
              <w:t xml:space="preserve">NIT</w:t>
            </w:r>
          </w:p>
        </w:tc>
        <w:tc>
          <w:tcPr/>
          <w:p>
            <w:pPr>
              <w:pStyle w:val="Compact"/>
              <w:jc w:val="left"/>
            </w:pPr>
            <w:r>
              <w:t xml:space="preserve">901.724.254-1</w:t>
            </w:r>
          </w:p>
        </w:tc>
      </w:tr>
      <w:tr>
        <w:tc>
          <w:tcPr/>
          <w:p>
            <w:pPr>
              <w:pStyle w:val="Compact"/>
              <w:jc w:val="left"/>
            </w:pPr>
            <w:r>
              <w:t xml:space="preserve">Domicilio</w:t>
            </w:r>
          </w:p>
        </w:tc>
        <w:tc>
          <w:tcPr/>
          <w:p>
            <w:pPr>
              <w:pStyle w:val="Compact"/>
              <w:jc w:val="left"/>
            </w:pPr>
            <w:r>
              <w:t xml:space="preserve">San Gil, Santander, Colombia</w:t>
            </w:r>
          </w:p>
        </w:tc>
      </w:tr>
      <w:tr>
        <w:tc>
          <w:tcPr/>
          <w:p>
            <w:pPr>
              <w:pStyle w:val="Compact"/>
              <w:jc w:val="left"/>
            </w:pPr>
            <w:r>
              <w:t xml:space="preserve">Representante Legal</w:t>
            </w:r>
          </w:p>
        </w:tc>
        <w:tc>
          <w:tcPr/>
          <w:p>
            <w:pPr>
              <w:pStyle w:val="Compact"/>
              <w:jc w:val="left"/>
            </w:pPr>
            <w:r>
              <w:t xml:space="preserve">Yolher Camilo Albeiro Hernández Reyes</w:t>
            </w:r>
          </w:p>
        </w:tc>
      </w:tr>
      <w:tr>
        <w:tc>
          <w:tcPr/>
          <w:p>
            <w:pPr>
              <w:pStyle w:val="Compact"/>
              <w:jc w:val="left"/>
            </w:pPr>
            <w:r>
              <w:t xml:space="preserve">Correo para notificaciones</w:t>
            </w:r>
          </w:p>
        </w:tc>
        <w:tc>
          <w:tcPr/>
          <w:p>
            <w:pPr>
              <w:pStyle w:val="Compact"/>
              <w:jc w:val="left"/>
            </w:pPr>
            <w:r>
              <w:t xml:space="preserve">[correo institucional]</w:t>
            </w:r>
          </w:p>
        </w:tc>
      </w:tr>
      <w:tr>
        <w:tc>
          <w:tcPr/>
          <w:p>
            <w:pPr>
              <w:pStyle w:val="Compact"/>
              <w:jc w:val="left"/>
            </w:pPr>
            <w:r>
              <w:t xml:space="preserve">Horarios de soporte</w:t>
            </w:r>
          </w:p>
        </w:tc>
        <w:tc>
          <w:tcPr/>
          <w:p>
            <w:pPr>
              <w:pStyle w:val="Compact"/>
              <w:jc w:val="left"/>
            </w:pPr>
            <w:r>
              <w:t xml:space="preserve">Lunes a viernes, 8:00 a.m. a 6:00 p.m., hora Colombia</w:t>
            </w:r>
          </w:p>
        </w:tc>
      </w:tr>
      <w:tr>
        <w:tc>
          <w:tcPr/>
          <w:p>
            <w:pPr>
              <w:pStyle w:val="Compact"/>
              <w:jc w:val="left"/>
            </w:pPr>
            <w:r>
              <w:t xml:space="preserve">Canales de soporte</w:t>
            </w:r>
          </w:p>
        </w:tc>
        <w:tc>
          <w:tcPr/>
          <w:p>
            <w:pPr>
              <w:pStyle w:val="Compact"/>
              <w:jc w:val="left"/>
            </w:pPr>
            <w:r>
              <w:t xml:space="preserve">Correo electrónico, WhatsApp</w:t>
            </w:r>
          </w:p>
        </w:tc>
      </w:tr>
      <w:tr>
        <w:tc>
          <w:tcPr/>
          <w:p>
            <w:pPr>
              <w:pStyle w:val="Compact"/>
              <w:jc w:val="left"/>
            </w:pPr>
            <w:r>
              <w:rPr>
                <w:b/>
                <w:bCs/>
              </w:rPr>
              <w:t xml:space="preserve">EL RESELLER</w:t>
            </w:r>
          </w:p>
        </w:tc>
        <w:tc>
          <w:tcPr/>
          <w:p>
            <w:pPr>
              <w:pStyle w:val="Compact"/>
            </w:pPr>
          </w:p>
        </w:tc>
      </w:tr>
      <w:tr>
        <w:tc>
          <w:tcPr/>
          <w:p>
            <w:pPr>
              <w:pStyle w:val="Compact"/>
              <w:jc w:val="left"/>
            </w:pPr>
            <w:r>
              <w:t xml:space="preserve">Razón Social</w:t>
            </w:r>
          </w:p>
        </w:tc>
        <w:tc>
          <w:tcPr/>
          <w:p>
            <w:pPr>
              <w:pStyle w:val="Compact"/>
              <w:jc w:val="left"/>
            </w:pPr>
            <w:r>
              <w:t xml:space="preserve">[RAZÓN SOCIAL COMPLETA]</w:t>
            </w:r>
          </w:p>
        </w:tc>
      </w:tr>
      <w:tr>
        <w:tc>
          <w:tcPr/>
          <w:p>
            <w:pPr>
              <w:pStyle w:val="Compact"/>
              <w:jc w:val="left"/>
            </w:pPr>
            <w:r>
              <w:t xml:space="preserve">Nombre comercial</w:t>
            </w:r>
          </w:p>
        </w:tc>
        <w:tc>
          <w:tcPr/>
          <w:p>
            <w:pPr>
              <w:pStyle w:val="Compact"/>
              <w:jc w:val="left"/>
            </w:pPr>
            <w:r>
              <w:t xml:space="preserve">[NOMBRE EMPRESA]</w:t>
            </w:r>
          </w:p>
        </w:tc>
      </w:tr>
      <w:tr>
        <w:tc>
          <w:tcPr/>
          <w:p>
            <w:pPr>
              <w:pStyle w:val="Compact"/>
              <w:jc w:val="left"/>
            </w:pPr>
            <w:r>
              <w:t xml:space="preserve">NIT</w:t>
            </w:r>
          </w:p>
        </w:tc>
        <w:tc>
          <w:tcPr/>
          <w:p>
            <w:pPr>
              <w:pStyle w:val="Compact"/>
              <w:jc w:val="left"/>
            </w:pPr>
            <w:r>
              <w:t xml:space="preserve">[NIT RESELLER]</w:t>
            </w:r>
          </w:p>
        </w:tc>
      </w:tr>
      <w:tr>
        <w:tc>
          <w:tcPr/>
          <w:p>
            <w:pPr>
              <w:pStyle w:val="Compact"/>
              <w:jc w:val="left"/>
            </w:pPr>
            <w:r>
              <w:t xml:space="preserve">Dígito de verificación</w:t>
            </w:r>
          </w:p>
        </w:tc>
        <w:tc>
          <w:tcPr/>
          <w:p>
            <w:pPr>
              <w:pStyle w:val="Compact"/>
              <w:jc w:val="left"/>
            </w:pPr>
            <w:r>
              <w:t xml:space="preserve">[DV]</w:t>
            </w:r>
          </w:p>
        </w:tc>
      </w:tr>
      <w:tr>
        <w:tc>
          <w:tcPr/>
          <w:p>
            <w:pPr>
              <w:pStyle w:val="Compact"/>
              <w:jc w:val="left"/>
            </w:pPr>
            <w:r>
              <w:t xml:space="preserve">Representante Legal</w:t>
            </w:r>
          </w:p>
        </w:tc>
        <w:tc>
          <w:tcPr/>
          <w:p>
            <w:pPr>
              <w:pStyle w:val="Compact"/>
              <w:jc w:val="left"/>
            </w:pPr>
            <w:r>
              <w:t xml:space="preserve">[NOMBRE COMPLETO]</w:t>
            </w:r>
          </w:p>
        </w:tc>
      </w:tr>
      <w:tr>
        <w:tc>
          <w:tcPr/>
          <w:p>
            <w:pPr>
              <w:pStyle w:val="Compact"/>
              <w:jc w:val="left"/>
            </w:pPr>
            <w:r>
              <w:t xml:space="preserve">Cédula/Pasaporte</w:t>
            </w:r>
          </w:p>
        </w:tc>
        <w:tc>
          <w:tcPr/>
          <w:p>
            <w:pPr>
              <w:pStyle w:val="Compact"/>
              <w:jc w:val="left"/>
            </w:pPr>
            <w:r>
              <w:t xml:space="preserve">[IDENTIFICACIÓN]</w:t>
            </w:r>
          </w:p>
        </w:tc>
      </w:tr>
      <w:tr>
        <w:tc>
          <w:tcPr/>
          <w:p>
            <w:pPr>
              <w:pStyle w:val="Compact"/>
              <w:jc w:val="left"/>
            </w:pPr>
            <w:r>
              <w:t xml:space="preserve">Correo de contacto</w:t>
            </w:r>
          </w:p>
        </w:tc>
        <w:tc>
          <w:tcPr/>
          <w:p>
            <w:pPr>
              <w:pStyle w:val="Compact"/>
              <w:jc w:val="left"/>
            </w:pPr>
            <w:r>
              <w:t xml:space="preserve">[EMAIL]</w:t>
            </w:r>
          </w:p>
        </w:tc>
      </w:tr>
      <w:tr>
        <w:tc>
          <w:tcPr/>
          <w:p>
            <w:pPr>
              <w:pStyle w:val="Compact"/>
              <w:jc w:val="left"/>
            </w:pPr>
            <w:r>
              <w:t xml:space="preserve">Teléfono de contacto</w:t>
            </w:r>
          </w:p>
        </w:tc>
        <w:tc>
          <w:tcPr/>
          <w:p>
            <w:pPr>
              <w:pStyle w:val="Compact"/>
              <w:jc w:val="left"/>
            </w:pPr>
            <w:r>
              <w:t xml:space="preserve">[TELÉFONO]</w:t>
            </w:r>
          </w:p>
        </w:tc>
      </w:tr>
      <w:tr>
        <w:tc>
          <w:tcPr/>
          <w:p>
            <w:pPr>
              <w:pStyle w:val="Compact"/>
              <w:jc w:val="left"/>
            </w:pPr>
            <w:r>
              <w:t xml:space="preserve">Dirección</w:t>
            </w:r>
          </w:p>
        </w:tc>
        <w:tc>
          <w:tcPr/>
          <w:p>
            <w:pPr>
              <w:pStyle w:val="Compact"/>
              <w:jc w:val="left"/>
            </w:pPr>
            <w:r>
              <w:t xml:space="preserve">[DIRECCIÓN COMPLETA]</w:t>
            </w:r>
          </w:p>
        </w:tc>
      </w:tr>
      <w:tr>
        <w:tc>
          <w:tcPr/>
          <w:p>
            <w:pPr>
              <w:pStyle w:val="Compact"/>
              <w:jc w:val="left"/>
            </w:pPr>
            <w:r>
              <w:t xml:space="preserve">Ciudad</w:t>
            </w:r>
          </w:p>
        </w:tc>
        <w:tc>
          <w:tcPr/>
          <w:p>
            <w:pPr>
              <w:pStyle w:val="Compact"/>
              <w:jc w:val="left"/>
            </w:pPr>
            <w:r>
              <w:t xml:space="preserve">[CIUDAD]</w:t>
            </w:r>
          </w:p>
        </w:tc>
      </w:tr>
      <w:tr>
        <w:tc>
          <w:tcPr/>
          <w:p>
            <w:pPr>
              <w:pStyle w:val="Compact"/>
              <w:jc w:val="left"/>
            </w:pPr>
            <w:r>
              <w:t xml:space="preserve">Fecha de firma</w:t>
            </w:r>
          </w:p>
        </w:tc>
        <w:tc>
          <w:tcPr/>
          <w:p>
            <w:pPr>
              <w:pStyle w:val="Compact"/>
              <w:jc w:val="left"/>
            </w:pPr>
            <w:r>
              <w:t xml:space="preserve">[FECHA DD/MM/AAAA]</w:t>
            </w:r>
          </w:p>
        </w:tc>
      </w:tr>
      <w:tr>
        <w:tc>
          <w:tcPr/>
          <w:p>
            <w:pPr>
              <w:pStyle w:val="Compact"/>
              <w:jc w:val="left"/>
            </w:pPr>
            <w:r>
              <w:t xml:space="preserve">Paquete contratado</w:t>
            </w:r>
          </w:p>
        </w:tc>
        <w:tc>
          <w:tcPr/>
          <w:p>
            <w:pPr>
              <w:pStyle w:val="Compact"/>
              <w:jc w:val="left"/>
            </w:pPr>
            <w:r>
              <w:t xml:space="preserve">[Paquete Individual / Bolsa Multifacturador]</w:t>
            </w:r>
          </w:p>
        </w:tc>
      </w:tr>
      <w:tr>
        <w:tc>
          <w:tcPr/>
          <w:p>
            <w:pPr>
              <w:pStyle w:val="Compact"/>
              <w:jc w:val="left"/>
            </w:pPr>
            <w:r>
              <w:t xml:space="preserve">Precio mensual/anual</w:t>
            </w:r>
          </w:p>
        </w:tc>
        <w:tc>
          <w:tcPr/>
          <w:p>
            <w:pPr>
              <w:pStyle w:val="Compact"/>
              <w:jc w:val="left"/>
            </w:pPr>
            <w:r>
              <w:t xml:space="preserve">[VALOR COP]</w:t>
            </w:r>
          </w:p>
        </w:tc>
      </w:tr>
      <w:tr>
        <w:tc>
          <w:tcPr/>
          <w:p>
            <w:pPr>
              <w:pStyle w:val="Compact"/>
              <w:jc w:val="left"/>
            </w:pPr>
            <w:r>
              <w:t xml:space="preserve">Fecha de implementación</w:t>
            </w:r>
          </w:p>
        </w:tc>
        <w:tc>
          <w:tcPr/>
          <w:p>
            <w:pPr>
              <w:pStyle w:val="Compact"/>
              <w:jc w:val="left"/>
            </w:pPr>
            <w:r>
              <w:t xml:space="preserve">[FECHA ESTIMADA]</w:t>
            </w:r>
          </w:p>
        </w:tc>
      </w:tr>
      <w:tr>
        <w:tc>
          <w:tcPr/>
          <w:p>
            <w:pPr>
              <w:pStyle w:val="Compact"/>
              <w:jc w:val="left"/>
            </w:pPr>
            <w:r>
              <w:t xml:space="preserve">Número de licencias iniciales</w:t>
            </w:r>
          </w:p>
        </w:tc>
        <w:tc>
          <w:tcPr/>
          <w:p>
            <w:pPr>
              <w:pStyle w:val="Compact"/>
              <w:jc w:val="left"/>
            </w:pPr>
            <w:r>
              <w:t xml:space="preserve">[CANTIDAD]</w:t>
            </w:r>
          </w:p>
        </w:tc>
      </w:tr>
    </w:tbl>
    <w:p>
      <w:pPr>
        <w:pStyle w:val="BodyText"/>
      </w:pPr>
      <w:r>
        <w:t xml:space="preserve">En conjunto,</w:t>
      </w:r>
      <w:r>
        <w:t xml:space="preserve"> </w:t>
      </w:r>
      <w:r>
        <w:rPr>
          <w:b/>
          <w:bCs/>
        </w:rPr>
        <w:t xml:space="preserve">FACTUS S.A.S.</w:t>
      </w:r>
      <w:r>
        <w:t xml:space="preserve">, una sociedad anónima simplificada identificada con NIT 901.724.254-1, domiciliada en San Gil, Santander, Colombia, y</w:t>
      </w:r>
      <w:r>
        <w:t xml:space="preserve"> </w:t>
      </w:r>
      <w:r>
        <w:rPr>
          <w:b/>
          <w:bCs/>
        </w:rPr>
        <w:t xml:space="preserve">EL RESELLER</w:t>
      </w:r>
      <w:r>
        <w:t xml:space="preserve"> </w:t>
      </w:r>
      <w:r>
        <w:t xml:space="preserve">identificado según datos consignados arriba (</w:t>
      </w:r>
      <w:r>
        <w:t xml:space="preserve">“</w:t>
      </w:r>
      <w:r>
        <w:rPr>
          <w:b/>
          <w:bCs/>
        </w:rPr>
        <w:t xml:space="preserve">LAS PARTES</w:t>
      </w:r>
      <w:r>
        <w:t xml:space="preserve">”</w:t>
      </w:r>
      <w:r>
        <w:t xml:space="preserve">), acuerdan celebrar el presente contrato de prestación de servicios tecnológicos de facturación electrónica (</w:t>
      </w:r>
      <w:r>
        <w:t xml:space="preserve">“</w:t>
      </w:r>
      <w:r>
        <w:rPr>
          <w:b/>
          <w:bCs/>
        </w:rPr>
        <w:t xml:space="preserve">EL CONTRATO</w:t>
      </w:r>
      <w:r>
        <w:t xml:space="preserve">”</w:t>
      </w:r>
      <w:r>
        <w:t xml:space="preserve">), sujeto a las siguientes:</w:t>
      </w:r>
    </w:p>
    <w:p>
      <w:r>
        <w:pict>
          <v:rect style="width:0;height:1.5pt" o:hralign="center" o:hrstd="t" o:hr="t"/>
        </w:pict>
      </w:r>
    </w:p>
    <w:bookmarkEnd w:id="914"/>
    <w:bookmarkStart w:id="915" w:name="declaraciones"/>
    <w:p>
      <w:pPr>
        <w:pStyle w:val="Heading1"/>
      </w:pPr>
      <w:r>
        <w:t xml:space="preserve">2. DECLARACIONES</w:t>
      </w:r>
    </w:p>
    <w:p>
      <w:pPr>
        <w:pStyle w:val="FirstParagraph"/>
      </w:pPr>
      <w:r>
        <w:rPr>
          <w:b/>
          <w:bCs/>
        </w:rPr>
        <w:t xml:space="preserve">A. FACTUS declara que:</w:t>
      </w:r>
    </w:p>
    <w:p>
      <w:pPr>
        <w:pStyle w:val="Compact"/>
        <w:numPr>
          <w:ilvl w:val="0"/>
          <w:numId w:val="1001"/>
        </w:numPr>
      </w:pPr>
      <w:r>
        <w:t xml:space="preserve">Posee autorización válida y vigente como Facturador Electrónico ante la Dirección de Impuestos y Aduanas Nacionales (DIAN), conforme Resolución 000165/2023 y demás autorizaciones vigentes, sin restricciones administrativas que afecten la prestación de los servicios.</w:t>
      </w:r>
    </w:p>
    <w:p>
      <w:pPr>
        <w:pStyle w:val="Compact"/>
        <w:numPr>
          <w:ilvl w:val="0"/>
          <w:numId w:val="1001"/>
        </w:numPr>
      </w:pPr>
      <w:r>
        <w:rPr>
          <w:b/>
          <w:bCs/>
        </w:rPr>
        <w:t xml:space="preserve">LA PLATAFORMA</w:t>
      </w:r>
      <w:r>
        <w:t xml:space="preserve"> </w:t>
      </w:r>
      <w:r>
        <w:t xml:space="preserve">de</w:t>
      </w:r>
      <w:r>
        <w:t xml:space="preserve"> </w:t>
      </w:r>
      <w:r>
        <w:rPr>
          <w:b/>
          <w:bCs/>
        </w:rPr>
        <w:t xml:space="preserve">FACTUS</w:t>
      </w:r>
      <w:r>
        <w:t xml:space="preserve"> </w:t>
      </w:r>
      <w:r>
        <w:t xml:space="preserve">cumple con especificaciones técnicas documentadas, incluyendo cifrado de datos conforme estándares de seguridad vigentes, autenticación segura, y arquitectura que garantiza disponibilidad de acuerdo con los acuerdos de nivel de servicio especificados en este</w:t>
      </w:r>
      <w:r>
        <w:t xml:space="preserve"> </w:t>
      </w:r>
      <w:r>
        <w:rPr>
          <w:b/>
          <w:bCs/>
        </w:rPr>
        <w:t xml:space="preserve">CONTRATO</w:t>
      </w:r>
      <w:r>
        <w:t xml:space="preserve">.</w:t>
      </w:r>
    </w:p>
    <w:p>
      <w:pPr>
        <w:pStyle w:val="Compact"/>
        <w:numPr>
          <w:ilvl w:val="0"/>
          <w:numId w:val="1001"/>
        </w:numPr>
      </w:pPr>
      <w:r>
        <w:t xml:space="preserve">Mantendrá disponibilidad operativa de</w:t>
      </w:r>
      <w:r>
        <w:t xml:space="preserve"> </w:t>
      </w:r>
      <w:r>
        <w:rPr>
          <w:b/>
          <w:bCs/>
        </w:rPr>
        <w:t xml:space="preserve">LOS SERVICIOS</w:t>
      </w:r>
      <w:r>
        <w:t xml:space="preserve"> </w:t>
      </w:r>
      <w:r>
        <w:t xml:space="preserve">conforme a los indicadores de nivel de servicio (SLA) especificados en el ANEXO I de este</w:t>
      </w:r>
      <w:r>
        <w:t xml:space="preserve"> </w:t>
      </w:r>
      <w:r>
        <w:rPr>
          <w:b/>
          <w:bCs/>
        </w:rPr>
        <w:t xml:space="preserve">CONTRATO</w:t>
      </w:r>
      <w:r>
        <w:t xml:space="preserve">.</w:t>
      </w:r>
    </w:p>
    <w:p>
      <w:pPr>
        <w:pStyle w:val="Compact"/>
        <w:numPr>
          <w:ilvl w:val="0"/>
          <w:numId w:val="1001"/>
        </w:numPr>
      </w:pPr>
      <w:r>
        <w:t xml:space="preserve">Los certificados digitales que proporciona son válidos y emitidos por autoridades de certificación reconocidas por la DIAN, conforme la Ley 527 de 1999 sobre mensajes de datos y firma digital y su Decreto reglamentario 2364 de 2012.</w:t>
      </w:r>
    </w:p>
    <w:p>
      <w:pPr>
        <w:pStyle w:val="Compact"/>
        <w:numPr>
          <w:ilvl w:val="0"/>
          <w:numId w:val="1001"/>
        </w:numPr>
      </w:pPr>
      <w:r>
        <w:t xml:space="preserve">La celebración de este</w:t>
      </w:r>
      <w:r>
        <w:t xml:space="preserve"> </w:t>
      </w:r>
      <w:r>
        <w:rPr>
          <w:b/>
          <w:bCs/>
        </w:rPr>
        <w:t xml:space="preserve">CONTRATO</w:t>
      </w:r>
      <w:r>
        <w:t xml:space="preserve"> </w:t>
      </w:r>
      <w:r>
        <w:t xml:space="preserve">y la ejecución de</w:t>
      </w:r>
      <w:r>
        <w:t xml:space="preserve"> </w:t>
      </w:r>
      <w:r>
        <w:rPr>
          <w:b/>
          <w:bCs/>
        </w:rPr>
        <w:t xml:space="preserve">LOS SERVICIOS</w:t>
      </w:r>
      <w:r>
        <w:t xml:space="preserve"> </w:t>
      </w:r>
      <w:r>
        <w:t xml:space="preserve">no viola ninguna ley, reglamento, decreto, resolución o disposición legal vigente en Colombia.</w:t>
      </w:r>
    </w:p>
    <w:p>
      <w:pPr>
        <w:pStyle w:val="Compact"/>
        <w:numPr>
          <w:ilvl w:val="0"/>
          <w:numId w:val="1001"/>
        </w:numPr>
      </w:pPr>
      <w:r>
        <w:t xml:space="preserve">Su representante legal cuenta con facultades suficientes para suscribir este</w:t>
      </w:r>
      <w:r>
        <w:t xml:space="preserve"> </w:t>
      </w:r>
      <w:r>
        <w:rPr>
          <w:b/>
          <w:bCs/>
        </w:rPr>
        <w:t xml:space="preserve">CONTRATO</w:t>
      </w:r>
      <w:r>
        <w:t xml:space="preserve">.</w:t>
      </w:r>
    </w:p>
    <w:p>
      <w:pPr>
        <w:pStyle w:val="FirstParagraph"/>
      </w:pPr>
      <w:r>
        <w:rPr>
          <w:b/>
          <w:bCs/>
        </w:rPr>
        <w:t xml:space="preserve">B. EL RESELLER declara que:</w:t>
      </w:r>
    </w:p>
    <w:p>
      <w:pPr>
        <w:pStyle w:val="Compact"/>
        <w:numPr>
          <w:ilvl w:val="0"/>
          <w:numId w:val="1002"/>
        </w:numPr>
      </w:pPr>
      <w:r>
        <w:t xml:space="preserve">Conoce, entiende y ha recibido explicación suficiente sobre</w:t>
      </w:r>
      <w:r>
        <w:t xml:space="preserve"> </w:t>
      </w:r>
      <w:r>
        <w:rPr>
          <w:b/>
          <w:bCs/>
        </w:rPr>
        <w:t xml:space="preserve">LOS SERVICIOS</w:t>
      </w:r>
      <w:r>
        <w:t xml:space="preserve"> </w:t>
      </w:r>
      <w:r>
        <w:t xml:space="preserve">que contrata, descritos en este</w:t>
      </w:r>
      <w:r>
        <w:t xml:space="preserve"> </w:t>
      </w:r>
      <w:r>
        <w:rPr>
          <w:b/>
          <w:bCs/>
        </w:rPr>
        <w:t xml:space="preserve">CONTRATO</w:t>
      </w:r>
      <w:r>
        <w:t xml:space="preserve"> </w:t>
      </w:r>
      <w:r>
        <w:t xml:space="preserve">y sus anexos.</w:t>
      </w:r>
    </w:p>
    <w:p>
      <w:pPr>
        <w:pStyle w:val="Compact"/>
        <w:numPr>
          <w:ilvl w:val="0"/>
          <w:numId w:val="1002"/>
        </w:numPr>
      </w:pPr>
      <w:r>
        <w:t xml:space="preserve">Ha sido puesta a su disposición la documentación técnica de</w:t>
      </w:r>
      <w:r>
        <w:t xml:space="preserve"> </w:t>
      </w:r>
      <w:r>
        <w:rPr>
          <w:b/>
          <w:bCs/>
        </w:rPr>
        <w:t xml:space="preserve">LOS SERVICIOS</w:t>
      </w:r>
      <w:r>
        <w:t xml:space="preserve">, disponible en https://docs.factus.co o canal equivalente.</w:t>
      </w:r>
    </w:p>
    <w:p>
      <w:pPr>
        <w:pStyle w:val="Compact"/>
        <w:numPr>
          <w:ilvl w:val="0"/>
          <w:numId w:val="1002"/>
        </w:numPr>
      </w:pPr>
      <w:r>
        <w:rPr>
          <w:b/>
          <w:bCs/>
        </w:rPr>
        <w:t xml:space="preserve">EL RESELLER</w:t>
      </w:r>
      <w:r>
        <w:t xml:space="preserve"> </w:t>
      </w:r>
      <w:r>
        <w:t xml:space="preserve">celebra este</w:t>
      </w:r>
      <w:r>
        <w:t xml:space="preserve"> </w:t>
      </w:r>
      <w:r>
        <w:rPr>
          <w:b/>
          <w:bCs/>
        </w:rPr>
        <w:t xml:space="preserve">CONTRATO</w:t>
      </w:r>
      <w:r>
        <w:t xml:space="preserve"> </w:t>
      </w:r>
      <w:r>
        <w:t xml:space="preserve">con el propósito específico de acceder a la plataforma de</w:t>
      </w:r>
      <w:r>
        <w:t xml:space="preserve"> </w:t>
      </w:r>
      <w:r>
        <w:rPr>
          <w:b/>
          <w:bCs/>
        </w:rPr>
        <w:t xml:space="preserve">FACTUS</w:t>
      </w:r>
      <w:r>
        <w:t xml:space="preserve"> </w:t>
      </w:r>
      <w:r>
        <w:t xml:space="preserve">para emitir y radicar documentos electrónicos ante la DIAN en nombre de sus clientes finales.</w:t>
      </w:r>
    </w:p>
    <w:p>
      <w:pPr>
        <w:pStyle w:val="Compact"/>
        <w:numPr>
          <w:ilvl w:val="0"/>
          <w:numId w:val="1002"/>
        </w:numPr>
      </w:pPr>
      <w:r>
        <w:t xml:space="preserve">La celebración de este</w:t>
      </w:r>
      <w:r>
        <w:t xml:space="preserve"> </w:t>
      </w:r>
      <w:r>
        <w:rPr>
          <w:b/>
          <w:bCs/>
        </w:rPr>
        <w:t xml:space="preserve">CONTRATO</w:t>
      </w:r>
      <w:r>
        <w:t xml:space="preserve"> </w:t>
      </w:r>
      <w:r>
        <w:t xml:space="preserve">y la ejecución de</w:t>
      </w:r>
      <w:r>
        <w:t xml:space="preserve"> </w:t>
      </w:r>
      <w:r>
        <w:rPr>
          <w:b/>
          <w:bCs/>
        </w:rPr>
        <w:t xml:space="preserve">LOS SERVICIOS</w:t>
      </w:r>
      <w:r>
        <w:t xml:space="preserve"> </w:t>
      </w:r>
      <w:r>
        <w:t xml:space="preserve">(i) no viola ninguna ley, reglamento, decreto, resolución o disposición legal vigente en Colombia; y (ii) no constituye violación ni incumplimiento de sus estatutos sociales ni de obligación contractual alguna que haya asumido.</w:t>
      </w:r>
    </w:p>
    <w:p>
      <w:pPr>
        <w:pStyle w:val="Compact"/>
        <w:numPr>
          <w:ilvl w:val="0"/>
          <w:numId w:val="1002"/>
        </w:numPr>
      </w:pPr>
      <w:r>
        <w:t xml:space="preserve">Su representante legal cuenta con facultades suficientes para suscribir este</w:t>
      </w:r>
      <w:r>
        <w:t xml:space="preserve"> </w:t>
      </w:r>
      <w:r>
        <w:rPr>
          <w:b/>
          <w:bCs/>
        </w:rPr>
        <w:t xml:space="preserve">CONTRATO</w:t>
      </w:r>
      <w:r>
        <w:t xml:space="preserve">.</w:t>
      </w:r>
    </w:p>
    <w:p>
      <w:pPr>
        <w:pStyle w:val="Compact"/>
        <w:numPr>
          <w:ilvl w:val="0"/>
          <w:numId w:val="1002"/>
        </w:numPr>
      </w:pPr>
      <w:r>
        <w:t xml:space="preserve">Toda la información, documentos y datos que suministre a</w:t>
      </w:r>
      <w:r>
        <w:t xml:space="preserve"> </w:t>
      </w:r>
      <w:r>
        <w:rPr>
          <w:b/>
          <w:bCs/>
        </w:rPr>
        <w:t xml:space="preserve">FACTUS</w:t>
      </w:r>
      <w:r>
        <w:t xml:space="preserve"> </w:t>
      </w:r>
      <w:r>
        <w:t xml:space="preserve">para la ejecución de</w:t>
      </w:r>
      <w:r>
        <w:t xml:space="preserve"> </w:t>
      </w:r>
      <w:r>
        <w:rPr>
          <w:b/>
          <w:bCs/>
        </w:rPr>
        <w:t xml:space="preserve">LOS SERVICIOS</w:t>
      </w:r>
      <w:r>
        <w:t xml:space="preserve"> </w:t>
      </w:r>
      <w:r>
        <w:t xml:space="preserve">—incluyendo información tributaria, identificación de clientes finales y datos transaccionales— es veraz, completa, exacta y actualizada.</w:t>
      </w:r>
      <w:r>
        <w:t xml:space="preserve"> </w:t>
      </w:r>
      <w:r>
        <w:rPr>
          <w:b/>
          <w:bCs/>
        </w:rPr>
        <w:t xml:space="preserve">EL RESELLER</w:t>
      </w:r>
      <w:r>
        <w:t xml:space="preserve"> </w:t>
      </w:r>
      <w:r>
        <w:t xml:space="preserve">asume responsabilidad exclusiva por cualquier error, omisión o falsedad en la información proporcionada.</w:t>
      </w:r>
    </w:p>
    <w:p>
      <w:pPr>
        <w:pStyle w:val="FirstParagraph"/>
      </w:pPr>
      <w:r>
        <w:t xml:space="preserve">Expuesto lo anterior,</w:t>
      </w:r>
      <w:r>
        <w:t xml:space="preserve"> </w:t>
      </w:r>
      <w:r>
        <w:rPr>
          <w:b/>
          <w:bCs/>
        </w:rPr>
        <w:t xml:space="preserve">LAS PARTES</w:t>
      </w:r>
      <w:r>
        <w:t xml:space="preserve"> </w:t>
      </w:r>
      <w:r>
        <w:t xml:space="preserve">acuerdan obligarse conforme a las siguientes:</w:t>
      </w:r>
    </w:p>
    <w:p>
      <w:r>
        <w:pict>
          <v:rect style="width:0;height:1.5pt" o:hralign="center" o:hrstd="t" o:hr="t"/>
        </w:pict>
      </w:r>
    </w:p>
    <w:bookmarkEnd w:id="915"/>
    <w:bookmarkStart w:id="920" w:name="objeto-y-alcance-del-contrato"/>
    <w:p>
      <w:pPr>
        <w:pStyle w:val="Heading1"/>
      </w:pPr>
      <w:r>
        <w:t xml:space="preserve">3. OBJETO Y ALCANCE DEL CONTRATO</w:t>
      </w:r>
    </w:p>
    <w:bookmarkStart w:id="916" w:name="objeto-de-los-servicios"/>
    <w:p>
      <w:pPr>
        <w:pStyle w:val="Heading2"/>
      </w:pPr>
      <w:r>
        <w:t xml:space="preserve">3.1 Objeto de los servicios</w:t>
      </w:r>
    </w:p>
    <w:p>
      <w:pPr>
        <w:pStyle w:val="FirstParagraph"/>
      </w:pPr>
      <w:r>
        <w:t xml:space="preserve">El objeto del presente</w:t>
      </w:r>
      <w:r>
        <w:t xml:space="preserve"> </w:t>
      </w:r>
      <w:r>
        <w:rPr>
          <w:b/>
          <w:bCs/>
        </w:rPr>
        <w:t xml:space="preserve">CONTRATO</w:t>
      </w:r>
      <w:r>
        <w:t xml:space="preserve"> </w:t>
      </w:r>
      <w:r>
        <w:t xml:space="preserve">es la prestación de servicios tecnológicos de facturación electrónica por parte de</w:t>
      </w:r>
      <w:r>
        <w:t xml:space="preserve"> </w:t>
      </w:r>
      <w:r>
        <w:rPr>
          <w:b/>
          <w:bCs/>
        </w:rPr>
        <w:t xml:space="preserve">FACTUS</w:t>
      </w:r>
      <w:r>
        <w:t xml:space="preserve"> </w:t>
      </w:r>
      <w:r>
        <w:t xml:space="preserve">a favor de</w:t>
      </w:r>
      <w:r>
        <w:t xml:space="preserve"> </w:t>
      </w:r>
      <w:r>
        <w:rPr>
          <w:b/>
          <w:bCs/>
        </w:rPr>
        <w:t xml:space="preserve">EL RESELLER</w:t>
      </w:r>
      <w:r>
        <w:t xml:space="preserve">, mediante acceso a</w:t>
      </w:r>
      <w:r>
        <w:t xml:space="preserve"> </w:t>
      </w:r>
      <w:r>
        <w:rPr>
          <w:b/>
          <w:bCs/>
        </w:rPr>
        <w:t xml:space="preserve">LA PLATAFORMA</w:t>
      </w:r>
      <w:r>
        <w:t xml:space="preserve"> </w:t>
      </w:r>
      <w:r>
        <w:t xml:space="preserve">tecnológica de</w:t>
      </w:r>
      <w:r>
        <w:t xml:space="preserve"> </w:t>
      </w:r>
      <w:r>
        <w:rPr>
          <w:b/>
          <w:bCs/>
        </w:rPr>
        <w:t xml:space="preserve">FACTUS</w:t>
      </w:r>
      <w:r>
        <w:t xml:space="preserve">, conforme las especificaciones detalladas en el ANEXO II (Catálogo de Servicios).</w:t>
      </w:r>
      <w:r>
        <w:t xml:space="preserve"> </w:t>
      </w:r>
      <w:r>
        <w:rPr>
          <w:b/>
          <w:bCs/>
        </w:rPr>
        <w:t xml:space="preserve">LOS SERVICIOS</w:t>
      </w:r>
      <w:r>
        <w:t xml:space="preserve"> </w:t>
      </w:r>
      <w:r>
        <w:t xml:space="preserve">incluyen:</w:t>
      </w:r>
    </w:p>
    <w:p>
      <w:pPr>
        <w:pStyle w:val="Compact"/>
        <w:numPr>
          <w:ilvl w:val="0"/>
          <w:numId w:val="1003"/>
        </w:numPr>
      </w:pPr>
      <w:r>
        <w:rPr>
          <w:b/>
          <w:bCs/>
        </w:rPr>
        <w:t xml:space="preserve">Emisión de Documentos Tributarios:</w:t>
      </w:r>
      <w:r>
        <w:t xml:space="preserve"> </w:t>
      </w:r>
      <w:r>
        <w:t xml:space="preserve">Facturas Electrónicas, Notas Débito, Notas Crédito y Documentos Soporte Electrónicos conforme la Resolución 000165 de 2023 de la DIAN y las normas que la modifiquen, adicionen o sustituyan, en nombre de clientes finales con certificación digital vigente.</w:t>
      </w:r>
    </w:p>
    <w:p>
      <w:pPr>
        <w:pStyle w:val="Compact"/>
        <w:numPr>
          <w:ilvl w:val="0"/>
          <w:numId w:val="1003"/>
        </w:numPr>
      </w:pPr>
      <w:r>
        <w:rPr>
          <w:b/>
          <w:bCs/>
        </w:rPr>
        <w:t xml:space="preserve">Emisión de Nómina Electrónica:</w:t>
      </w:r>
      <w:r>
        <w:t xml:space="preserve"> </w:t>
      </w:r>
      <w:r>
        <w:t xml:space="preserve">Documento soporte de pago de nómina electrónica y sus notas de ajuste, conforme la Resolución 000013 de 2021 de la DIAN y las normas que la modifiquen, adicionen o sustituyan, cuando el paquete contratado lo incluya.</w:t>
      </w:r>
    </w:p>
    <w:p>
      <w:pPr>
        <w:pStyle w:val="Compact"/>
        <w:numPr>
          <w:ilvl w:val="0"/>
          <w:numId w:val="1003"/>
        </w:numPr>
      </w:pPr>
      <w:r>
        <w:rPr>
          <w:b/>
          <w:bCs/>
        </w:rPr>
        <w:t xml:space="preserve">Gestión de Eventos Radian:</w:t>
      </w:r>
      <w:r>
        <w:t xml:space="preserve"> </w:t>
      </w:r>
      <w:r>
        <w:t xml:space="preserve">Consulta, carga y validación de eventos de recepción de facturación ante el sistema Radian de la DIAN.</w:t>
      </w:r>
    </w:p>
    <w:p>
      <w:pPr>
        <w:pStyle w:val="Compact"/>
        <w:numPr>
          <w:ilvl w:val="0"/>
          <w:numId w:val="1003"/>
        </w:numPr>
      </w:pPr>
      <w:r>
        <w:rPr>
          <w:b/>
          <w:bCs/>
        </w:rPr>
        <w:t xml:space="preserve">Radicación Electrónica:</w:t>
      </w:r>
      <w:r>
        <w:t xml:space="preserve"> </w:t>
      </w:r>
      <w:r>
        <w:t xml:space="preserve">Transmisión segura de documentos a través de canales de comunicación designados por la DIAN, con autenticación por certificado digital de titularidad del cliente final.</w:t>
      </w:r>
    </w:p>
    <w:p>
      <w:pPr>
        <w:pStyle w:val="Compact"/>
        <w:numPr>
          <w:ilvl w:val="0"/>
          <w:numId w:val="1003"/>
        </w:numPr>
      </w:pPr>
      <w:r>
        <w:rPr>
          <w:b/>
          <w:bCs/>
        </w:rPr>
        <w:t xml:space="preserve">Reportes Técnicos de Transacción:</w:t>
      </w:r>
      <w:r>
        <w:t xml:space="preserve"> </w:t>
      </w:r>
      <w:r>
        <w:t xml:space="preserve">Consulta en tiempo real del estado de documentos (aceptación DIAN, rechazos técnicos, eventos), trazabilidad de transmisiones, y descarga de comprobantes de radicación.</w:t>
      </w:r>
    </w:p>
    <w:p>
      <w:pPr>
        <w:pStyle w:val="Compact"/>
        <w:numPr>
          <w:ilvl w:val="0"/>
          <w:numId w:val="1003"/>
        </w:numPr>
      </w:pPr>
      <w:r>
        <w:rPr>
          <w:b/>
          <w:bCs/>
        </w:rPr>
        <w:t xml:space="preserve">Entorno de Validación Previa (Sandbox):</w:t>
      </w:r>
      <w:r>
        <w:t xml:space="preserve"> </w:t>
      </w:r>
      <w:r>
        <w:t xml:space="preserve">Acceso a ambiente de pruebas para validación de procesos, integraciones y configuraciones antes de operación en ambiente de producción.</w:t>
      </w:r>
    </w:p>
    <w:p>
      <w:pPr>
        <w:pStyle w:val="FirstParagraph"/>
      </w:pPr>
      <w:r>
        <w:t xml:space="preserve">A cambio de lo anterior,</w:t>
      </w:r>
      <w:r>
        <w:t xml:space="preserve"> </w:t>
      </w:r>
      <w:r>
        <w:rPr>
          <w:b/>
          <w:bCs/>
        </w:rPr>
        <w:t xml:space="preserve">EL RESELLER</w:t>
      </w:r>
      <w:r>
        <w:t xml:space="preserve"> </w:t>
      </w:r>
      <w:r>
        <w:t xml:space="preserve">se obliga a pagar la contraprestación económica pactada en la Cláusula Tercera (Valor, Forma y Condiciones de Pago) y a utilizar</w:t>
      </w:r>
      <w:r>
        <w:t xml:space="preserve"> </w:t>
      </w:r>
      <w:r>
        <w:rPr>
          <w:b/>
          <w:bCs/>
        </w:rPr>
        <w:t xml:space="preserve">LA PLATAFORMA</w:t>
      </w:r>
      <w:r>
        <w:t xml:space="preserve"> </w:t>
      </w:r>
      <w:r>
        <w:t xml:space="preserve">bajo los términos y condiciones aquí establecidos.</w:t>
      </w:r>
    </w:p>
    <w:bookmarkEnd w:id="916"/>
    <w:bookmarkStart w:id="917" w:name="modalidades-de-servicio"/>
    <w:p>
      <w:pPr>
        <w:pStyle w:val="Heading2"/>
      </w:pPr>
      <w:r>
        <w:t xml:space="preserve">3.2 Modalidades de servicio</w:t>
      </w:r>
    </w:p>
    <w:p>
      <w:pPr>
        <w:pStyle w:val="FirstParagraph"/>
      </w:pPr>
      <w:r>
        <w:rPr>
          <w:b/>
          <w:bCs/>
        </w:rPr>
        <w:t xml:space="preserve">EL RESELLER</w:t>
      </w:r>
      <w:r>
        <w:t xml:space="preserve"> </w:t>
      </w:r>
      <w:r>
        <w:t xml:space="preserve">elige una de dos modalidades de contratación:</w:t>
      </w:r>
    </w:p>
    <w:p>
      <w:pPr>
        <w:pStyle w:val="Compact"/>
        <w:numPr>
          <w:ilvl w:val="0"/>
          <w:numId w:val="1004"/>
        </w:numPr>
      </w:pPr>
      <w:r>
        <w:rPr>
          <w:b/>
          <w:bCs/>
        </w:rPr>
        <w:t xml:space="preserve">(a) Paquetes Individuales:</w:t>
      </w:r>
      <w:r>
        <w:t xml:space="preserve"> </w:t>
      </w:r>
      <w:r>
        <w:t xml:space="preserve">Cada paquete incluye un NIT de facturador único, certificado digital incluido, y acceso a los servicios descritos en 3.1.</w:t>
      </w:r>
      <w:r>
        <w:t xml:space="preserve"> </w:t>
      </w:r>
      <w:r>
        <w:rPr>
          <w:b/>
          <w:bCs/>
        </w:rPr>
        <w:t xml:space="preserve">EL RESELLER</w:t>
      </w:r>
      <w:r>
        <w:t xml:space="preserve"> </w:t>
      </w:r>
      <w:r>
        <w:t xml:space="preserve">compra un paquete por cada cliente final que desee activar.</w:t>
      </w:r>
    </w:p>
    <w:p>
      <w:pPr>
        <w:pStyle w:val="Compact"/>
        <w:numPr>
          <w:ilvl w:val="0"/>
          <w:numId w:val="1004"/>
        </w:numPr>
      </w:pPr>
      <w:r>
        <w:rPr>
          <w:b/>
          <w:bCs/>
        </w:rPr>
        <w:t xml:space="preserve">(b) Bolsas Multifacturador:</w:t>
      </w:r>
      <w:r>
        <w:t xml:space="preserve"> </w:t>
      </w:r>
      <w:r>
        <w:t xml:space="preserve">El paquete permite registrar múltiples clientes finales bajo un solo acuerdo. El costo de certificados adicionales se cancela por separado con cada nuevo NIT.</w:t>
      </w:r>
    </w:p>
    <w:bookmarkEnd w:id="917"/>
    <w:bookmarkStart w:id="918" w:name="Xe095eedf0c4548837559bba5c95ce29ea99e2c8"/>
    <w:p>
      <w:pPr>
        <w:pStyle w:val="Heading2"/>
      </w:pPr>
      <w:r>
        <w:t xml:space="preserve">3.3 Exclusiones expresas — servicios no incluidos</w:t>
      </w:r>
    </w:p>
    <w:p>
      <w:pPr>
        <w:pStyle w:val="FirstParagraph"/>
      </w:pPr>
      <w:r>
        <w:rPr>
          <w:b/>
          <w:bCs/>
        </w:rPr>
        <w:t xml:space="preserve">FACTUS</w:t>
      </w:r>
      <w:r>
        <w:t xml:space="preserve"> </w:t>
      </w:r>
      <w:r>
        <w:t xml:space="preserve">no se obliga a:</w:t>
      </w:r>
    </w:p>
    <w:p>
      <w:pPr>
        <w:pStyle w:val="Compact"/>
        <w:numPr>
          <w:ilvl w:val="0"/>
          <w:numId w:val="1005"/>
        </w:numPr>
      </w:pPr>
      <w:r>
        <w:t xml:space="preserve">Prestar soporte técnico directo al cliente final del</w:t>
      </w:r>
      <w:r>
        <w:t xml:space="preserve"> </w:t>
      </w:r>
      <w:r>
        <w:rPr>
          <w:b/>
          <w:bCs/>
        </w:rPr>
        <w:t xml:space="preserve">RESELLER</w:t>
      </w:r>
      <w:r>
        <w:t xml:space="preserve">. Ese soporte es responsabilidad exclusiva del</w:t>
      </w:r>
      <w:r>
        <w:t xml:space="preserve"> </w:t>
      </w:r>
      <w:r>
        <w:rPr>
          <w:b/>
          <w:bCs/>
        </w:rPr>
        <w:t xml:space="preserve">RESELLER</w:t>
      </w:r>
      <w:r>
        <w:t xml:space="preserve">.</w:t>
      </w:r>
    </w:p>
    <w:p>
      <w:pPr>
        <w:pStyle w:val="Compact"/>
        <w:numPr>
          <w:ilvl w:val="0"/>
          <w:numId w:val="1005"/>
        </w:numPr>
      </w:pPr>
      <w:r>
        <w:t xml:space="preserve">Auditar, validar ni confirmar la exactitud, legalidad o conformidad tributaria de los documentos emitidos por el cliente final antes de transmisión a la DIAN.</w:t>
      </w:r>
    </w:p>
    <w:p>
      <w:pPr>
        <w:pStyle w:val="Compact"/>
        <w:numPr>
          <w:ilvl w:val="0"/>
          <w:numId w:val="1005"/>
        </w:numPr>
      </w:pPr>
      <w:r>
        <w:t xml:space="preserve">Asumir obligaciones tributarias sustantivas del cliente final ante la DIAN, incluyendo cargues de rangos de numeración, solicitudes de habilitación de actividades económicas, o validación de cumplimiento.</w:t>
      </w:r>
    </w:p>
    <w:p>
      <w:pPr>
        <w:pStyle w:val="Compact"/>
        <w:numPr>
          <w:ilvl w:val="0"/>
          <w:numId w:val="1005"/>
        </w:numPr>
      </w:pPr>
      <w:r>
        <w:t xml:space="preserve">Garantizar que todos los documentos serán aceptados por la DIAN. La aceptación, rechazo o cambio de estado depende exclusivamente de validaciones internas de la DIAN que escapan del control técnico de</w:t>
      </w:r>
      <w:r>
        <w:t xml:space="preserve"> </w:t>
      </w:r>
      <w:r>
        <w:rPr>
          <w:b/>
          <w:bCs/>
        </w:rPr>
        <w:t xml:space="preserve">FACTUS</w:t>
      </w:r>
      <w:r>
        <w:t xml:space="preserve">.</w:t>
      </w:r>
    </w:p>
    <w:p>
      <w:pPr>
        <w:pStyle w:val="Compact"/>
        <w:numPr>
          <w:ilvl w:val="0"/>
          <w:numId w:val="1005"/>
        </w:numPr>
      </w:pPr>
      <w:r>
        <w:t xml:space="preserve">Emitir asesoría tributaria ni contable.</w:t>
      </w:r>
      <w:r>
        <w:t xml:space="preserve"> </w:t>
      </w:r>
      <w:r>
        <w:rPr>
          <w:b/>
          <w:bCs/>
        </w:rPr>
        <w:t xml:space="preserve">EL RESELLER</w:t>
      </w:r>
      <w:r>
        <w:t xml:space="preserve"> </w:t>
      </w:r>
      <w:r>
        <w:t xml:space="preserve">es responsable de orientar a sus clientes finales a consultar contador público autorizado.</w:t>
      </w:r>
    </w:p>
    <w:bookmarkEnd w:id="918"/>
    <w:bookmarkStart w:id="919" w:name="acceso-a-la-plataforma"/>
    <w:p>
      <w:pPr>
        <w:pStyle w:val="Heading2"/>
      </w:pPr>
      <w:r>
        <w:t xml:space="preserve">3.4 Acceso a la plataforma</w:t>
      </w:r>
    </w:p>
    <w:p>
      <w:pPr>
        <w:pStyle w:val="FirstParagraph"/>
      </w:pPr>
      <w:r>
        <w:rPr>
          <w:b/>
          <w:bCs/>
        </w:rPr>
        <w:t xml:space="preserve">FACTUS</w:t>
      </w:r>
      <w:r>
        <w:t xml:space="preserve"> </w:t>
      </w:r>
      <w:r>
        <w:t xml:space="preserve">proporciona:</w:t>
      </w:r>
    </w:p>
    <w:p>
      <w:pPr>
        <w:pStyle w:val="Compact"/>
        <w:numPr>
          <w:ilvl w:val="0"/>
          <w:numId w:val="1006"/>
        </w:numPr>
      </w:pPr>
      <w:r>
        <w:t xml:space="preserve">Credenciales de acceso único para</w:t>
      </w:r>
      <w:r>
        <w:t xml:space="preserve"> </w:t>
      </w:r>
      <w:r>
        <w:rPr>
          <w:b/>
          <w:bCs/>
        </w:rPr>
        <w:t xml:space="preserve">EL RESELLER</w:t>
      </w:r>
      <w:r>
        <w:t xml:space="preserve"> </w:t>
      </w:r>
      <w:r>
        <w:t xml:space="preserve">(usuario y contraseña seguros, bajo responsabilidad exclusiva del</w:t>
      </w:r>
      <w:r>
        <w:t xml:space="preserve"> </w:t>
      </w:r>
      <w:r>
        <w:rPr>
          <w:b/>
          <w:bCs/>
        </w:rPr>
        <w:t xml:space="preserve">RESELLER</w:t>
      </w:r>
      <w:r>
        <w:t xml:space="preserve"> </w:t>
      </w:r>
      <w:r>
        <w:t xml:space="preserve">guardarlos).</w:t>
      </w:r>
    </w:p>
    <w:p>
      <w:pPr>
        <w:pStyle w:val="Compact"/>
        <w:numPr>
          <w:ilvl w:val="0"/>
          <w:numId w:val="1006"/>
        </w:numPr>
      </w:pPr>
      <w:r>
        <w:t xml:space="preserve">Panel de administración donde</w:t>
      </w:r>
      <w:r>
        <w:t xml:space="preserve"> </w:t>
      </w:r>
      <w:r>
        <w:rPr>
          <w:b/>
          <w:bCs/>
        </w:rPr>
        <w:t xml:space="preserve">EL RESELLER</w:t>
      </w:r>
      <w:r>
        <w:t xml:space="preserve"> </w:t>
      </w:r>
      <w:r>
        <w:t xml:space="preserve">gestiona sus clientes finales, emisión de documentos y consulta de reportes técnicos.</w:t>
      </w:r>
    </w:p>
    <w:p>
      <w:pPr>
        <w:pStyle w:val="Compact"/>
        <w:numPr>
          <w:ilvl w:val="0"/>
          <w:numId w:val="1006"/>
        </w:numPr>
      </w:pPr>
      <w:r>
        <w:t xml:space="preserve">Interfaz de Programación de Aplicaciones (API) documentada si</w:t>
      </w:r>
      <w:r>
        <w:t xml:space="preserve"> </w:t>
      </w:r>
      <w:r>
        <w:rPr>
          <w:b/>
          <w:bCs/>
        </w:rPr>
        <w:t xml:space="preserve">EL RESELLER</w:t>
      </w:r>
      <w:r>
        <w:t xml:space="preserve"> </w:t>
      </w:r>
      <w:r>
        <w:t xml:space="preserve">desea integrar</w:t>
      </w:r>
      <w:r>
        <w:t xml:space="preserve"> </w:t>
      </w:r>
      <w:r>
        <w:rPr>
          <w:b/>
          <w:bCs/>
        </w:rPr>
        <w:t xml:space="preserve">LA PLATAFORMA</w:t>
      </w:r>
      <w:r>
        <w:t xml:space="preserve"> </w:t>
      </w:r>
      <w:r>
        <w:t xml:space="preserve">con sus propios sistemas.</w:t>
      </w:r>
    </w:p>
    <w:p>
      <w:pPr>
        <w:pStyle w:val="Compact"/>
        <w:numPr>
          <w:ilvl w:val="0"/>
          <w:numId w:val="1006"/>
        </w:numPr>
      </w:pPr>
      <w:r>
        <w:t xml:space="preserve">Entorno de pruebas (sandbox) con datos de demostración, accesible antes de puesta en operación.</w:t>
      </w:r>
    </w:p>
    <w:p>
      <w:r>
        <w:pict>
          <v:rect style="width:0;height:1.5pt" o:hralign="center" o:hrstd="t" o:hr="t"/>
        </w:pict>
      </w:r>
    </w:p>
    <w:bookmarkEnd w:id="919"/>
    <w:bookmarkEnd w:id="920"/>
    <w:bookmarkStart w:id="924" w:name="vigencia-y-renovación"/>
    <w:p>
      <w:pPr>
        <w:pStyle w:val="Heading1"/>
      </w:pPr>
      <w:r>
        <w:t xml:space="preserve">4. VIGENCIA Y RENOVACIÓN</w:t>
      </w:r>
    </w:p>
    <w:bookmarkStart w:id="921" w:name="término-inicial"/>
    <w:p>
      <w:pPr>
        <w:pStyle w:val="Heading2"/>
      </w:pPr>
      <w:r>
        <w:t xml:space="preserve">4.1 Término inicial</w:t>
      </w:r>
    </w:p>
    <w:p>
      <w:pPr>
        <w:pStyle w:val="FirstParagraph"/>
      </w:pPr>
      <w:r>
        <w:t xml:space="preserve">Este</w:t>
      </w:r>
      <w:r>
        <w:t xml:space="preserve"> </w:t>
      </w:r>
      <w:r>
        <w:rPr>
          <w:b/>
          <w:bCs/>
        </w:rPr>
        <w:t xml:space="preserve">CONTRATO</w:t>
      </w:r>
      <w:r>
        <w:t xml:space="preserve"> </w:t>
      </w:r>
      <w:r>
        <w:t xml:space="preserve">entra en vigencia a partir de la fecha de firma consignada en la Sección de Datos Generales y tiene un término inicial de</w:t>
      </w:r>
      <w:r>
        <w:t xml:space="preserve"> </w:t>
      </w:r>
      <w:r>
        <w:rPr>
          <w:b/>
          <w:bCs/>
        </w:rPr>
        <w:t xml:space="preserve">doce (12) meses calendario</w:t>
      </w:r>
      <w:r>
        <w:t xml:space="preserve">, contados desde la puesta en operación de la primera licencia.</w:t>
      </w:r>
    </w:p>
    <w:bookmarkEnd w:id="921"/>
    <w:bookmarkStart w:id="922" w:name="renovación-automática"/>
    <w:p>
      <w:pPr>
        <w:pStyle w:val="Heading2"/>
      </w:pPr>
      <w:r>
        <w:t xml:space="preserve">4.2 Renovación automática</w:t>
      </w:r>
    </w:p>
    <w:p>
      <w:pPr>
        <w:pStyle w:val="FirstParagraph"/>
      </w:pPr>
      <w:r>
        <w:t xml:space="preserve">Cumplido el término,</w:t>
      </w:r>
      <w:r>
        <w:t xml:space="preserve"> </w:t>
      </w:r>
      <w:r>
        <w:rPr>
          <w:b/>
          <w:bCs/>
        </w:rPr>
        <w:t xml:space="preserve">EL CONTRATO</w:t>
      </w:r>
      <w:r>
        <w:t xml:space="preserve"> </w:t>
      </w:r>
      <w:r>
        <w:t xml:space="preserve">se renovará automáticamente por períodos iguales de doce (12) meses, salvo que cualquiera de</w:t>
      </w:r>
      <w:r>
        <w:t xml:space="preserve"> </w:t>
      </w:r>
      <w:r>
        <w:rPr>
          <w:b/>
          <w:bCs/>
        </w:rPr>
        <w:t xml:space="preserve">LAS PARTES</w:t>
      </w:r>
      <w:r>
        <w:t xml:space="preserve"> </w:t>
      </w:r>
      <w:r>
        <w:t xml:space="preserve">notifique por escrito su voluntad de terminación con treinta (30) días de anticipación al vencimiento.</w:t>
      </w:r>
    </w:p>
    <w:bookmarkEnd w:id="922"/>
    <w:bookmarkStart w:id="923" w:name="incremento-de-precio-en-renovación"/>
    <w:p>
      <w:pPr>
        <w:pStyle w:val="Heading2"/>
      </w:pPr>
      <w:r>
        <w:t xml:space="preserve">4.3 Incremento de precio en renovación</w:t>
      </w:r>
    </w:p>
    <w:p>
      <w:pPr>
        <w:pStyle w:val="FirstParagraph"/>
      </w:pPr>
      <w:r>
        <w:t xml:space="preserve">Al renovarse</w:t>
      </w:r>
      <w:r>
        <w:t xml:space="preserve"> </w:t>
      </w:r>
      <w:r>
        <w:rPr>
          <w:b/>
          <w:bCs/>
        </w:rPr>
        <w:t xml:space="preserve">EL CONTRATO</w:t>
      </w:r>
      <w:r>
        <w:t xml:space="preserve">, los valores pueden ajustarse conforme al Índice de Precios al Consumidor (IPC) del año anterior, más un 2%.</w:t>
      </w:r>
      <w:r>
        <w:t xml:space="preserve"> </w:t>
      </w:r>
      <w:r>
        <w:rPr>
          <w:b/>
          <w:bCs/>
        </w:rPr>
        <w:t xml:space="preserve">FACTUS</w:t>
      </w:r>
      <w:r>
        <w:t xml:space="preserve"> </w:t>
      </w:r>
      <w:r>
        <w:t xml:space="preserve">notificará el nuevo valor con treinta (30) días de anticipación al vencimiento. Si</w:t>
      </w:r>
      <w:r>
        <w:t xml:space="preserve"> </w:t>
      </w:r>
      <w:r>
        <w:rPr>
          <w:b/>
          <w:bCs/>
        </w:rPr>
        <w:t xml:space="preserve">EL RESELLER</w:t>
      </w:r>
      <w:r>
        <w:t xml:space="preserve"> </w:t>
      </w:r>
      <w:r>
        <w:t xml:space="preserve">no acepta el ajuste, podrá optar por terminación conforme la Cláusula Décima.</w:t>
      </w:r>
    </w:p>
    <w:p>
      <w:r>
        <w:pict>
          <v:rect style="width:0;height:1.5pt" o:hralign="center" o:hrstd="t" o:hr="t"/>
        </w:pict>
      </w:r>
    </w:p>
    <w:bookmarkEnd w:id="923"/>
    <w:bookmarkEnd w:id="924"/>
    <w:bookmarkStart w:id="930" w:name="valor-forma-y-condiciones-de-pago"/>
    <w:p>
      <w:pPr>
        <w:pStyle w:val="Heading1"/>
      </w:pPr>
      <w:r>
        <w:t xml:space="preserve">5. VALOR, FORMA Y CONDICIONES DE PAGO</w:t>
      </w:r>
    </w:p>
    <w:bookmarkStart w:id="925" w:name="valor-del-servicio"/>
    <w:p>
      <w:pPr>
        <w:pStyle w:val="Heading2"/>
      </w:pPr>
      <w:r>
        <w:t xml:space="preserve">5.1 Valor del servicio</w:t>
      </w:r>
    </w:p>
    <w:p>
      <w:pPr>
        <w:pStyle w:val="FirstParagraph"/>
      </w:pPr>
      <w:r>
        <w:rPr>
          <w:b/>
          <w:bCs/>
        </w:rPr>
        <w:t xml:space="preserve">EL RESELLER</w:t>
      </w:r>
      <w:r>
        <w:t xml:space="preserve"> </w:t>
      </w:r>
      <w:r>
        <w:t xml:space="preserve">pagará a</w:t>
      </w:r>
      <w:r>
        <w:t xml:space="preserve"> </w:t>
      </w:r>
      <w:r>
        <w:rPr>
          <w:b/>
          <w:bCs/>
        </w:rPr>
        <w:t xml:space="preserve">FACTUS</w:t>
      </w:r>
      <w:r>
        <w:t xml:space="preserve"> </w:t>
      </w:r>
      <w:r>
        <w:t xml:space="preserve">el precio fijo estipulado en la Sección de Identificación de Datos (Bloque B), según el paquete y modalidad elegida. Este precio incluye:</w:t>
      </w:r>
    </w:p>
    <w:p>
      <w:pPr>
        <w:pStyle w:val="Compact"/>
        <w:numPr>
          <w:ilvl w:val="0"/>
          <w:numId w:val="1007"/>
        </w:numPr>
      </w:pPr>
      <w:r>
        <w:t xml:space="preserve">Acceso a</w:t>
      </w:r>
      <w:r>
        <w:t xml:space="preserve"> </w:t>
      </w:r>
      <w:r>
        <w:rPr>
          <w:b/>
          <w:bCs/>
        </w:rPr>
        <w:t xml:space="preserve">LA PLATAFORMA</w:t>
      </w:r>
      <w:r>
        <w:t xml:space="preserve"> </w:t>
      </w:r>
      <w:r>
        <w:t xml:space="preserve">por el período de vigencia pactado.</w:t>
      </w:r>
    </w:p>
    <w:p>
      <w:pPr>
        <w:pStyle w:val="Compact"/>
        <w:numPr>
          <w:ilvl w:val="0"/>
          <w:numId w:val="1007"/>
        </w:numPr>
      </w:pPr>
      <w:r>
        <w:t xml:space="preserve">Primer certificado digital (cuando aplique).</w:t>
      </w:r>
    </w:p>
    <w:p>
      <w:pPr>
        <w:pStyle w:val="Compact"/>
        <w:numPr>
          <w:ilvl w:val="0"/>
          <w:numId w:val="1007"/>
        </w:numPr>
      </w:pPr>
      <w:r>
        <w:t xml:space="preserve">Actualizaciones y mantenimiento preventivo de infraestructura.</w:t>
      </w:r>
    </w:p>
    <w:p>
      <w:pPr>
        <w:pStyle w:val="Compact"/>
        <w:numPr>
          <w:ilvl w:val="0"/>
          <w:numId w:val="1007"/>
        </w:numPr>
      </w:pPr>
      <w:r>
        <w:t xml:space="preserve">Acceso 24/7 a los sistemas, salvo mantenimientos programados notificados con 48 horas de anticipación.</w:t>
      </w:r>
    </w:p>
    <w:bookmarkEnd w:id="925"/>
    <w:bookmarkStart w:id="926" w:name="servicios-adicionales-no-incluidos"/>
    <w:p>
      <w:pPr>
        <w:pStyle w:val="Heading2"/>
      </w:pPr>
      <w:r>
        <w:t xml:space="preserve">5.2 Servicios adicionales no incluidos</w:t>
      </w:r>
    </w:p>
    <w:p>
      <w:pPr>
        <w:pStyle w:val="FirstParagraph"/>
      </w:pPr>
      <w:r>
        <w:t xml:space="preserve">Los siguientes gastos no están incluidos en el valor básico y se facturan por separado:</w:t>
      </w:r>
    </w:p>
    <w:p>
      <w:pPr>
        <w:pStyle w:val="Compact"/>
        <w:numPr>
          <w:ilvl w:val="0"/>
          <w:numId w:val="1008"/>
        </w:numPr>
      </w:pPr>
      <w:r>
        <w:t xml:space="preserve">Certificados digitales adicionales: Se facturan al costo vigente (actualmente 1-3 días hábiles, COP conforme tarifa</w:t>
      </w:r>
      <w:r>
        <w:t xml:space="preserve"> </w:t>
      </w:r>
      <w:r>
        <w:rPr>
          <w:b/>
          <w:bCs/>
        </w:rPr>
        <w:t xml:space="preserve">FACTUS</w:t>
      </w:r>
      <w:r>
        <w:t xml:space="preserve">).</w:t>
      </w:r>
    </w:p>
    <w:p>
      <w:pPr>
        <w:pStyle w:val="Compact"/>
        <w:numPr>
          <w:ilvl w:val="0"/>
          <w:numId w:val="1008"/>
        </w:numPr>
      </w:pPr>
      <w:r>
        <w:t xml:space="preserve">Soportes especiales: Capacitación a medida, integración personalizada, consultoría técnica. Se negocian por separado.</w:t>
      </w:r>
    </w:p>
    <w:p>
      <w:pPr>
        <w:pStyle w:val="Compact"/>
        <w:numPr>
          <w:ilvl w:val="0"/>
          <w:numId w:val="1008"/>
        </w:numPr>
      </w:pPr>
      <w:r>
        <w:t xml:space="preserve">Recuperación de datos: Incidentes causados por mal uso del</w:t>
      </w:r>
      <w:r>
        <w:t xml:space="preserve"> </w:t>
      </w:r>
      <w:r>
        <w:rPr>
          <w:b/>
          <w:bCs/>
        </w:rPr>
        <w:t xml:space="preserve">RESELLER</w:t>
      </w:r>
      <w:r>
        <w:t xml:space="preserve">, o datos borrados. Facturados a costo operativo.</w:t>
      </w:r>
    </w:p>
    <w:p>
      <w:pPr>
        <w:pStyle w:val="Compact"/>
        <w:numPr>
          <w:ilvl w:val="0"/>
          <w:numId w:val="1008"/>
        </w:numPr>
      </w:pPr>
      <w:r>
        <w:t xml:space="preserve">Reportes personalizados o exportaciones adicionales: A costo operativo.</w:t>
      </w:r>
    </w:p>
    <w:bookmarkEnd w:id="926"/>
    <w:bookmarkStart w:id="927" w:name="forma-y-fecha-de-pago"/>
    <w:p>
      <w:pPr>
        <w:pStyle w:val="Heading2"/>
      </w:pPr>
      <w:r>
        <w:t xml:space="preserve">5.3 Forma y fecha de pago</w:t>
      </w:r>
    </w:p>
    <w:p>
      <w:pPr>
        <w:pStyle w:val="FirstParagraph"/>
      </w:pPr>
      <w:r>
        <w:rPr>
          <w:b/>
          <w:bCs/>
        </w:rPr>
        <w:t xml:space="preserve">EL RESELLER</w:t>
      </w:r>
      <w:r>
        <w:t xml:space="preserve"> </w:t>
      </w:r>
      <w:r>
        <w:t xml:space="preserve">se obliga a pagar:</w:t>
      </w:r>
    </w:p>
    <w:p>
      <w:pPr>
        <w:pStyle w:val="Compact"/>
        <w:numPr>
          <w:ilvl w:val="0"/>
          <w:numId w:val="1009"/>
        </w:numPr>
      </w:pPr>
      <w:r>
        <w:rPr>
          <w:b/>
          <w:bCs/>
        </w:rPr>
        <w:t xml:space="preserve">Anticipado:</w:t>
      </w:r>
      <w:r>
        <w:t xml:space="preserve"> </w:t>
      </w:r>
      <w:r>
        <w:t xml:space="preserve">Dentro de los quince (15) días calendario siguientes a la firma, si el servicio comienza en el mes de firma.</w:t>
      </w:r>
    </w:p>
    <w:p>
      <w:pPr>
        <w:pStyle w:val="Compact"/>
        <w:numPr>
          <w:ilvl w:val="0"/>
          <w:numId w:val="1009"/>
        </w:numPr>
      </w:pPr>
      <w:r>
        <w:rPr>
          <w:b/>
          <w:bCs/>
        </w:rPr>
        <w:t xml:space="preserve">Periódico:</w:t>
      </w:r>
      <w:r>
        <w:t xml:space="preserve"> </w:t>
      </w:r>
      <w:r>
        <w:t xml:space="preserve">Mensual o anual, conforme lo indique la factura emitida por</w:t>
      </w:r>
      <w:r>
        <w:t xml:space="preserve"> </w:t>
      </w:r>
      <w:r>
        <w:rPr>
          <w:b/>
          <w:bCs/>
        </w:rPr>
        <w:t xml:space="preserve">FACTUS</w:t>
      </w:r>
      <w:r>
        <w:t xml:space="preserve"> </w:t>
      </w:r>
      <w:r>
        <w:t xml:space="preserve">(30 días neto desde emisión, salvo otro pacto expreso en factura).</w:t>
      </w:r>
    </w:p>
    <w:p>
      <w:pPr>
        <w:pStyle w:val="Compact"/>
        <w:numPr>
          <w:ilvl w:val="0"/>
          <w:numId w:val="1009"/>
        </w:numPr>
      </w:pPr>
      <w:r>
        <w:rPr>
          <w:b/>
          <w:bCs/>
        </w:rPr>
        <w:t xml:space="preserve">Medio de pago:</w:t>
      </w:r>
      <w:r>
        <w:t xml:space="preserve"> </w:t>
      </w:r>
      <w:r>
        <w:t xml:space="preserve">Transferencia electrónica a la cuenta corriente que</w:t>
      </w:r>
      <w:r>
        <w:t xml:space="preserve"> </w:t>
      </w:r>
      <w:r>
        <w:rPr>
          <w:b/>
          <w:bCs/>
        </w:rPr>
        <w:t xml:space="preserve">FACTUS</w:t>
      </w:r>
      <w:r>
        <w:t xml:space="preserve"> </w:t>
      </w:r>
      <w:r>
        <w:t xml:space="preserve">indique, o cheque certificado a nombre de</w:t>
      </w:r>
      <w:r>
        <w:t xml:space="preserve"> </w:t>
      </w:r>
      <w:r>
        <w:rPr>
          <w:b/>
          <w:bCs/>
        </w:rPr>
        <w:t xml:space="preserve">FACTUS</w:t>
      </w:r>
      <w:r>
        <w:t xml:space="preserve">.</w:t>
      </w:r>
    </w:p>
    <w:bookmarkEnd w:id="927"/>
    <w:bookmarkStart w:id="928" w:name="mora-en-el-pago-y-suspensión-automática"/>
    <w:p>
      <w:pPr>
        <w:pStyle w:val="Heading2"/>
      </w:pPr>
      <w:r>
        <w:t xml:space="preserve">5.4 Mora en el pago y suspensión automática</w:t>
      </w:r>
    </w:p>
    <w:p>
      <w:pPr>
        <w:pStyle w:val="FirstParagraph"/>
      </w:pPr>
      <w:r>
        <w:t xml:space="preserve">Si</w:t>
      </w:r>
      <w:r>
        <w:t xml:space="preserve"> </w:t>
      </w:r>
      <w:r>
        <w:rPr>
          <w:b/>
          <w:bCs/>
        </w:rPr>
        <w:t xml:space="preserve">EL RESELLER</w:t>
      </w:r>
      <w:r>
        <w:t xml:space="preserve"> </w:t>
      </w:r>
      <w:r>
        <w:t xml:space="preserve">no paga en la fecha vencida:</w:t>
      </w:r>
    </w:p>
    <w:p>
      <w:pPr>
        <w:pStyle w:val="Compact"/>
        <w:numPr>
          <w:ilvl w:val="0"/>
          <w:numId w:val="1010"/>
        </w:numPr>
      </w:pPr>
      <w:r>
        <w:t xml:space="preserve">Incurrirá en intereses moratorios a la tasa máxima legalmente permitida, causados desde el día siguiente al vencimiento y sin necesidad de requerimiento, conforme al artículo 1608 del Código Civil y al artículo 884 del Código de Comercio.</w:t>
      </w:r>
    </w:p>
    <w:p>
      <w:pPr>
        <w:pStyle w:val="Compact"/>
        <w:numPr>
          <w:ilvl w:val="0"/>
          <w:numId w:val="1010"/>
        </w:numPr>
      </w:pPr>
      <w:r>
        <w:rPr>
          <w:b/>
          <w:bCs/>
        </w:rPr>
        <w:t xml:space="preserve">FACTUS</w:t>
      </w:r>
      <w:r>
        <w:t xml:space="preserve"> </w:t>
      </w:r>
      <w:r>
        <w:t xml:space="preserve">podrá suspender el servicio después de cinco (5) días de incumplimiento, previa notificación vía correo electrónico. La suspensión se levanta una vez cancelado el valor adeudado más intereses.</w:t>
      </w:r>
    </w:p>
    <w:p>
      <w:pPr>
        <w:pStyle w:val="Compact"/>
        <w:numPr>
          <w:ilvl w:val="0"/>
          <w:numId w:val="1010"/>
        </w:numPr>
      </w:pPr>
      <w:r>
        <w:t xml:space="preserve">Deudas mayores a sesenta (60) días pueden derivarse a cobro judicial a costo y expensas del</w:t>
      </w:r>
      <w:r>
        <w:t xml:space="preserve"> </w:t>
      </w:r>
      <w:r>
        <w:rPr>
          <w:b/>
          <w:bCs/>
        </w:rPr>
        <w:t xml:space="preserve">RESELLER</w:t>
      </w:r>
      <w:r>
        <w:t xml:space="preserve">.</w:t>
      </w:r>
    </w:p>
    <w:bookmarkEnd w:id="928"/>
    <w:bookmarkStart w:id="929" w:name="impuestos"/>
    <w:p>
      <w:pPr>
        <w:pStyle w:val="Heading2"/>
      </w:pPr>
      <w:r>
        <w:t xml:space="preserve">5.5 Impuestos</w:t>
      </w:r>
    </w:p>
    <w:p>
      <w:pPr>
        <w:pStyle w:val="FirstParagraph"/>
      </w:pPr>
      <w:r>
        <w:t xml:space="preserve">El valor facturado por</w:t>
      </w:r>
      <w:r>
        <w:t xml:space="preserve"> </w:t>
      </w:r>
      <w:r>
        <w:rPr>
          <w:b/>
          <w:bCs/>
        </w:rPr>
        <w:t xml:space="preserve">FACTUS</w:t>
      </w:r>
      <w:r>
        <w:t xml:space="preserve"> </w:t>
      </w:r>
      <w:r>
        <w:t xml:space="preserve">está sujeto a IVA (19% vigente) y demás impuestos, contribuciones y retenciones vigentes en Colombia.</w:t>
      </w:r>
      <w:r>
        <w:t xml:space="preserve"> </w:t>
      </w:r>
      <w:r>
        <w:rPr>
          <w:b/>
          <w:bCs/>
        </w:rPr>
        <w:t xml:space="preserve">EL RESELLER</w:t>
      </w:r>
      <w:r>
        <w:t xml:space="preserve"> </w:t>
      </w:r>
      <w:r>
        <w:t xml:space="preserve">es responsable del cumplimiento de sus propias obligaciones tributarias sobre los ingresos que genere con la reventa de estos servicios.</w:t>
      </w:r>
    </w:p>
    <w:p>
      <w:r>
        <w:pict>
          <v:rect style="width:0;height:1.5pt" o:hralign="center" o:hrstd="t" o:hr="t"/>
        </w:pict>
      </w:r>
    </w:p>
    <w:bookmarkEnd w:id="929"/>
    <w:bookmarkEnd w:id="930"/>
    <w:bookmarkStart w:id="936" w:name="acuerdos-de-nivel-de-servicio-sla"/>
    <w:p>
      <w:pPr>
        <w:pStyle w:val="Heading1"/>
      </w:pPr>
      <w:r>
        <w:t xml:space="preserve">6. ACUERDOS DE NIVEL DE SERVICIO (SLA)</w:t>
      </w:r>
    </w:p>
    <w:bookmarkStart w:id="931" w:name="disponibilidad-garantizada"/>
    <w:p>
      <w:pPr>
        <w:pStyle w:val="Heading2"/>
      </w:pPr>
      <w:r>
        <w:t xml:space="preserve">6.1 Disponibilidad garantizada</w:t>
      </w:r>
    </w:p>
    <w:p>
      <w:pPr>
        <w:pStyle w:val="FirstParagraph"/>
      </w:pPr>
      <w:r>
        <w:rPr>
          <w:b/>
          <w:bCs/>
        </w:rPr>
        <w:t xml:space="preserve">FACTUS</w:t>
      </w:r>
      <w:r>
        <w:t xml:space="preserve"> </w:t>
      </w:r>
      <w:r>
        <w:t xml:space="preserve">se obliga a mantener</w:t>
      </w:r>
      <w:r>
        <w:t xml:space="preserve"> </w:t>
      </w:r>
      <w:r>
        <w:rPr>
          <w:b/>
          <w:bCs/>
        </w:rPr>
        <w:t xml:space="preserve">LA PLATAFORMA</w:t>
      </w:r>
      <w:r>
        <w:t xml:space="preserve"> </w:t>
      </w:r>
      <w:r>
        <w:t xml:space="preserve">disponible un</w:t>
      </w:r>
      <w:r>
        <w:t xml:space="preserve"> </w:t>
      </w:r>
      <w:r>
        <w:rPr>
          <w:b/>
          <w:bCs/>
        </w:rPr>
        <w:t xml:space="preserve">99%</w:t>
      </w:r>
      <w:r>
        <w:t xml:space="preserve"> </w:t>
      </w:r>
      <w:r>
        <w:t xml:space="preserve">del tiempo durante las horas hábiles de operación (lunes a viernes, 8:00 a.m. a 6:00 p.m. hora Colombia). Esto quiere decir:</w:t>
      </w:r>
    </w:p>
    <w:p>
      <w:pPr>
        <w:pStyle w:val="Compact"/>
        <w:numPr>
          <w:ilvl w:val="0"/>
          <w:numId w:val="1011"/>
        </w:numPr>
      </w:pPr>
      <w:r>
        <w:t xml:space="preserve">Máximo dos horas y seis minutos (2,1 horas) de indisponibilidad por mes en horario hábil, equivalente al 1% de un mes de 210 horas hábiles, según el cálculo del ANEXO I.</w:t>
      </w:r>
    </w:p>
    <w:p>
      <w:pPr>
        <w:pStyle w:val="Compact"/>
        <w:numPr>
          <w:ilvl w:val="0"/>
          <w:numId w:val="1011"/>
        </w:numPr>
      </w:pPr>
      <w:r>
        <w:t xml:space="preserve">Indisponibilidad = plataforma no accesible para emisión, consulta o radicación de documentos.</w:t>
      </w:r>
    </w:p>
    <w:bookmarkEnd w:id="931"/>
    <w:bookmarkStart w:id="932" w:name="Xb433bb20fcbc47b67edb1c732e11aff86e25062"/>
    <w:p>
      <w:pPr>
        <w:pStyle w:val="Heading2"/>
      </w:pPr>
      <w:r>
        <w:t xml:space="preserve">6.2 Clasificación de incidentes y tiempos de respuesta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Prioridad</w:t>
            </w:r>
          </w:p>
        </w:tc>
        <w:tc>
          <w:tcPr/>
          <w:p>
            <w:pPr>
              <w:pStyle w:val="Compact"/>
              <w:jc w:val="left"/>
            </w:pPr>
            <w:r>
              <w:t xml:space="preserve">Descripción</w:t>
            </w:r>
          </w:p>
        </w:tc>
        <w:tc>
          <w:tcPr/>
          <w:p>
            <w:pPr>
              <w:pStyle w:val="Compact"/>
              <w:jc w:val="left"/>
            </w:pPr>
            <w:r>
              <w:t xml:space="preserve">Tiempo de Respuesta</w:t>
            </w:r>
          </w:p>
        </w:tc>
        <w:tc>
          <w:tcPr/>
          <w:p>
            <w:pPr>
              <w:pStyle w:val="Compact"/>
              <w:jc w:val="left"/>
            </w:pPr>
            <w:r>
              <w:t xml:space="preserve">Tiempo de Resolución Objetivo</w:t>
            </w:r>
          </w:p>
        </w:tc>
      </w:tr>
      <w:tr>
        <w:tc>
          <w:tcPr/>
          <w:p>
            <w:pPr>
              <w:pStyle w:val="Compact"/>
              <w:jc w:val="left"/>
            </w:pPr>
            <w:r>
              <w:rPr>
                <w:b/>
                <w:bCs/>
              </w:rPr>
              <w:t xml:space="preserve">Crítica (P1)</w:t>
            </w:r>
          </w:p>
        </w:tc>
        <w:tc>
          <w:tcPr/>
          <w:p>
            <w:pPr>
              <w:pStyle w:val="Compact"/>
              <w:jc w:val="left"/>
            </w:pPr>
            <w:r>
              <w:t xml:space="preserve">Plataforma completa caída; ningún usuario puede acceder.</w:t>
            </w:r>
          </w:p>
        </w:tc>
        <w:tc>
          <w:tcPr/>
          <w:p>
            <w:pPr>
              <w:pStyle w:val="Compact"/>
              <w:jc w:val="left"/>
            </w:pPr>
            <w:r>
              <w:t xml:space="preserve">30 minutos</w:t>
            </w:r>
          </w:p>
        </w:tc>
        <w:tc>
          <w:tcPr/>
          <w:p>
            <w:pPr>
              <w:pStyle w:val="Compact"/>
              <w:jc w:val="left"/>
            </w:pPr>
            <w:r>
              <w:t xml:space="preserve">2 horas (hábiles)</w:t>
            </w:r>
          </w:p>
        </w:tc>
      </w:tr>
      <w:tr>
        <w:tc>
          <w:tcPr/>
          <w:p>
            <w:pPr>
              <w:pStyle w:val="Compact"/>
              <w:jc w:val="left"/>
            </w:pPr>
            <w:r>
              <w:rPr>
                <w:b/>
                <w:bCs/>
              </w:rPr>
              <w:t xml:space="preserve">Alta (P2)</w:t>
            </w:r>
          </w:p>
        </w:tc>
        <w:tc>
          <w:tcPr/>
          <w:p>
            <w:pPr>
              <w:pStyle w:val="Compact"/>
              <w:jc w:val="left"/>
            </w:pPr>
            <w:r>
              <w:t xml:space="preserve">Funcionalidad principal afectada (emisión o radicación lenta/inestable).</w:t>
            </w:r>
          </w:p>
        </w:tc>
        <w:tc>
          <w:tcPr/>
          <w:p>
            <w:pPr>
              <w:pStyle w:val="Compact"/>
              <w:jc w:val="left"/>
            </w:pPr>
            <w:r>
              <w:t xml:space="preserve">2 horas</w:t>
            </w:r>
          </w:p>
        </w:tc>
        <w:tc>
          <w:tcPr/>
          <w:p>
            <w:pPr>
              <w:pStyle w:val="Compact"/>
              <w:jc w:val="left"/>
            </w:pPr>
            <w:r>
              <w:t xml:space="preserve">4 horas (hábiles)</w:t>
            </w:r>
          </w:p>
        </w:tc>
      </w:tr>
      <w:tr>
        <w:tc>
          <w:tcPr/>
          <w:p>
            <w:pPr>
              <w:pStyle w:val="Compact"/>
              <w:jc w:val="left"/>
            </w:pPr>
            <w:r>
              <w:rPr>
                <w:b/>
                <w:bCs/>
              </w:rPr>
              <w:t xml:space="preserve">Media (P3)</w:t>
            </w:r>
          </w:p>
        </w:tc>
        <w:tc>
          <w:tcPr/>
          <w:p>
            <w:pPr>
              <w:pStyle w:val="Compact"/>
              <w:jc w:val="left"/>
            </w:pPr>
            <w:r>
              <w:t xml:space="preserve">Funcionalidad secundaria afectada (reportes no disponibles).</w:t>
            </w:r>
          </w:p>
        </w:tc>
        <w:tc>
          <w:tcPr/>
          <w:p>
            <w:pPr>
              <w:pStyle w:val="Compact"/>
              <w:jc w:val="left"/>
            </w:pPr>
            <w:r>
              <w:t xml:space="preserve">4 horas</w:t>
            </w:r>
          </w:p>
        </w:tc>
        <w:tc>
          <w:tcPr/>
          <w:p>
            <w:pPr>
              <w:pStyle w:val="Compact"/>
              <w:jc w:val="left"/>
            </w:pPr>
            <w:r>
              <w:t xml:space="preserve">8 horas (hábiles)</w:t>
            </w:r>
          </w:p>
        </w:tc>
      </w:tr>
      <w:tr>
        <w:tc>
          <w:tcPr/>
          <w:p>
            <w:pPr>
              <w:pStyle w:val="Compact"/>
              <w:jc w:val="left"/>
            </w:pPr>
            <w:r>
              <w:rPr>
                <w:b/>
                <w:bCs/>
              </w:rPr>
              <w:t xml:space="preserve">Baja (P4)</w:t>
            </w:r>
          </w:p>
        </w:tc>
        <w:tc>
          <w:tcPr/>
          <w:p>
            <w:pPr>
              <w:pStyle w:val="Compact"/>
              <w:jc w:val="left"/>
            </w:pPr>
            <w:r>
              <w:t xml:space="preserve">Dudas, solicitudes de información, optimizaciones menores.</w:t>
            </w:r>
          </w:p>
        </w:tc>
        <w:tc>
          <w:tcPr/>
          <w:p>
            <w:pPr>
              <w:pStyle w:val="Compact"/>
              <w:jc w:val="left"/>
            </w:pPr>
            <w:r>
              <w:t xml:space="preserve">24 horas</w:t>
            </w:r>
          </w:p>
        </w:tc>
        <w:tc>
          <w:tcPr/>
          <w:p>
            <w:pPr>
              <w:pStyle w:val="Compact"/>
              <w:jc w:val="left"/>
            </w:pPr>
            <w:r>
              <w:t xml:space="preserve">2 días (hábiles)</w:t>
            </w:r>
          </w:p>
        </w:tc>
      </w:tr>
    </w:tbl>
    <w:bookmarkEnd w:id="932"/>
    <w:bookmarkStart w:id="933" w:name="horarios-no-hábiles"/>
    <w:p>
      <w:pPr>
        <w:pStyle w:val="Heading2"/>
      </w:pPr>
      <w:r>
        <w:t xml:space="preserve">6.3 Horarios no hábiles</w:t>
      </w:r>
    </w:p>
    <w:p>
      <w:pPr>
        <w:pStyle w:val="FirstParagraph"/>
      </w:pPr>
      <w:r>
        <w:t xml:space="preserve">Incidentes reportados fuera de horario hábil (viernes 6:00 p.m. a lunes 8:00 a.m., festivos colombianos) serán atendidos el primer día hábil siguiente. No se computa tiempo de respuesta ni resolución en días o horas no hábiles.</w:t>
      </w:r>
    </w:p>
    <w:bookmarkEnd w:id="933"/>
    <w:bookmarkStart w:id="934" w:name="exclusiones-del-sla"/>
    <w:p>
      <w:pPr>
        <w:pStyle w:val="Heading2"/>
      </w:pPr>
      <w:r>
        <w:t xml:space="preserve">6.4 Exclusiones del SLA</w:t>
      </w:r>
    </w:p>
    <w:p>
      <w:pPr>
        <w:pStyle w:val="FirstParagraph"/>
      </w:pPr>
      <w:r>
        <w:rPr>
          <w:b/>
          <w:bCs/>
        </w:rPr>
        <w:t xml:space="preserve">FACTUS</w:t>
      </w:r>
      <w:r>
        <w:t xml:space="preserve"> </w:t>
      </w:r>
      <w:r>
        <w:t xml:space="preserve">no responde por indisponibilidad causada por:</w:t>
      </w:r>
    </w:p>
    <w:p>
      <w:pPr>
        <w:pStyle w:val="Compact"/>
        <w:numPr>
          <w:ilvl w:val="0"/>
          <w:numId w:val="1012"/>
        </w:numPr>
      </w:pPr>
      <w:r>
        <w:t xml:space="preserve">Mal funcionamiento de la conexión a internet del</w:t>
      </w:r>
      <w:r>
        <w:t xml:space="preserve"> </w:t>
      </w:r>
      <w:r>
        <w:rPr>
          <w:b/>
          <w:bCs/>
        </w:rPr>
        <w:t xml:space="preserve">RESELLER</w:t>
      </w:r>
      <w:r>
        <w:t xml:space="preserve"> </w:t>
      </w:r>
      <w:r>
        <w:t xml:space="preserve">o sus clientes finales.</w:t>
      </w:r>
    </w:p>
    <w:p>
      <w:pPr>
        <w:pStyle w:val="Compact"/>
        <w:numPr>
          <w:ilvl w:val="0"/>
          <w:numId w:val="1012"/>
        </w:numPr>
      </w:pPr>
      <w:r>
        <w:t xml:space="preserve">Indisponibilidad de servicios de terceros: Autoridades de Certificación Digital, plataforma DIAN, bancos, prestadores de telecomunicaciones.</w:t>
      </w:r>
    </w:p>
    <w:p>
      <w:pPr>
        <w:pStyle w:val="Compact"/>
        <w:numPr>
          <w:ilvl w:val="0"/>
          <w:numId w:val="1012"/>
        </w:numPr>
      </w:pPr>
      <w:r>
        <w:t xml:space="preserve">Ataques de denegación de servicio (DDoS) dirigidos a</w:t>
      </w:r>
      <w:r>
        <w:t xml:space="preserve"> </w:t>
      </w:r>
      <w:r>
        <w:rPr>
          <w:b/>
          <w:bCs/>
        </w:rPr>
        <w:t xml:space="preserve">LA PLATAFORMA</w:t>
      </w:r>
      <w:r>
        <w:t xml:space="preserve">.</w:t>
      </w:r>
    </w:p>
    <w:p>
      <w:pPr>
        <w:pStyle w:val="Compact"/>
        <w:numPr>
          <w:ilvl w:val="0"/>
          <w:numId w:val="1012"/>
        </w:numPr>
      </w:pPr>
      <w:r>
        <w:t xml:space="preserve">Mantenimiento preventivo notificado con 48 horas de anticipación (máximo 4 horas mensuales).</w:t>
      </w:r>
    </w:p>
    <w:p>
      <w:pPr>
        <w:pStyle w:val="Compact"/>
        <w:numPr>
          <w:ilvl w:val="0"/>
          <w:numId w:val="1012"/>
        </w:numPr>
      </w:pPr>
      <w:r>
        <w:t xml:space="preserve">Causas de fuerza mayor (desastres naturales, conflictos armados, epidemias) documentadas y comunicadas oportunamente.</w:t>
      </w:r>
    </w:p>
    <w:bookmarkEnd w:id="934"/>
    <w:bookmarkStart w:id="935" w:name="X85e118a5c8511ba1aff72596a632820cfb0e5a9"/>
    <w:p>
      <w:pPr>
        <w:pStyle w:val="Heading2"/>
      </w:pPr>
      <w:r>
        <w:t xml:space="preserve">6.5 Certificados digitales — tiempos garantizados</w:t>
      </w:r>
    </w:p>
    <w:p>
      <w:pPr>
        <w:pStyle w:val="Compact"/>
        <w:numPr>
          <w:ilvl w:val="0"/>
          <w:numId w:val="1013"/>
        </w:numPr>
      </w:pPr>
      <w:r>
        <w:rPr>
          <w:b/>
          <w:bCs/>
        </w:rPr>
        <w:t xml:space="preserve">Compra de nuevo certificado:</w:t>
      </w:r>
      <w:r>
        <w:t xml:space="preserve"> </w:t>
      </w:r>
      <w:r>
        <w:t xml:space="preserve">1-3 días hábiles, conforme el proveedor de certificados.</w:t>
      </w:r>
    </w:p>
    <w:p>
      <w:pPr>
        <w:pStyle w:val="Compact"/>
        <w:numPr>
          <w:ilvl w:val="0"/>
          <w:numId w:val="1013"/>
        </w:numPr>
      </w:pPr>
      <w:r>
        <w:rPr>
          <w:b/>
          <w:bCs/>
        </w:rPr>
        <w:t xml:space="preserve">Instalación en plataforma:</w:t>
      </w:r>
      <w:r>
        <w:t xml:space="preserve"> </w:t>
      </w:r>
      <w:r>
        <w:t xml:space="preserve">En la misma hora de recepción.</w:t>
      </w:r>
    </w:p>
    <w:p>
      <w:pPr>
        <w:pStyle w:val="Compact"/>
        <w:numPr>
          <w:ilvl w:val="0"/>
          <w:numId w:val="1013"/>
        </w:numPr>
      </w:pPr>
      <w:r>
        <w:rPr>
          <w:b/>
          <w:bCs/>
        </w:rPr>
        <w:t xml:space="preserve">Renovación de certificado vencido:</w:t>
      </w:r>
      <w:r>
        <w:t xml:space="preserve"> </w:t>
      </w:r>
      <w:r>
        <w:t xml:space="preserve">Aplica el plazo anterior.</w:t>
      </w:r>
    </w:p>
    <w:p>
      <w:pPr>
        <w:pStyle w:val="FirstParagraph"/>
      </w:pPr>
      <w:r>
        <w:t xml:space="preserve">Si el certificado vence por negligencia del</w:t>
      </w:r>
      <w:r>
        <w:t xml:space="preserve"> </w:t>
      </w:r>
      <w:r>
        <w:rPr>
          <w:b/>
          <w:bCs/>
        </w:rPr>
        <w:t xml:space="preserve">RESELLER</w:t>
      </w:r>
      <w:r>
        <w:t xml:space="preserve"> </w:t>
      </w:r>
      <w:r>
        <w:t xml:space="preserve">(no renovó a tiempo),</w:t>
      </w:r>
      <w:r>
        <w:t xml:space="preserve"> </w:t>
      </w:r>
      <w:r>
        <w:rPr>
          <w:b/>
          <w:bCs/>
        </w:rPr>
        <w:t xml:space="preserve">FACTUS</w:t>
      </w:r>
      <w:r>
        <w:t xml:space="preserve"> </w:t>
      </w:r>
      <w:r>
        <w:t xml:space="preserve">cobrará arancel por reinscripción conforme tarifa vigente.</w:t>
      </w:r>
    </w:p>
    <w:p>
      <w:r>
        <w:pict>
          <v:rect style="width:0;height:1.5pt" o:hralign="center" o:hrstd="t" o:hr="t"/>
        </w:pict>
      </w:r>
    </w:p>
    <w:bookmarkEnd w:id="935"/>
    <w:bookmarkEnd w:id="936"/>
    <w:bookmarkStart w:id="939" w:name="obligaciones-de-factus"/>
    <w:p>
      <w:pPr>
        <w:pStyle w:val="Heading1"/>
      </w:pPr>
      <w:r>
        <w:t xml:space="preserve">7. OBLIGACIONES DE FACTUS</w:t>
      </w:r>
    </w:p>
    <w:bookmarkStart w:id="937" w:name="obligaciones-específicas"/>
    <w:p>
      <w:pPr>
        <w:pStyle w:val="Heading2"/>
      </w:pPr>
      <w:r>
        <w:t xml:space="preserve">7.1 Obligaciones específicas</w:t>
      </w:r>
    </w:p>
    <w:p>
      <w:pPr>
        <w:pStyle w:val="FirstParagraph"/>
      </w:pPr>
      <w:r>
        <w:rPr>
          <w:b/>
          <w:bCs/>
        </w:rPr>
        <w:t xml:space="preserve">FACTUS</w:t>
      </w:r>
      <w:r>
        <w:t xml:space="preserve"> </w:t>
      </w:r>
      <w:r>
        <w:t xml:space="preserve">se obliga a:</w:t>
      </w:r>
    </w:p>
    <w:p>
      <w:pPr>
        <w:pStyle w:val="Compact"/>
        <w:numPr>
          <w:ilvl w:val="0"/>
          <w:numId w:val="1014"/>
        </w:numPr>
      </w:pPr>
      <w:r>
        <w:t xml:space="preserve">Mantener</w:t>
      </w:r>
      <w:r>
        <w:t xml:space="preserve"> </w:t>
      </w:r>
      <w:r>
        <w:rPr>
          <w:b/>
          <w:bCs/>
        </w:rPr>
        <w:t xml:space="preserve">LA PLATAFORMA</w:t>
      </w:r>
      <w:r>
        <w:t xml:space="preserve"> </w:t>
      </w:r>
      <w:r>
        <w:t xml:space="preserve">operativa conforme al SLA de la Cláusula Sexta y Anexo I de este</w:t>
      </w:r>
      <w:r>
        <w:t xml:space="preserve"> </w:t>
      </w:r>
      <w:r>
        <w:rPr>
          <w:b/>
          <w:bCs/>
        </w:rPr>
        <w:t xml:space="preserve">CONTRATO</w:t>
      </w:r>
      <w:r>
        <w:t xml:space="preserve">.</w:t>
      </w:r>
    </w:p>
    <w:p>
      <w:pPr>
        <w:pStyle w:val="Compact"/>
        <w:numPr>
          <w:ilvl w:val="0"/>
          <w:numId w:val="1014"/>
        </w:numPr>
      </w:pPr>
      <w:r>
        <w:t xml:space="preserve">Ejecutar actualizaciones y parches de seguridad de manera oportuna, notificando con 48 horas de anticipación cualquier mantenimiento programado.</w:t>
      </w:r>
    </w:p>
    <w:p>
      <w:pPr>
        <w:pStyle w:val="Compact"/>
        <w:numPr>
          <w:ilvl w:val="0"/>
          <w:numId w:val="1014"/>
        </w:numPr>
      </w:pPr>
      <w:r>
        <w:t xml:space="preserve">Guardar absoluta confidencialidad sobre información del</w:t>
      </w:r>
      <w:r>
        <w:t xml:space="preserve"> </w:t>
      </w:r>
      <w:r>
        <w:rPr>
          <w:b/>
          <w:bCs/>
        </w:rPr>
        <w:t xml:space="preserve">RESELLER</w:t>
      </w:r>
      <w:r>
        <w:t xml:space="preserve"> </w:t>
      </w:r>
      <w:r>
        <w:t xml:space="preserve">y de sus clientes finales (documentos tributarios, datos personales, credenciales).</w:t>
      </w:r>
    </w:p>
    <w:p>
      <w:pPr>
        <w:pStyle w:val="Compact"/>
        <w:numPr>
          <w:ilvl w:val="0"/>
          <w:numId w:val="1014"/>
        </w:numPr>
      </w:pPr>
      <w:r>
        <w:t xml:space="preserve">Cumplir de conformidad con las leyes de protección de datos personales vigentes (Ley 1581 de 2012, Decreto 1377 de 2013) y seguridad de la información.</w:t>
      </w:r>
    </w:p>
    <w:p>
      <w:pPr>
        <w:pStyle w:val="Compact"/>
        <w:numPr>
          <w:ilvl w:val="0"/>
          <w:numId w:val="1014"/>
        </w:numPr>
      </w:pPr>
      <w:r>
        <w:t xml:space="preserve">Responder consultas técnicas en horarios de soporte especificados en la Sección de Datos Generales.</w:t>
      </w:r>
    </w:p>
    <w:p>
      <w:pPr>
        <w:pStyle w:val="Compact"/>
        <w:numPr>
          <w:ilvl w:val="0"/>
          <w:numId w:val="1014"/>
        </w:numPr>
      </w:pPr>
      <w:r>
        <w:t xml:space="preserve">Proporcionar acceso a reportes técnicos en tiempo real sobre radicación ante la DIAN, estado de documentos, y eventos de transmisión.</w:t>
      </w:r>
    </w:p>
    <w:p>
      <w:pPr>
        <w:pStyle w:val="Compact"/>
        <w:numPr>
          <w:ilvl w:val="0"/>
          <w:numId w:val="1014"/>
        </w:numPr>
      </w:pPr>
      <w:r>
        <w:t xml:space="preserve">Realizar los cambios operativos, tecnológicos o técnicos necesarios para garantizar la disponibilidad y seguridad de</w:t>
      </w:r>
      <w:r>
        <w:t xml:space="preserve"> </w:t>
      </w:r>
      <w:r>
        <w:rPr>
          <w:b/>
          <w:bCs/>
        </w:rPr>
        <w:t xml:space="preserve">LOS SERVICIOS</w:t>
      </w:r>
      <w:r>
        <w:t xml:space="preserve">. Cuando dichos cambios impliquen modificaciones en APIs o integraciones que requieran ajustes por parte de</w:t>
      </w:r>
      <w:r>
        <w:t xml:space="preserve"> </w:t>
      </w:r>
      <w:r>
        <w:rPr>
          <w:b/>
          <w:bCs/>
        </w:rPr>
        <w:t xml:space="preserve">EL RESELLER</w:t>
      </w:r>
      <w:r>
        <w:t xml:space="preserve">,</w:t>
      </w:r>
      <w:r>
        <w:t xml:space="preserve"> </w:t>
      </w:r>
      <w:r>
        <w:rPr>
          <w:b/>
          <w:bCs/>
        </w:rPr>
        <w:t xml:space="preserve">FACTUS</w:t>
      </w:r>
      <w:r>
        <w:t xml:space="preserve"> </w:t>
      </w:r>
      <w:r>
        <w:t xml:space="preserve">informará con antelación razonable y pondrá a disposición la documentación técnica necesaria.</w:t>
      </w:r>
      <w:r>
        <w:t xml:space="preserve"> </w:t>
      </w:r>
      <w:r>
        <w:rPr>
          <w:b/>
          <w:bCs/>
        </w:rPr>
        <w:t xml:space="preserve">EL RESELLER</w:t>
      </w:r>
      <w:r>
        <w:t xml:space="preserve"> </w:t>
      </w:r>
      <w:r>
        <w:t xml:space="preserve">será el único responsable de ejecutar los ajustes en su propia infraestructura.</w:t>
      </w:r>
    </w:p>
    <w:p>
      <w:pPr>
        <w:pStyle w:val="Compact"/>
        <w:numPr>
          <w:ilvl w:val="0"/>
          <w:numId w:val="1014"/>
        </w:numPr>
      </w:pPr>
      <w:r>
        <w:t xml:space="preserve">Realizar cambios en políticas, términos y condiciones. Si el cambio afecta sustancialmente la operación de</w:t>
      </w:r>
      <w:r>
        <w:t xml:space="preserve"> </w:t>
      </w:r>
      <w:r>
        <w:rPr>
          <w:b/>
          <w:bCs/>
        </w:rPr>
        <w:t xml:space="preserve">EL RESELLER</w:t>
      </w:r>
      <w:r>
        <w:t xml:space="preserve">,</w:t>
      </w:r>
      <w:r>
        <w:t xml:space="preserve"> </w:t>
      </w:r>
      <w:r>
        <w:rPr>
          <w:b/>
          <w:bCs/>
        </w:rPr>
        <w:t xml:space="preserve">FACTUS</w:t>
      </w:r>
      <w:r>
        <w:t xml:space="preserve"> </w:t>
      </w:r>
      <w:r>
        <w:t xml:space="preserve">notificará con antelación razonable, salvo que el cambio sea por motivos de seguridad o emergencia, en cuyo caso la notificación será inmediata.</w:t>
      </w:r>
    </w:p>
    <w:bookmarkEnd w:id="937"/>
    <w:bookmarkStart w:id="938" w:name="exclusiones-lo-que-no-hace-factus"/>
    <w:p>
      <w:pPr>
        <w:pStyle w:val="Heading2"/>
      </w:pPr>
      <w:r>
        <w:t xml:space="preserve">7.2 Exclusiones — lo que NO hace FACTUS</w:t>
      </w:r>
    </w:p>
    <w:p>
      <w:pPr>
        <w:pStyle w:val="FirstParagraph"/>
      </w:pPr>
      <w:r>
        <w:rPr>
          <w:b/>
          <w:bCs/>
        </w:rPr>
        <w:t xml:space="preserve">FACTUS</w:t>
      </w:r>
      <w:r>
        <w:t xml:space="preserve"> </w:t>
      </w:r>
      <w:r>
        <w:t xml:space="preserve">no se obliga a:</w:t>
      </w:r>
    </w:p>
    <w:p>
      <w:pPr>
        <w:pStyle w:val="Compact"/>
        <w:numPr>
          <w:ilvl w:val="0"/>
          <w:numId w:val="1015"/>
        </w:numPr>
      </w:pPr>
      <w:r>
        <w:t xml:space="preserve">Auditar ni validar la exactitud de los documentos emitidos; es responsabilidad del</w:t>
      </w:r>
      <w:r>
        <w:t xml:space="preserve"> </w:t>
      </w:r>
      <w:r>
        <w:rPr>
          <w:b/>
          <w:bCs/>
        </w:rPr>
        <w:t xml:space="preserve">RESELLER</w:t>
      </w:r>
      <w:r>
        <w:t xml:space="preserve"> </w:t>
      </w:r>
      <w:r>
        <w:t xml:space="preserve">y su cliente final verificar conformidad con normas tributarias.</w:t>
      </w:r>
    </w:p>
    <w:p>
      <w:pPr>
        <w:pStyle w:val="Compact"/>
        <w:numPr>
          <w:ilvl w:val="0"/>
          <w:numId w:val="1015"/>
        </w:numPr>
      </w:pPr>
      <w:r>
        <w:t xml:space="preserve">Emitir comprobantes tributarios en nombre del cliente final; el cliente final debe realizar sus propios trámites ante la DIAN (cargues de rangos, habilitaciones de actividades económicas).</w:t>
      </w:r>
    </w:p>
    <w:p>
      <w:pPr>
        <w:pStyle w:val="Compact"/>
        <w:numPr>
          <w:ilvl w:val="0"/>
          <w:numId w:val="1015"/>
        </w:numPr>
      </w:pPr>
      <w:r>
        <w:t xml:space="preserve">Ofrecer asesoría tributaria o contable; recomienda al</w:t>
      </w:r>
      <w:r>
        <w:t xml:space="preserve"> </w:t>
      </w:r>
      <w:r>
        <w:rPr>
          <w:b/>
          <w:bCs/>
        </w:rPr>
        <w:t xml:space="preserve">RESELLER</w:t>
      </w:r>
      <w:r>
        <w:t xml:space="preserve"> </w:t>
      </w:r>
      <w:r>
        <w:t xml:space="preserve">y cliente final consultar con profesionales autorizados.</w:t>
      </w:r>
    </w:p>
    <w:p>
      <w:pPr>
        <w:pStyle w:val="Compact"/>
        <w:numPr>
          <w:ilvl w:val="0"/>
          <w:numId w:val="1015"/>
        </w:numPr>
      </w:pPr>
      <w:r>
        <w:t xml:space="preserve">Realizar soporte directo al cliente final del</w:t>
      </w:r>
      <w:r>
        <w:t xml:space="preserve"> </w:t>
      </w:r>
      <w:r>
        <w:rPr>
          <w:b/>
          <w:bCs/>
        </w:rPr>
        <w:t xml:space="preserve">RESELLER</w:t>
      </w:r>
      <w:r>
        <w:t xml:space="preserve">; todo contacto técnico pasa por</w:t>
      </w:r>
      <w:r>
        <w:t xml:space="preserve"> </w:t>
      </w:r>
      <w:r>
        <w:rPr>
          <w:b/>
          <w:bCs/>
        </w:rPr>
        <w:t xml:space="preserve">EL RESELLER</w:t>
      </w:r>
      <w:r>
        <w:t xml:space="preserve">.</w:t>
      </w:r>
    </w:p>
    <w:p>
      <w:pPr>
        <w:pStyle w:val="Compact"/>
        <w:numPr>
          <w:ilvl w:val="0"/>
          <w:numId w:val="1015"/>
        </w:numPr>
      </w:pPr>
      <w:r>
        <w:t xml:space="preserve">Garantizar aceptación de documentos por la DIAN; la decisión DIAN depende de validaciones internas que escapan del control de</w:t>
      </w:r>
      <w:r>
        <w:t xml:space="preserve"> </w:t>
      </w:r>
      <w:r>
        <w:rPr>
          <w:b/>
          <w:bCs/>
        </w:rPr>
        <w:t xml:space="preserve">FACTUS</w:t>
      </w:r>
      <w:r>
        <w:t xml:space="preserve">.</w:t>
      </w:r>
    </w:p>
    <w:p>
      <w:r>
        <w:pict>
          <v:rect style="width:0;height:1.5pt" o:hralign="center" o:hrstd="t" o:hr="t"/>
        </w:pict>
      </w:r>
    </w:p>
    <w:bookmarkEnd w:id="938"/>
    <w:bookmarkEnd w:id="939"/>
    <w:bookmarkStart w:id="943" w:name="obligaciones-de-el-reseller"/>
    <w:p>
      <w:pPr>
        <w:pStyle w:val="Heading1"/>
      </w:pPr>
      <w:r>
        <w:t xml:space="preserve">8. OBLIGACIONES DE EL RESELLER</w:t>
      </w:r>
    </w:p>
    <w:bookmarkStart w:id="940" w:name="obligaciones-generales"/>
    <w:p>
      <w:pPr>
        <w:pStyle w:val="Heading2"/>
      </w:pPr>
      <w:r>
        <w:t xml:space="preserve">8.1 Obligaciones generales</w:t>
      </w:r>
    </w:p>
    <w:p>
      <w:pPr>
        <w:pStyle w:val="FirstParagraph"/>
      </w:pPr>
      <w:r>
        <w:rPr>
          <w:b/>
          <w:bCs/>
        </w:rPr>
        <w:t xml:space="preserve">EL RESELLER</w:t>
      </w:r>
      <w:r>
        <w:t xml:space="preserve"> </w:t>
      </w:r>
      <w:r>
        <w:t xml:space="preserve">se obliga a:</w:t>
      </w:r>
    </w:p>
    <w:p>
      <w:pPr>
        <w:pStyle w:val="Compact"/>
        <w:numPr>
          <w:ilvl w:val="0"/>
          <w:numId w:val="1016"/>
        </w:numPr>
      </w:pPr>
      <w:r>
        <w:t xml:space="preserve">Pagar puntualmente los valores establecidos en la Cláusula Quinta, sin condiciones ni deducciones.</w:t>
      </w:r>
    </w:p>
    <w:p>
      <w:pPr>
        <w:pStyle w:val="Compact"/>
        <w:numPr>
          <w:ilvl w:val="0"/>
          <w:numId w:val="1016"/>
        </w:numPr>
      </w:pPr>
      <w:r>
        <w:t xml:space="preserve">Utilizar</w:t>
      </w:r>
      <w:r>
        <w:t xml:space="preserve"> </w:t>
      </w:r>
      <w:r>
        <w:rPr>
          <w:b/>
          <w:bCs/>
        </w:rPr>
        <w:t xml:space="preserve">LA PLATAFORMA</w:t>
      </w:r>
      <w:r>
        <w:t xml:space="preserve"> </w:t>
      </w:r>
      <w:r>
        <w:t xml:space="preserve">exclusivamente para emitir documentos electrónicos conforme la Resolución 000165 de 2023 de la DIAN, las normas que la modifiquen, adicionen o sustituyan, y la Ley 1480 de 2011 en lo aplicable.</w:t>
      </w:r>
    </w:p>
    <w:p>
      <w:pPr>
        <w:pStyle w:val="Compact"/>
        <w:numPr>
          <w:ilvl w:val="0"/>
          <w:numId w:val="1016"/>
        </w:numPr>
      </w:pPr>
      <w:r>
        <w:t xml:space="preserve">No intentar acceder, de manera no autorizada, a sistemas, bases de datos, infraestructura o información de otros usuarios de</w:t>
      </w:r>
      <w:r>
        <w:t xml:space="preserve"> </w:t>
      </w:r>
      <w:r>
        <w:rPr>
          <w:b/>
          <w:bCs/>
        </w:rPr>
        <w:t xml:space="preserve">LA PLATAFORMA</w:t>
      </w:r>
      <w:r>
        <w:t xml:space="preserve">.</w:t>
      </w:r>
    </w:p>
    <w:p>
      <w:pPr>
        <w:pStyle w:val="Compact"/>
        <w:numPr>
          <w:ilvl w:val="0"/>
          <w:numId w:val="1016"/>
        </w:numPr>
      </w:pPr>
      <w:r>
        <w:t xml:space="preserve">Mantener credenciales de acceso seguras y cambiarlas periódicamente; reportar inmediatamente cualquier acceso no autorizado o uso sospechoso a</w:t>
      </w:r>
      <w:r>
        <w:t xml:space="preserve"> </w:t>
      </w:r>
      <w:r>
        <w:rPr>
          <w:b/>
          <w:bCs/>
        </w:rPr>
        <w:t xml:space="preserve">FACTUS</w:t>
      </w:r>
      <w:r>
        <w:t xml:space="preserve">.</w:t>
      </w:r>
    </w:p>
    <w:p>
      <w:pPr>
        <w:pStyle w:val="Compact"/>
        <w:numPr>
          <w:ilvl w:val="0"/>
          <w:numId w:val="1016"/>
        </w:numPr>
      </w:pPr>
      <w:r>
        <w:t xml:space="preserve">Ser el único responsable de la relación comercial, técnica y legal con sus clientes finales.</w:t>
      </w:r>
    </w:p>
    <w:p>
      <w:pPr>
        <w:pStyle w:val="Compact"/>
        <w:numPr>
          <w:ilvl w:val="0"/>
          <w:numId w:val="1016"/>
        </w:numPr>
      </w:pPr>
      <w:r>
        <w:t xml:space="preserve">Verificar que sus clientes finales cumplan con todos los requisitos previos a emisión de documentos: certificación digital vigente, rangos de numeración autorizados ante la DIAN, datos tributarios exactos, información conforme normas vigentes.</w:t>
      </w:r>
      <w:r>
        <w:t xml:space="preserve"> </w:t>
      </w:r>
      <w:r>
        <w:rPr>
          <w:b/>
          <w:bCs/>
        </w:rPr>
        <w:t xml:space="preserve">EL RESELLER</w:t>
      </w:r>
      <w:r>
        <w:t xml:space="preserve"> </w:t>
      </w:r>
      <w:r>
        <w:t xml:space="preserve">se obliga a guiar, capacitar y validar que el cliente final cargue información correcta en</w:t>
      </w:r>
      <w:r>
        <w:t xml:space="preserve"> </w:t>
      </w:r>
      <w:r>
        <w:rPr>
          <w:b/>
          <w:bCs/>
        </w:rPr>
        <w:t xml:space="preserve">LA PLATAFORMA</w:t>
      </w:r>
      <w:r>
        <w:t xml:space="preserve"> </w:t>
      </w:r>
      <w:r>
        <w:t xml:space="preserve">de</w:t>
      </w:r>
      <w:r>
        <w:t xml:space="preserve"> </w:t>
      </w:r>
      <w:r>
        <w:rPr>
          <w:b/>
          <w:bCs/>
        </w:rPr>
        <w:t xml:space="preserve">FACTUS</w:t>
      </w:r>
      <w:r>
        <w:t xml:space="preserve"> </w:t>
      </w:r>
      <w:r>
        <w:t xml:space="preserve">o en canales alternativos que la DIAN designe.</w:t>
      </w:r>
      <w:r>
        <w:t xml:space="preserve"> </w:t>
      </w:r>
      <w:r>
        <w:rPr>
          <w:b/>
          <w:bCs/>
        </w:rPr>
        <w:t xml:space="preserve">FACTUS</w:t>
      </w:r>
      <w:r>
        <w:t xml:space="preserve"> </w:t>
      </w:r>
      <w:r>
        <w:t xml:space="preserve">únicamente procesa y transmite la información recibida; no realiza validación de legalidad, exactitud o cumplimiento tributario de documentos.</w:t>
      </w:r>
    </w:p>
    <w:p>
      <w:pPr>
        <w:pStyle w:val="Compact"/>
        <w:numPr>
          <w:ilvl w:val="0"/>
          <w:numId w:val="1016"/>
        </w:numPr>
      </w:pPr>
      <w:r>
        <w:t xml:space="preserve">Cumplir de conformidad con sus obligaciones tributarias propias (IVA, retención en la fuente, impuesto sobre la renta, reporte de beneficiarios finales).</w:t>
      </w:r>
    </w:p>
    <w:p>
      <w:pPr>
        <w:pStyle w:val="Compact"/>
        <w:numPr>
          <w:ilvl w:val="0"/>
          <w:numId w:val="1016"/>
        </w:numPr>
      </w:pPr>
      <w:r>
        <w:t xml:space="preserve">No revender, transferir, ceder ni permitir que terceros no autorizados accedan a su cuenta de usuario de</w:t>
      </w:r>
      <w:r>
        <w:t xml:space="preserve"> </w:t>
      </w:r>
      <w:r>
        <w:rPr>
          <w:b/>
          <w:bCs/>
        </w:rPr>
        <w:t xml:space="preserve">LA PLATAFORMA</w:t>
      </w:r>
      <w:r>
        <w:t xml:space="preserve"> </w:t>
      </w:r>
      <w:r>
        <w:t xml:space="preserve">sin consentimiento escrito de</w:t>
      </w:r>
      <w:r>
        <w:t xml:space="preserve"> </w:t>
      </w:r>
      <w:r>
        <w:rPr>
          <w:b/>
          <w:bCs/>
        </w:rPr>
        <w:t xml:space="preserve">FACTUS</w:t>
      </w:r>
      <w:r>
        <w:t xml:space="preserve">.</w:t>
      </w:r>
    </w:p>
    <w:bookmarkEnd w:id="940"/>
    <w:bookmarkStart w:id="941" w:name="X4e1f08b2102cfc2cfbf82336b0f2ebaa07e8f71"/>
    <w:p>
      <w:pPr>
        <w:pStyle w:val="Heading2"/>
      </w:pPr>
      <w:r>
        <w:t xml:space="preserve">8.2 Obligaciones específicas frente a LA/FT, corrupción y soborno</w:t>
      </w:r>
    </w:p>
    <w:p>
      <w:pPr>
        <w:pStyle w:val="FirstParagraph"/>
      </w:pPr>
      <w:r>
        <w:rPr>
          <w:b/>
          <w:bCs/>
        </w:rPr>
        <w:t xml:space="preserve">EL RESELLER</w:t>
      </w:r>
      <w:r>
        <w:t xml:space="preserve"> </w:t>
      </w:r>
      <w:r>
        <w:t xml:space="preserve">se obliga a:</w:t>
      </w:r>
    </w:p>
    <w:p>
      <w:pPr>
        <w:numPr>
          <w:ilvl w:val="0"/>
          <w:numId w:val="1017"/>
        </w:numPr>
      </w:pPr>
      <w:r>
        <w:rPr>
          <w:b/>
          <w:bCs/>
        </w:rPr>
        <w:t xml:space="preserve">En ningún caso</w:t>
      </w:r>
      <w:r>
        <w:t xml:space="preserve"> </w:t>
      </w:r>
      <w:r>
        <w:t xml:space="preserve">utilizar</w:t>
      </w:r>
      <w:r>
        <w:t xml:space="preserve"> </w:t>
      </w:r>
      <w:r>
        <w:rPr>
          <w:b/>
          <w:bCs/>
        </w:rPr>
        <w:t xml:space="preserve">LOS SERVICIOS</w:t>
      </w:r>
      <w:r>
        <w:t xml:space="preserve"> </w:t>
      </w:r>
      <w:r>
        <w:t xml:space="preserve">para fines ilícitos, tales como, pero sin limitarse a: lavado de activos, financiación del terrorismo, captación ilegal de dineros del público, fraude tributario, o incurrir en actos de corrupción, soborno, o pagos indebidos. El incumplimiento de esta obligación acarreará las consecuencias establecidas en la Cláusula Novena de este</w:t>
      </w:r>
      <w:r>
        <w:t xml:space="preserve"> </w:t>
      </w:r>
      <w:r>
        <w:rPr>
          <w:b/>
          <w:bCs/>
        </w:rPr>
        <w:t xml:space="preserve">CONTRATO</w:t>
      </w:r>
      <w:r>
        <w:t xml:space="preserve">.</w:t>
      </w:r>
    </w:p>
    <w:p>
      <w:pPr>
        <w:numPr>
          <w:ilvl w:val="0"/>
          <w:numId w:val="1017"/>
        </w:numPr>
      </w:pPr>
      <w:r>
        <w:t xml:space="preserve">Implementar un sistema de gestión de los riesgos de lavado de activos, financiación del terrorismo (LA/FT), corrupción y soborno, que comprenda procedimientos de debida diligencia aplicable a sus contrapartes, incluyendo empleados, contratistas, proveedores y clientes finales que utilicen</w:t>
      </w:r>
      <w:r>
        <w:t xml:space="preserve"> </w:t>
      </w:r>
      <w:r>
        <w:rPr>
          <w:b/>
          <w:bCs/>
        </w:rPr>
        <w:t xml:space="preserve">LA PLATAFORMA</w:t>
      </w:r>
      <w:r>
        <w:t xml:space="preserve">.</w:t>
      </w:r>
    </w:p>
    <w:p>
      <w:pPr>
        <w:numPr>
          <w:ilvl w:val="0"/>
          <w:numId w:val="1017"/>
        </w:numPr>
      </w:pPr>
      <w:r>
        <w:t xml:space="preserve">Adoptar controles internos eficientes y eficaces que prevengan la comisión de delitos tipificados en los artículos 323 (lavado de activos), 345 (financiación del terrorismo) y 441 (corrupción) de la Ley 599 de 2000, evitando incurrir en responsabilidad penal.</w:t>
      </w:r>
      <w:r>
        <w:t xml:space="preserve"> </w:t>
      </w:r>
      <w:r>
        <w:rPr>
          <w:b/>
          <w:bCs/>
        </w:rPr>
        <w:t xml:space="preserve">EL RESELLER</w:t>
      </w:r>
      <w:r>
        <w:t xml:space="preserve"> </w:t>
      </w:r>
      <w:r>
        <w:t xml:space="preserve">declara que ni sus trabajadores, socios ni administradores han sido imputados o condenados por estas conductas.</w:t>
      </w:r>
    </w:p>
    <w:p>
      <w:pPr>
        <w:numPr>
          <w:ilvl w:val="0"/>
          <w:numId w:val="1017"/>
        </w:numPr>
      </w:pPr>
      <w:r>
        <w:t xml:space="preserve">Reportar inmediatamente a</w:t>
      </w:r>
      <w:r>
        <w:t xml:space="preserve"> </w:t>
      </w:r>
      <w:r>
        <w:rPr>
          <w:b/>
          <w:bCs/>
        </w:rPr>
        <w:t xml:space="preserve">FACTUS</w:t>
      </w:r>
      <w:r>
        <w:t xml:space="preserve"> </w:t>
      </w:r>
      <w:r>
        <w:t xml:space="preserve">(correo de cumplimiento) todo pago, transacción, conducta sospechosa o indicio de delito tipificado en los artículos 323, 345 y 441 de la Ley 599 de 2000, así como cualquier conducta sospechosa que involucre a sus trabajadores, clientes finales o contrapartes que utilicen</w:t>
      </w:r>
      <w:r>
        <w:t xml:space="preserve"> </w:t>
      </w:r>
      <w:r>
        <w:rPr>
          <w:b/>
          <w:bCs/>
        </w:rPr>
        <w:t xml:space="preserve">LA PLATAFORMA</w:t>
      </w:r>
      <w:r>
        <w:t xml:space="preserve">.</w:t>
      </w:r>
    </w:p>
    <w:p>
      <w:pPr>
        <w:numPr>
          <w:ilvl w:val="0"/>
          <w:numId w:val="1017"/>
        </w:numPr>
      </w:pPr>
      <w:r>
        <w:t xml:space="preserve">Permitir que</w:t>
      </w:r>
      <w:r>
        <w:t xml:space="preserve"> </w:t>
      </w:r>
      <w:r>
        <w:rPr>
          <w:b/>
          <w:bCs/>
        </w:rPr>
        <w:t xml:space="preserve">FACTUS</w:t>
      </w:r>
      <w:r>
        <w:t xml:space="preserve">, a través de su área de cumplimiento o un tercero independiente, realice auditorías y verificaciones sobre el sistema de gestión de riesgos LA/FT, corrupción y soborno del</w:t>
      </w:r>
      <w:r>
        <w:t xml:space="preserve"> </w:t>
      </w:r>
      <w:r>
        <w:rPr>
          <w:b/>
          <w:bCs/>
        </w:rPr>
        <w:t xml:space="preserve">RESELLER</w:t>
      </w:r>
      <w:r>
        <w:t xml:space="preserve">.</w:t>
      </w:r>
    </w:p>
    <w:p>
      <w:pPr>
        <w:numPr>
          <w:ilvl w:val="0"/>
          <w:numId w:val="1017"/>
        </w:numPr>
      </w:pPr>
      <w:r>
        <w:t xml:space="preserve">Cooperar oportunamente y de buena fe con cualquier investigación que adelante</w:t>
      </w:r>
      <w:r>
        <w:t xml:space="preserve"> </w:t>
      </w:r>
      <w:r>
        <w:rPr>
          <w:b/>
          <w:bCs/>
        </w:rPr>
        <w:t xml:space="preserve">FACTUS</w:t>
      </w:r>
      <w:r>
        <w:t xml:space="preserve"> </w:t>
      </w:r>
      <w:r>
        <w:t xml:space="preserve">frente al conocimiento o indicio de conducta delictiva.</w:t>
      </w:r>
    </w:p>
    <w:p>
      <w:pPr>
        <w:numPr>
          <w:ilvl w:val="0"/>
          <w:numId w:val="1017"/>
        </w:numPr>
      </w:pPr>
      <w:r>
        <w:t xml:space="preserve">Suministrar, a petición de</w:t>
      </w:r>
      <w:r>
        <w:t xml:space="preserve"> </w:t>
      </w:r>
      <w:r>
        <w:rPr>
          <w:b/>
          <w:bCs/>
        </w:rPr>
        <w:t xml:space="preserve">FACTUS</w:t>
      </w:r>
      <w:r>
        <w:t xml:space="preserve">, copia de Manuales, Políticas, Procedimientos, Directrices o documentos que establezcan medidas para gestionar riesgos de lavado de activos, financiación del terrorismo, corrupción y soborno. Esta obligación podrá suplirse con certificación emitida por el oficial de cumplimiento o equivalente, en el sentido de contar con un sistema de administración de riesgos LA/FT adecuado.</w:t>
      </w:r>
    </w:p>
    <w:p>
      <w:pPr>
        <w:numPr>
          <w:ilvl w:val="0"/>
          <w:numId w:val="1017"/>
        </w:numPr>
      </w:pPr>
      <w:r>
        <w:t xml:space="preserve">Suministrar a</w:t>
      </w:r>
      <w:r>
        <w:t xml:space="preserve"> </w:t>
      </w:r>
      <w:r>
        <w:rPr>
          <w:b/>
          <w:bCs/>
        </w:rPr>
        <w:t xml:space="preserve">FACTUS</w:t>
      </w:r>
      <w:r>
        <w:t xml:space="preserve"> </w:t>
      </w:r>
      <w:r>
        <w:t xml:space="preserve">toda la información solicitada durante el proceso de vinculación y durante la vigencia de la relación contractual para llevar a cabo procesos internos de debida diligencia, incluyendo: conocimiento del cliente y beneficiarios finales (KYC), conocimiento del modelo de negocio (KYB), y conocimiento de información transaccional (KYT).</w:t>
      </w:r>
    </w:p>
    <w:p>
      <w:pPr>
        <w:numPr>
          <w:ilvl w:val="0"/>
          <w:numId w:val="1017"/>
        </w:numPr>
      </w:pPr>
      <w:r>
        <w:t xml:space="preserve">Actualizar la información suministrada a</w:t>
      </w:r>
      <w:r>
        <w:t xml:space="preserve"> </w:t>
      </w:r>
      <w:r>
        <w:rPr>
          <w:b/>
          <w:bCs/>
        </w:rPr>
        <w:t xml:space="preserve">FACTUS</w:t>
      </w:r>
      <w:r>
        <w:t xml:space="preserve"> </w:t>
      </w:r>
      <w:r>
        <w:t xml:space="preserve">durante el proceso de vinculación, por lo menos una vez al año o cuando</w:t>
      </w:r>
      <w:r>
        <w:t xml:space="preserve"> </w:t>
      </w:r>
      <w:r>
        <w:rPr>
          <w:b/>
          <w:bCs/>
        </w:rPr>
        <w:t xml:space="preserve">FACTUS</w:t>
      </w:r>
      <w:r>
        <w:t xml:space="preserve"> </w:t>
      </w:r>
      <w:r>
        <w:t xml:space="preserve">lo requiera.</w:t>
      </w:r>
    </w:p>
    <w:p>
      <w:pPr>
        <w:numPr>
          <w:ilvl w:val="0"/>
          <w:numId w:val="1017"/>
        </w:numPr>
      </w:pPr>
      <w:r>
        <w:t xml:space="preserve">Informar a</w:t>
      </w:r>
      <w:r>
        <w:t xml:space="preserve"> </w:t>
      </w:r>
      <w:r>
        <w:rPr>
          <w:b/>
          <w:bCs/>
        </w:rPr>
        <w:t xml:space="preserve">FACTUS</w:t>
      </w:r>
      <w:r>
        <w:t xml:space="preserve">, de manera inmediata, cualquier requerimiento proveniente de autoridad competente que pudiera tener impacto en la prestación de</w:t>
      </w:r>
      <w:r>
        <w:t xml:space="preserve"> </w:t>
      </w:r>
      <w:r>
        <w:rPr>
          <w:b/>
          <w:bCs/>
        </w:rPr>
        <w:t xml:space="preserve">LOS SERVICIOS</w:t>
      </w:r>
      <w:r>
        <w:t xml:space="preserve">, incluyendo notificaciones sobre investigaciones por lavado de activos, financiación del terrorismo, corrupción, soborno, incumplimiento tributario o cualquier otra materia que afecte la integridad de la relación contractual.</w:t>
      </w:r>
    </w:p>
    <w:p>
      <w:pPr>
        <w:numPr>
          <w:ilvl w:val="0"/>
          <w:numId w:val="1017"/>
        </w:numPr>
      </w:pPr>
      <w:r>
        <w:t xml:space="preserve">Mantener indemne a</w:t>
      </w:r>
      <w:r>
        <w:t xml:space="preserve"> </w:t>
      </w:r>
      <w:r>
        <w:rPr>
          <w:b/>
          <w:bCs/>
        </w:rPr>
        <w:t xml:space="preserve">FACTUS</w:t>
      </w:r>
      <w:r>
        <w:t xml:space="preserve"> </w:t>
      </w:r>
      <w:r>
        <w:t xml:space="preserve">por cualquier perjuicio causado a su reputación, integridad, imagen, o cualquier daño patrimonial, como consecuencia de la realización de conductas contrarias a la ley penal, leyes de lavado de activos o a este</w:t>
      </w:r>
      <w:r>
        <w:t xml:space="preserve"> </w:t>
      </w:r>
      <w:r>
        <w:rPr>
          <w:b/>
          <w:bCs/>
        </w:rPr>
        <w:t xml:space="preserve">CONTRATO</w:t>
      </w:r>
      <w:r>
        <w:t xml:space="preserve">.</w:t>
      </w:r>
    </w:p>
    <w:bookmarkEnd w:id="941"/>
    <w:bookmarkStart w:id="942" w:name="prohibiciones-expresas"/>
    <w:p>
      <w:pPr>
        <w:pStyle w:val="Heading2"/>
      </w:pPr>
      <w:r>
        <w:t xml:space="preserve">8.3 Prohibiciones expresas</w:t>
      </w:r>
    </w:p>
    <w:p>
      <w:pPr>
        <w:pStyle w:val="FirstParagraph"/>
      </w:pPr>
      <w:r>
        <w:rPr>
          <w:b/>
          <w:bCs/>
        </w:rPr>
        <w:t xml:space="preserve">EL RESELLER</w:t>
      </w:r>
      <w:r>
        <w:t xml:space="preserve"> </w:t>
      </w:r>
      <w:r>
        <w:t xml:space="preserve">se abstiene de:</w:t>
      </w:r>
    </w:p>
    <w:p>
      <w:pPr>
        <w:numPr>
          <w:ilvl w:val="0"/>
          <w:numId w:val="1018"/>
        </w:numPr>
      </w:pPr>
      <w:r>
        <w:t xml:space="preserve">Intentar acceso no autorizado, interferencia, modificación o ataque a infraestructura de</w:t>
      </w:r>
      <w:r>
        <w:t xml:space="preserve"> </w:t>
      </w:r>
      <w:r>
        <w:rPr>
          <w:b/>
          <w:bCs/>
        </w:rPr>
        <w:t xml:space="preserve">FACTUS</w:t>
      </w:r>
      <w:r>
        <w:t xml:space="preserve">, incluyendo servidores, bases de datos, código fuente, aplicaciones, interfaces de programación (API), certificados digitales o componentes del sistema. Se prohiben expresamente ingeniería inversa, análisis de vulnerabilidades, ataques DDoS o pruebas de penetración sin autorización previa por escrito.</w:t>
      </w:r>
    </w:p>
    <w:p>
      <w:pPr>
        <w:numPr>
          <w:ilvl w:val="0"/>
          <w:numId w:val="1018"/>
        </w:numPr>
      </w:pPr>
      <w:r>
        <w:t xml:space="preserve">Utilizar</w:t>
      </w:r>
      <w:r>
        <w:t xml:space="preserve"> </w:t>
      </w:r>
      <w:r>
        <w:rPr>
          <w:b/>
          <w:bCs/>
        </w:rPr>
        <w:t xml:space="preserve">LA PLATAFORMA</w:t>
      </w:r>
      <w:r>
        <w:t xml:space="preserve"> </w:t>
      </w:r>
      <w:r>
        <w:t xml:space="preserve">para emisión, validación o radicación de documentos que, a su conocimiento o del cliente final, adolezcan de falsedad en datos, incumplan normas tributarias, faciliten lavado de activos, financiación del terrorismo, fraude, o cualquier operación ilícita, en los términos de los artículos 323 y 345 de la Ley 599 de 2000 (Código Penal).</w:t>
      </w:r>
    </w:p>
    <w:p>
      <w:pPr>
        <w:numPr>
          <w:ilvl w:val="0"/>
          <w:numId w:val="1018"/>
        </w:numPr>
      </w:pPr>
      <w:r>
        <w:t xml:space="preserve">Reproducir, adaptar, traducir, modificar, descompilar, crear trabajos derivados o distribuir, bajo ninguna forma (comercial o no), el software, aplicaciones, metodologías, especificaciones, documentación técnica o secretos comerciales de</w:t>
      </w:r>
      <w:r>
        <w:t xml:space="preserve"> </w:t>
      </w:r>
      <w:r>
        <w:rPr>
          <w:b/>
          <w:bCs/>
        </w:rPr>
        <w:t xml:space="preserve">FACTUS</w:t>
      </w:r>
      <w:r>
        <w:t xml:space="preserve">.</w:t>
      </w:r>
    </w:p>
    <w:p>
      <w:pPr>
        <w:numPr>
          <w:ilvl w:val="0"/>
          <w:numId w:val="1018"/>
        </w:numPr>
      </w:pPr>
      <w:r>
        <w:t xml:space="preserve">Usar credenciales de acceso asignadas en nombre de terceros no autorizados, o transferir, ceder, gravar o permitir acceso a</w:t>
      </w:r>
      <w:r>
        <w:t xml:space="preserve"> </w:t>
      </w:r>
      <w:r>
        <w:rPr>
          <w:b/>
          <w:bCs/>
        </w:rPr>
        <w:t xml:space="preserve">LA PLATAFORMA</w:t>
      </w:r>
      <w:r>
        <w:t xml:space="preserve"> </w:t>
      </w:r>
      <w:r>
        <w:t xml:space="preserve">sin consentimiento expreso de</w:t>
      </w:r>
      <w:r>
        <w:t xml:space="preserve"> </w:t>
      </w:r>
      <w:r>
        <w:rPr>
          <w:b/>
          <w:bCs/>
        </w:rPr>
        <w:t xml:space="preserve">FACTUS</w:t>
      </w:r>
      <w:r>
        <w:t xml:space="preserve">.</w:t>
      </w:r>
    </w:p>
    <w:p>
      <w:pPr>
        <w:numPr>
          <w:ilvl w:val="0"/>
          <w:numId w:val="1018"/>
        </w:numPr>
      </w:pPr>
      <w:r>
        <w:t xml:space="preserve">Realizar cambios no autorizados en configuración de clientes finales, emisión de documentos en nombre ajeno, o cualquier acción que simulate titularidad de terceros.</w:t>
      </w:r>
    </w:p>
    <w:p>
      <w:r>
        <w:pict>
          <v:rect style="width:0;height:1.5pt" o:hralign="center" o:hrstd="t" o:hr="t"/>
        </w:pict>
      </w:r>
    </w:p>
    <w:bookmarkEnd w:id="942"/>
    <w:bookmarkEnd w:id="943"/>
    <w:bookmarkStart w:id="946" w:name="Xda3f38155c6675e57393e526a259c153cfae808"/>
    <w:p>
      <w:pPr>
        <w:pStyle w:val="Heading1"/>
      </w:pPr>
      <w:r>
        <w:t xml:space="preserve">9. DECLARACIONES Y OBLIGACIONES FRENTE A LOS RIESGOS DE LAVADO DE ACTIVOS, FINANCIACIÓN DEL TERRORISMO, CORRUPCIÓN Y/O SOBORRO</w:t>
      </w:r>
    </w:p>
    <w:bookmarkStart w:id="944" w:name="declaraciones-conjuntas"/>
    <w:p>
      <w:pPr>
        <w:pStyle w:val="Heading2"/>
      </w:pPr>
      <w:r>
        <w:t xml:space="preserve">9.1 Declaraciones conjuntas</w:t>
      </w:r>
    </w:p>
    <w:p>
      <w:pPr>
        <w:pStyle w:val="FirstParagraph"/>
      </w:pPr>
      <w:r>
        <w:rPr>
          <w:b/>
          <w:bCs/>
        </w:rPr>
        <w:t xml:space="preserve">LAS PARTES</w:t>
      </w:r>
      <w:r>
        <w:t xml:space="preserve"> </w:t>
      </w:r>
      <w:r>
        <w:t xml:space="preserve">declaran y certifican que:</w:t>
      </w:r>
    </w:p>
    <w:p>
      <w:pPr>
        <w:numPr>
          <w:ilvl w:val="0"/>
          <w:numId w:val="1019"/>
        </w:numPr>
      </w:pPr>
      <w:r>
        <w:t xml:space="preserve">Sus recursos provienen única y exclusivamente de actividades lícitas y no provienen, ni se destinan, ni tienen relación con actividad ilícita alguna.</w:t>
      </w:r>
    </w:p>
    <w:p>
      <w:pPr>
        <w:numPr>
          <w:ilvl w:val="0"/>
          <w:numId w:val="1019"/>
        </w:numPr>
      </w:pPr>
      <w:r>
        <w:t xml:space="preserve">Ninguno de sus accionistas, administradores, representantes legales, empleados o beneficiarios finales se encuentra reportado en listas vinculantes para Colombia (OFAC, PEP, listas UIAF o equivalentes).</w:t>
      </w:r>
    </w:p>
    <w:p>
      <w:pPr>
        <w:numPr>
          <w:ilvl w:val="0"/>
          <w:numId w:val="1019"/>
        </w:numPr>
      </w:pPr>
      <w:r>
        <w:t xml:space="preserve">No ha aceptado, ni aceptará, ninguna oferta, promesa de entrega, ni ha entregado objeto de valor o dinero alguno; tampoco ha aceptado ni aceptará soborno, pago indebido, pago corrupto, o pago ilegal a funcionario de gobierno para obtener o mantener negocio, obtener ventaja indebida, o influenciar acto o decisión de administración pública.</w:t>
      </w:r>
    </w:p>
    <w:p>
      <w:pPr>
        <w:numPr>
          <w:ilvl w:val="0"/>
          <w:numId w:val="1019"/>
        </w:numPr>
      </w:pPr>
      <w:r>
        <w:t xml:space="preserve">Ha adoptado medidas internas suficientes y adecuadas para la gestión de riesgos de lavado de activos, financiación del terrorismo, corrupción y soborno.</w:t>
      </w:r>
    </w:p>
    <w:bookmarkEnd w:id="944"/>
    <w:bookmarkStart w:id="945" w:name="X094704cd683b6555b7eddc7fcbd4d69c3fc03fb"/>
    <w:p>
      <w:pPr>
        <w:pStyle w:val="Heading2"/>
      </w:pPr>
      <w:r>
        <w:t xml:space="preserve">9.2 Incumplimiento de obligaciones LA/FT — causales de terminación inmediata</w:t>
      </w:r>
    </w:p>
    <w:p>
      <w:pPr>
        <w:pStyle w:val="FirstParagraph"/>
      </w:pPr>
      <w:r>
        <w:rPr>
          <w:b/>
          <w:bCs/>
        </w:rPr>
        <w:t xml:space="preserve">FACTUS</w:t>
      </w:r>
      <w:r>
        <w:t xml:space="preserve"> </w:t>
      </w:r>
      <w:r>
        <w:t xml:space="preserve">podrá dar por terminado el presente</w:t>
      </w:r>
      <w:r>
        <w:t xml:space="preserve"> </w:t>
      </w:r>
      <w:r>
        <w:rPr>
          <w:b/>
          <w:bCs/>
        </w:rPr>
        <w:t xml:space="preserve">CONTRATO</w:t>
      </w:r>
      <w:r>
        <w:t xml:space="preserve"> </w:t>
      </w:r>
      <w:r>
        <w:t xml:space="preserve">de manera unilateral, inmediata y sin necesidad de previo aviso, período de cura o pronunciamiento judicial, cuando se presente cualquiera de las siguientes causales de riesgo:</w:t>
      </w:r>
    </w:p>
    <w:p>
      <w:pPr>
        <w:numPr>
          <w:ilvl w:val="0"/>
          <w:numId w:val="1020"/>
        </w:numPr>
      </w:pPr>
      <w:r>
        <w:rPr>
          <w:b/>
          <w:bCs/>
        </w:rPr>
        <w:t xml:space="preserve">Falta de Diligencia en LA/FT:</w:t>
      </w:r>
      <w:r>
        <w:t xml:space="preserve"> </w:t>
      </w:r>
      <w:r>
        <w:t xml:space="preserve">Cuando</w:t>
      </w:r>
      <w:r>
        <w:t xml:space="preserve"> </w:t>
      </w:r>
      <w:r>
        <w:rPr>
          <w:b/>
          <w:bCs/>
        </w:rPr>
        <w:t xml:space="preserve">FACTUS</w:t>
      </w:r>
      <w:r>
        <w:t xml:space="preserve"> </w:t>
      </w:r>
      <w:r>
        <w:t xml:space="preserve">infiera razonablemente que</w:t>
      </w:r>
      <w:r>
        <w:t xml:space="preserve"> </w:t>
      </w:r>
      <w:r>
        <w:rPr>
          <w:b/>
          <w:bCs/>
        </w:rPr>
        <w:t xml:space="preserve">EL RESELLER</w:t>
      </w:r>
      <w:r>
        <w:t xml:space="preserve"> </w:t>
      </w:r>
      <w:r>
        <w:t xml:space="preserve">no aplica medidas mínimas de debida diligencia en la gestión del riesgo de lavado de activos, financiación del terrorismo, corrupción y/o soborno respecto de sus contrapartes, incluyendo clientes finales que utilicen</w:t>
      </w:r>
      <w:r>
        <w:t xml:space="preserve"> </w:t>
      </w:r>
      <w:r>
        <w:rPr>
          <w:b/>
          <w:bCs/>
        </w:rPr>
        <w:t xml:space="preserve">LA PLATAFORMA</w:t>
      </w:r>
      <w:r>
        <w:t xml:space="preserve">.</w:t>
      </w:r>
    </w:p>
    <w:p>
      <w:pPr>
        <w:numPr>
          <w:ilvl w:val="0"/>
          <w:numId w:val="1020"/>
        </w:numPr>
      </w:pPr>
      <w:r>
        <w:rPr>
          <w:b/>
          <w:bCs/>
        </w:rPr>
        <w:t xml:space="preserve">Riesgo de Contagio o Asociación:</w:t>
      </w:r>
      <w:r>
        <w:t xml:space="preserve"> </w:t>
      </w:r>
      <w:r>
        <w:t xml:space="preserve">Cuando</w:t>
      </w:r>
      <w:r>
        <w:t xml:space="preserve"> </w:t>
      </w:r>
      <w:r>
        <w:rPr>
          <w:b/>
          <w:bCs/>
        </w:rPr>
        <w:t xml:space="preserve">EL RESELLER</w:t>
      </w:r>
      <w:r>
        <w:t xml:space="preserve">, sus accionistas, representantes legales, beneficiarios finales, o clientes finales que utilicen</w:t>
      </w:r>
      <w:r>
        <w:t xml:space="preserve"> </w:t>
      </w:r>
      <w:r>
        <w:rPr>
          <w:b/>
          <w:bCs/>
        </w:rPr>
        <w:t xml:space="preserve">LA PLATAFORMA</w:t>
      </w:r>
      <w:r>
        <w:t xml:space="preserve">, sean vinculados a investigaciones, procesos judiciales, noticias criminales, reportes en listas restrictivas/vinculantes relacionados con lavado de activos, financiación del terrorismo, delitos contra administración pública, corrupción o soborno.</w:t>
      </w:r>
    </w:p>
    <w:p>
      <w:pPr>
        <w:numPr>
          <w:ilvl w:val="0"/>
          <w:numId w:val="1020"/>
        </w:numPr>
      </w:pPr>
      <w:r>
        <w:rPr>
          <w:b/>
          <w:bCs/>
        </w:rPr>
        <w:t xml:space="preserve">Riesgo Reputacional:</w:t>
      </w:r>
      <w:r>
        <w:t xml:space="preserve"> </w:t>
      </w:r>
      <w:r>
        <w:t xml:space="preserve">Cuando la continuidad del vínculo contractual con</w:t>
      </w:r>
      <w:r>
        <w:t xml:space="preserve"> </w:t>
      </w:r>
      <w:r>
        <w:rPr>
          <w:b/>
          <w:bCs/>
        </w:rPr>
        <w:t xml:space="preserve">EL RESELLER</w:t>
      </w:r>
      <w:r>
        <w:t xml:space="preserve"> </w:t>
      </w:r>
      <w:r>
        <w:t xml:space="preserve">pueda, a juicio razonable de</w:t>
      </w:r>
      <w:r>
        <w:t xml:space="preserve"> </w:t>
      </w:r>
      <w:r>
        <w:rPr>
          <w:b/>
          <w:bCs/>
        </w:rPr>
        <w:t xml:space="preserve">FACTUS</w:t>
      </w:r>
      <w:r>
        <w:t xml:space="preserve">, afectar la reputación de</w:t>
      </w:r>
      <w:r>
        <w:t xml:space="preserve"> </w:t>
      </w:r>
      <w:r>
        <w:rPr>
          <w:b/>
          <w:bCs/>
        </w:rPr>
        <w:t xml:space="preserve">FACTUS</w:t>
      </w:r>
      <w:r>
        <w:t xml:space="preserve">, sus relaciones con entidades financieras aliadas, reguladores, autoridades administrativas o autoridades de control.</w:t>
      </w:r>
    </w:p>
    <w:p>
      <w:pPr>
        <w:numPr>
          <w:ilvl w:val="0"/>
          <w:numId w:val="1020"/>
        </w:numPr>
      </w:pPr>
      <w:r>
        <w:rPr>
          <w:b/>
          <w:bCs/>
        </w:rPr>
        <w:t xml:space="preserve">Incumplimiento de Obligaciones LA/FT Específicas:</w:t>
      </w:r>
      <w:r>
        <w:t xml:space="preserve"> </w:t>
      </w:r>
      <w:r>
        <w:t xml:space="preserve">Cuando</w:t>
      </w:r>
      <w:r>
        <w:t xml:space="preserve"> </w:t>
      </w:r>
      <w:r>
        <w:rPr>
          <w:b/>
          <w:bCs/>
        </w:rPr>
        <w:t xml:space="preserve">EL RESELLER</w:t>
      </w:r>
      <w:r>
        <w:t xml:space="preserve"> </w:t>
      </w:r>
      <w:r>
        <w:t xml:space="preserve">incumpla obligaciones específicas descritas en la Sección 8.2 de este</w:t>
      </w:r>
      <w:r>
        <w:t xml:space="preserve"> </w:t>
      </w:r>
      <w:r>
        <w:rPr>
          <w:b/>
          <w:bCs/>
        </w:rPr>
        <w:t xml:space="preserve">CONTRATO</w:t>
      </w:r>
      <w:r>
        <w:t xml:space="preserve">, incluyendo falta de reportes de conducta sospechosa, negativa a someterse a auditorías de cumplimiento, o falta de suministro de información sobre gestión de riesgos.</w:t>
      </w:r>
    </w:p>
    <w:p>
      <w:pPr>
        <w:pStyle w:val="FirstParagraph"/>
      </w:pPr>
      <w:r>
        <w:rPr>
          <w:b/>
          <w:bCs/>
        </w:rPr>
        <w:t xml:space="preserve">Parágrafo — Terminación de Pleno Derecho:</w:t>
      </w:r>
      <w:r>
        <w:t xml:space="preserve"> </w:t>
      </w:r>
      <w:r>
        <w:t xml:space="preserve">La terminación bajo esta cláusula opera de pleno derecho, de forma automática, inmediata y sin necesidad de notificación previa, período de subsanación, pronunciamiento judicial ni arbitral. Esta terminación no dará lugar a indemnización alguna a favor de</w:t>
      </w:r>
      <w:r>
        <w:t xml:space="preserve"> </w:t>
      </w:r>
      <w:r>
        <w:rPr>
          <w:b/>
          <w:bCs/>
        </w:rPr>
        <w:t xml:space="preserve">EL RESELLER</w:t>
      </w:r>
      <w:r>
        <w:t xml:space="preserve"> </w:t>
      </w:r>
      <w:r>
        <w:t xml:space="preserve">y facultará a</w:t>
      </w:r>
      <w:r>
        <w:t xml:space="preserve"> </w:t>
      </w:r>
      <w:r>
        <w:rPr>
          <w:b/>
          <w:bCs/>
        </w:rPr>
        <w:t xml:space="preserve">FACTUS</w:t>
      </w:r>
      <w:r>
        <w:t xml:space="preserve"> </w:t>
      </w:r>
      <w:r>
        <w:t xml:space="preserve">para la desconexión técnica inmediata de</w:t>
      </w:r>
      <w:r>
        <w:t xml:space="preserve"> </w:t>
      </w:r>
      <w:r>
        <w:rPr>
          <w:b/>
          <w:bCs/>
        </w:rPr>
        <w:t xml:space="preserve">LOS SERVICIOS</w:t>
      </w:r>
      <w:r>
        <w:t xml:space="preserve">, sin obligación de reembolso de valores pagados.</w:t>
      </w:r>
    </w:p>
    <w:p>
      <w:r>
        <w:pict>
          <v:rect style="width:0;height:1.5pt" o:hralign="center" o:hrstd="t" o:hr="t"/>
        </w:pict>
      </w:r>
    </w:p>
    <w:bookmarkEnd w:id="945"/>
    <w:bookmarkEnd w:id="946"/>
    <w:bookmarkStart w:id="952" w:name="X47c23ff87bf02109dd27b96e699dc6ac3317bc5"/>
    <w:p>
      <w:pPr>
        <w:pStyle w:val="Heading1"/>
      </w:pPr>
      <w:r>
        <w:t xml:space="preserve">10. PROTECCIÓN DE DATOS PERSONALES Y CONFIDENCIALIDAD</w:t>
      </w:r>
    </w:p>
    <w:bookmarkStart w:id="947" w:name="marco-normativo"/>
    <w:p>
      <w:pPr>
        <w:pStyle w:val="Heading2"/>
      </w:pPr>
      <w:r>
        <w:t xml:space="preserve">10.1 Marco normativo</w:t>
      </w:r>
    </w:p>
    <w:p>
      <w:pPr>
        <w:pStyle w:val="FirstParagraph"/>
      </w:pPr>
      <w:r>
        <w:t xml:space="preserve">Las partes reconocen que la relación genera intercambio de datos personales (datos tributarios de clientes finales del</w:t>
      </w:r>
      <w:r>
        <w:t xml:space="preserve"> </w:t>
      </w:r>
      <w:r>
        <w:rPr>
          <w:b/>
          <w:bCs/>
        </w:rPr>
        <w:t xml:space="preserve">RESELLER</w:t>
      </w:r>
      <w:r>
        <w:t xml:space="preserve">, información de contacto, datos transaccionales). Ambas se someten de conformidad con la Ley 1581 de 2012, el Decreto 1377 de 2013 y demás normativa vigente sobre protección de datos personales en Colombia, bajo la vigilancia de la Superintendencia de Industria y Comercio.</w:t>
      </w:r>
    </w:p>
    <w:bookmarkEnd w:id="947"/>
    <w:bookmarkStart w:id="948" w:name="roles-y-responsabilidades"/>
    <w:p>
      <w:pPr>
        <w:pStyle w:val="Heading2"/>
      </w:pPr>
      <w:r>
        <w:t xml:space="preserve">10.2 Roles y responsabilidades</w:t>
      </w:r>
    </w:p>
    <w:p>
      <w:pPr>
        <w:pStyle w:val="Compact"/>
        <w:numPr>
          <w:ilvl w:val="0"/>
          <w:numId w:val="1021"/>
        </w:numPr>
      </w:pPr>
      <w:r>
        <w:rPr>
          <w:b/>
          <w:bCs/>
        </w:rPr>
        <w:t xml:space="preserve">FACTUS</w:t>
      </w:r>
      <w:r>
        <w:t xml:space="preserve"> </w:t>
      </w:r>
      <w:r>
        <w:t xml:space="preserve">actúa como</w:t>
      </w:r>
      <w:r>
        <w:t xml:space="preserve"> </w:t>
      </w:r>
      <w:r>
        <w:rPr>
          <w:b/>
          <w:bCs/>
        </w:rPr>
        <w:t xml:space="preserve">Responsable del Tratamiento</w:t>
      </w:r>
      <w:r>
        <w:t xml:space="preserve"> </w:t>
      </w:r>
      <w:r>
        <w:t xml:space="preserve">de datos que le transmita</w:t>
      </w:r>
      <w:r>
        <w:t xml:space="preserve"> </w:t>
      </w:r>
      <w:r>
        <w:rPr>
          <w:b/>
          <w:bCs/>
        </w:rPr>
        <w:t xml:space="preserve">EL RESELLER</w:t>
      </w:r>
      <w:r>
        <w:t xml:space="preserve">, y como</w:t>
      </w:r>
      <w:r>
        <w:t xml:space="preserve"> </w:t>
      </w:r>
      <w:r>
        <w:rPr>
          <w:b/>
          <w:bCs/>
        </w:rPr>
        <w:t xml:space="preserve">Encargado</w:t>
      </w:r>
      <w:r>
        <w:t xml:space="preserve"> </w:t>
      </w:r>
      <w:r>
        <w:t xml:space="preserve">de datos del cliente final que radica documentos (bajo instrucción de</w:t>
      </w:r>
      <w:r>
        <w:t xml:space="preserve"> </w:t>
      </w:r>
      <w:r>
        <w:rPr>
          <w:b/>
          <w:bCs/>
        </w:rPr>
        <w:t xml:space="preserve">EL RESELLER</w:t>
      </w:r>
      <w:r>
        <w:t xml:space="preserve">).</w:t>
      </w:r>
    </w:p>
    <w:p>
      <w:pPr>
        <w:pStyle w:val="Compact"/>
        <w:numPr>
          <w:ilvl w:val="0"/>
          <w:numId w:val="1021"/>
        </w:numPr>
      </w:pPr>
      <w:r>
        <w:rPr>
          <w:b/>
          <w:bCs/>
        </w:rPr>
        <w:t xml:space="preserve">EL RESELLER</w:t>
      </w:r>
      <w:r>
        <w:t xml:space="preserve"> </w:t>
      </w:r>
      <w:r>
        <w:t xml:space="preserve">es</w:t>
      </w:r>
      <w:r>
        <w:t xml:space="preserve"> </w:t>
      </w:r>
      <w:r>
        <w:rPr>
          <w:b/>
          <w:bCs/>
        </w:rPr>
        <w:t xml:space="preserve">Responsable del Tratamiento</w:t>
      </w:r>
      <w:r>
        <w:t xml:space="preserve"> </w:t>
      </w:r>
      <w:r>
        <w:t xml:space="preserve">de datos que recolecta de sus clientes finales y transmite a</w:t>
      </w:r>
      <w:r>
        <w:t xml:space="preserve"> </w:t>
      </w:r>
      <w:r>
        <w:rPr>
          <w:b/>
          <w:bCs/>
        </w:rPr>
        <w:t xml:space="preserve">FACTUS</w:t>
      </w:r>
      <w:r>
        <w:t xml:space="preserve">; garantiza autorización previa, expresa e informada de los titulares.</w:t>
      </w:r>
    </w:p>
    <w:bookmarkEnd w:id="948"/>
    <w:bookmarkStart w:id="949" w:name="finalidades-del-tratamiento"/>
    <w:p>
      <w:pPr>
        <w:pStyle w:val="Heading2"/>
      </w:pPr>
      <w:r>
        <w:t xml:space="preserve">10.3 Finalidades del tratamiento</w:t>
      </w:r>
    </w:p>
    <w:p>
      <w:pPr>
        <w:pStyle w:val="FirstParagraph"/>
      </w:pPr>
      <w:r>
        <w:t xml:space="preserve">Los datos se tratan exclusivamente para:</w:t>
      </w:r>
    </w:p>
    <w:p>
      <w:pPr>
        <w:pStyle w:val="Compact"/>
        <w:numPr>
          <w:ilvl w:val="0"/>
          <w:numId w:val="1022"/>
        </w:numPr>
      </w:pPr>
      <w:r>
        <w:t xml:space="preserve">Emitir y radicar documentos electrónicos ante la DIAN.</w:t>
      </w:r>
    </w:p>
    <w:p>
      <w:pPr>
        <w:pStyle w:val="Compact"/>
        <w:numPr>
          <w:ilvl w:val="0"/>
          <w:numId w:val="1022"/>
        </w:numPr>
      </w:pPr>
      <w:r>
        <w:t xml:space="preserve">Reportar estado de documentos y consulta de eventos técnicos.</w:t>
      </w:r>
    </w:p>
    <w:p>
      <w:pPr>
        <w:pStyle w:val="Compact"/>
        <w:numPr>
          <w:ilvl w:val="0"/>
          <w:numId w:val="1022"/>
        </w:numPr>
      </w:pPr>
      <w:r>
        <w:t xml:space="preserve">Gestión contable y tributaria de</w:t>
      </w:r>
      <w:r>
        <w:t xml:space="preserve"> </w:t>
      </w:r>
      <w:r>
        <w:rPr>
          <w:b/>
          <w:bCs/>
        </w:rPr>
        <w:t xml:space="preserve">EL RESELLER</w:t>
      </w:r>
      <w:r>
        <w:t xml:space="preserve">.</w:t>
      </w:r>
    </w:p>
    <w:p>
      <w:pPr>
        <w:pStyle w:val="Compact"/>
        <w:numPr>
          <w:ilvl w:val="0"/>
          <w:numId w:val="1022"/>
        </w:numPr>
      </w:pPr>
      <w:r>
        <w:t xml:space="preserve">Cumplimiento de obligaciones legales frente a autoridades (DIAN, fiscalía, superintendencias).</w:t>
      </w:r>
    </w:p>
    <w:p>
      <w:pPr>
        <w:pStyle w:val="Compact"/>
        <w:numPr>
          <w:ilvl w:val="0"/>
          <w:numId w:val="1022"/>
        </w:numPr>
      </w:pPr>
      <w:r>
        <w:t xml:space="preserve">Prevención y detección de lavado de activos, financiación del terrorismo, fraude.</w:t>
      </w:r>
    </w:p>
    <w:bookmarkEnd w:id="949"/>
    <w:bookmarkStart w:id="950" w:name="confidencialidad-y-controles-técnicos"/>
    <w:p>
      <w:pPr>
        <w:pStyle w:val="Heading2"/>
      </w:pPr>
      <w:r>
        <w:t xml:space="preserve">10.4 Confidencialidad y controles técnicos</w:t>
      </w:r>
    </w:p>
    <w:p>
      <w:pPr>
        <w:pStyle w:val="FirstParagraph"/>
      </w:pPr>
      <w:r>
        <w:t xml:space="preserve">Ambas partes guardan absoluta confidencialidad sobre información de la otra:</w:t>
      </w:r>
    </w:p>
    <w:p>
      <w:pPr>
        <w:pStyle w:val="Compact"/>
        <w:numPr>
          <w:ilvl w:val="0"/>
          <w:numId w:val="1023"/>
        </w:numPr>
      </w:pPr>
      <w:r>
        <w:rPr>
          <w:b/>
          <w:bCs/>
        </w:rPr>
        <w:t xml:space="preserve">FACTUS</w:t>
      </w:r>
      <w:r>
        <w:t xml:space="preserve"> </w:t>
      </w:r>
      <w:r>
        <w:t xml:space="preserve">no revela datos del</w:t>
      </w:r>
      <w:r>
        <w:t xml:space="preserve"> </w:t>
      </w:r>
      <w:r>
        <w:rPr>
          <w:b/>
          <w:bCs/>
        </w:rPr>
        <w:t xml:space="preserve">RESELLER</w:t>
      </w:r>
      <w:r>
        <w:t xml:space="preserve"> </w:t>
      </w:r>
      <w:r>
        <w:t xml:space="preserve">a otros resellers, proveedores o terceros sin autorización expresa.</w:t>
      </w:r>
    </w:p>
    <w:p>
      <w:pPr>
        <w:pStyle w:val="Compact"/>
        <w:numPr>
          <w:ilvl w:val="0"/>
          <w:numId w:val="1023"/>
        </w:numPr>
      </w:pPr>
      <w:r>
        <w:rPr>
          <w:b/>
          <w:bCs/>
        </w:rPr>
        <w:t xml:space="preserve">EL RESELLER</w:t>
      </w:r>
      <w:r>
        <w:t xml:space="preserve"> </w:t>
      </w:r>
      <w:r>
        <w:t xml:space="preserve">no divulga credenciales de acceso, información técnica interna de</w:t>
      </w:r>
      <w:r>
        <w:t xml:space="preserve"> </w:t>
      </w:r>
      <w:r>
        <w:rPr>
          <w:b/>
          <w:bCs/>
        </w:rPr>
        <w:t xml:space="preserve">FACTUS</w:t>
      </w:r>
      <w:r>
        <w:t xml:space="preserve">, términos comerciales de este</w:t>
      </w:r>
      <w:r>
        <w:t xml:space="preserve"> </w:t>
      </w:r>
      <w:r>
        <w:rPr>
          <w:b/>
          <w:bCs/>
        </w:rPr>
        <w:t xml:space="preserve">CONTRATO</w:t>
      </w:r>
      <w:r>
        <w:t xml:space="preserve">, o secretos comerciales.</w:t>
      </w:r>
    </w:p>
    <w:p>
      <w:pPr>
        <w:pStyle w:val="Compact"/>
        <w:numPr>
          <w:ilvl w:val="0"/>
          <w:numId w:val="1023"/>
        </w:numPr>
      </w:pPr>
      <w:r>
        <w:t xml:space="preserve">Ambas implementan controles técnicos, administrativos y organizacionales para prevenir acceso indebido, pérdida o alteración de información.</w:t>
      </w:r>
    </w:p>
    <w:bookmarkEnd w:id="950"/>
    <w:bookmarkStart w:id="951" w:name="retención-y-destrucción-de-datos"/>
    <w:p>
      <w:pPr>
        <w:pStyle w:val="Heading2"/>
      </w:pPr>
      <w:r>
        <w:t xml:space="preserve">10.5 Retención y destrucción de datos</w:t>
      </w:r>
    </w:p>
    <w:p>
      <w:pPr>
        <w:pStyle w:val="FirstParagraph"/>
      </w:pPr>
      <w:r>
        <w:t xml:space="preserve">Al terminar</w:t>
      </w:r>
      <w:r>
        <w:t xml:space="preserve"> </w:t>
      </w:r>
      <w:r>
        <w:rPr>
          <w:b/>
          <w:bCs/>
        </w:rPr>
        <w:t xml:space="preserve">EL CONTRATO</w:t>
      </w:r>
      <w:r>
        <w:t xml:space="preserve">,</w:t>
      </w:r>
      <w:r>
        <w:t xml:space="preserve"> </w:t>
      </w:r>
      <w:r>
        <w:rPr>
          <w:b/>
          <w:bCs/>
        </w:rPr>
        <w:t xml:space="preserve">FACTUS</w:t>
      </w:r>
      <w:r>
        <w:t xml:space="preserve"> </w:t>
      </w:r>
      <w:r>
        <w:t xml:space="preserve">retiene la información del</w:t>
      </w:r>
      <w:r>
        <w:t xml:space="preserve"> </w:t>
      </w:r>
      <w:r>
        <w:rPr>
          <w:b/>
          <w:bCs/>
        </w:rPr>
        <w:t xml:space="preserve">RESELLER</w:t>
      </w:r>
      <w:r>
        <w:t xml:space="preserve"> </w:t>
      </w:r>
      <w:r>
        <w:t xml:space="preserve">durante cinco (5) años (obligación legal DIAN), luego la destruye de forma segura conforme estándares de seguridad vigentes.</w:t>
      </w:r>
      <w:r>
        <w:t xml:space="preserve"> </w:t>
      </w:r>
      <w:r>
        <w:rPr>
          <w:b/>
          <w:bCs/>
        </w:rPr>
        <w:t xml:space="preserve">EL RESELLER</w:t>
      </w:r>
      <w:r>
        <w:t xml:space="preserve"> </w:t>
      </w:r>
      <w:r>
        <w:t xml:space="preserve">tiene derecho a solicitar copia de su información;</w:t>
      </w:r>
      <w:r>
        <w:t xml:space="preserve"> </w:t>
      </w:r>
      <w:r>
        <w:rPr>
          <w:b/>
          <w:bCs/>
        </w:rPr>
        <w:t xml:space="preserve">FACTUS</w:t>
      </w:r>
      <w:r>
        <w:t xml:space="preserve"> </w:t>
      </w:r>
      <w:r>
        <w:t xml:space="preserve">la entrega en formato estándar en máximo diez (10) días hábiles.</w:t>
      </w:r>
    </w:p>
    <w:p>
      <w:r>
        <w:pict>
          <v:rect style="width:0;height:1.5pt" o:hralign="center" o:hrstd="t" o:hr="t"/>
        </w:pict>
      </w:r>
    </w:p>
    <w:bookmarkEnd w:id="951"/>
    <w:bookmarkEnd w:id="952"/>
    <w:bookmarkStart w:id="957" w:name="responsabilidad-de-factus-limitada"/>
    <w:p>
      <w:pPr>
        <w:pStyle w:val="Heading1"/>
      </w:pPr>
      <w:r>
        <w:t xml:space="preserve">11. RESPONSABILIDAD DE FACTUS (limitada)</w:t>
      </w:r>
    </w:p>
    <w:bookmarkStart w:id="953" w:name="responsabilidades-específicas"/>
    <w:p>
      <w:pPr>
        <w:pStyle w:val="Heading2"/>
      </w:pPr>
      <w:r>
        <w:t xml:space="preserve">11.1 Responsabilidades específicas</w:t>
      </w:r>
    </w:p>
    <w:p>
      <w:pPr>
        <w:pStyle w:val="FirstParagraph"/>
      </w:pPr>
      <w:r>
        <w:rPr>
          <w:b/>
          <w:bCs/>
        </w:rPr>
        <w:t xml:space="preserve">FACTUS</w:t>
      </w:r>
      <w:r>
        <w:t xml:space="preserve"> </w:t>
      </w:r>
      <w:r>
        <w:t xml:space="preserve">asume responsabilidad exclusivamente por:</w:t>
      </w:r>
    </w:p>
    <w:p>
      <w:pPr>
        <w:numPr>
          <w:ilvl w:val="0"/>
          <w:numId w:val="1024"/>
        </w:numPr>
      </w:pPr>
      <w:r>
        <w:rPr>
          <w:b/>
          <w:bCs/>
        </w:rPr>
        <w:t xml:space="preserve">Disponibilidad de LA PLATAFORMA:</w:t>
      </w:r>
      <w:r>
        <w:t xml:space="preserve"> </w:t>
      </w:r>
      <w:r>
        <w:t xml:space="preserve">Mantener operativa la infraestructura tecnológica, servidores, canales de comunicación y servicios conforme a los niveles de servicio (SLA) especificados en la Cláusula Sexta y Anexo I.</w:t>
      </w:r>
    </w:p>
    <w:p>
      <w:pPr>
        <w:numPr>
          <w:ilvl w:val="0"/>
          <w:numId w:val="1024"/>
        </w:numPr>
      </w:pPr>
      <w:r>
        <w:rPr>
          <w:b/>
          <w:bCs/>
        </w:rPr>
        <w:t xml:space="preserve">Integridad de Datos Almacenados:</w:t>
      </w:r>
      <w:r>
        <w:t xml:space="preserve"> </w:t>
      </w:r>
      <w:r>
        <w:t xml:space="preserve">Preservar la información transmitida por</w:t>
      </w:r>
      <w:r>
        <w:t xml:space="preserve"> </w:t>
      </w:r>
      <w:r>
        <w:rPr>
          <w:b/>
          <w:bCs/>
        </w:rPr>
        <w:t xml:space="preserve">EL RESELLER</w:t>
      </w:r>
      <w:r>
        <w:t xml:space="preserve"> </w:t>
      </w:r>
      <w:r>
        <w:t xml:space="preserve">durante la vigencia del</w:t>
      </w:r>
      <w:r>
        <w:t xml:space="preserve"> </w:t>
      </w:r>
      <w:r>
        <w:rPr>
          <w:b/>
          <w:bCs/>
        </w:rPr>
        <w:t xml:space="preserve">CONTRATO</w:t>
      </w:r>
      <w:r>
        <w:t xml:space="preserve">, sin pérdida, corrupción o alteración no autorizada, salvo por causas de fuerza mayor documentadas y comunicadas.</w:t>
      </w:r>
    </w:p>
    <w:p>
      <w:pPr>
        <w:numPr>
          <w:ilvl w:val="0"/>
          <w:numId w:val="1024"/>
        </w:numPr>
      </w:pPr>
      <w:r>
        <w:rPr>
          <w:b/>
          <w:bCs/>
        </w:rPr>
        <w:t xml:space="preserve">Confidencialidad:</w:t>
      </w:r>
      <w:r>
        <w:t xml:space="preserve"> </w:t>
      </w:r>
      <w:r>
        <w:t xml:space="preserve">Guardar reserva absoluta sobre datos del</w:t>
      </w:r>
      <w:r>
        <w:t xml:space="preserve"> </w:t>
      </w:r>
      <w:r>
        <w:rPr>
          <w:b/>
          <w:bCs/>
        </w:rPr>
        <w:t xml:space="preserve">RESELLER</w:t>
      </w:r>
      <w:r>
        <w:t xml:space="preserve"> </w:t>
      </w:r>
      <w:r>
        <w:t xml:space="preserve">y cliente final, cumpliendo Ley 1581/2012 y Decreto 1377/2013.</w:t>
      </w:r>
    </w:p>
    <w:p>
      <w:pPr>
        <w:numPr>
          <w:ilvl w:val="0"/>
          <w:numId w:val="1024"/>
        </w:numPr>
      </w:pPr>
      <w:r>
        <w:rPr>
          <w:b/>
          <w:bCs/>
        </w:rPr>
        <w:t xml:space="preserve">Autenticación Segura:</w:t>
      </w:r>
      <w:r>
        <w:t xml:space="preserve"> </w:t>
      </w:r>
      <w:r>
        <w:t xml:space="preserve">Mantener mecanismos de autenticación (certificados digitales, credenciales) que cumplan estándares de seguridad vigentes (Decreto 2364/2012).</w:t>
      </w:r>
    </w:p>
    <w:bookmarkEnd w:id="953"/>
    <w:bookmarkStart w:id="954" w:name="X771d9979d29a021e6ee13ba7f0710d2c2fb0ccd"/>
    <w:p>
      <w:pPr>
        <w:pStyle w:val="Heading2"/>
      </w:pPr>
      <w:r>
        <w:t xml:space="preserve">11.2 Exoneraciones de responsabilidad — actos fuera del alcance de FACTUS</w:t>
      </w:r>
    </w:p>
    <w:p>
      <w:pPr>
        <w:pStyle w:val="FirstParagraph"/>
      </w:pPr>
      <w:r>
        <w:rPr>
          <w:b/>
          <w:bCs/>
        </w:rPr>
        <w:t xml:space="preserve">FACTUS</w:t>
      </w:r>
      <w:r>
        <w:t xml:space="preserve"> </w:t>
      </w:r>
      <w:r>
        <w:t xml:space="preserve">no responde por:</w:t>
      </w:r>
    </w:p>
    <w:p>
      <w:pPr>
        <w:numPr>
          <w:ilvl w:val="0"/>
          <w:numId w:val="1025"/>
        </w:numPr>
      </w:pPr>
      <w:r>
        <w:rPr>
          <w:b/>
          <w:bCs/>
        </w:rPr>
        <w:t xml:space="preserve">Validación de Documentos:</w:t>
      </w:r>
      <w:r>
        <w:t xml:space="preserve"> </w:t>
      </w:r>
      <w:r>
        <w:t xml:space="preserve">Análisis de exactitud, completitud, veracidad o legalidad de información contenida en documentos electrónicos antes de transmisión. El cliente final y</w:t>
      </w:r>
      <w:r>
        <w:t xml:space="preserve"> </w:t>
      </w:r>
      <w:r>
        <w:rPr>
          <w:b/>
          <w:bCs/>
        </w:rPr>
        <w:t xml:space="preserve">EL RESELLER</w:t>
      </w:r>
      <w:r>
        <w:t xml:space="preserve"> </w:t>
      </w:r>
      <w:r>
        <w:t xml:space="preserve">son titulares exclusivos de responsabilidad por conformidad de datos con normas tributarias vigentes.</w:t>
      </w:r>
    </w:p>
    <w:p>
      <w:pPr>
        <w:numPr>
          <w:ilvl w:val="0"/>
          <w:numId w:val="1025"/>
        </w:numPr>
      </w:pPr>
      <w:r>
        <w:rPr>
          <w:b/>
          <w:bCs/>
        </w:rPr>
        <w:t xml:space="preserve">Decisiones de Aceptación o Rechazo DIAN:</w:t>
      </w:r>
      <w:r>
        <w:t xml:space="preserve"> </w:t>
      </w:r>
      <w:r>
        <w:t xml:space="preserve">La aceptación, rechazo, devolución, cambio de estado o cualquier acción de la plataforma DIAN sobre documentos depende de validaciones internas de la DIAN que escapan del control técnico de</w:t>
      </w:r>
      <w:r>
        <w:t xml:space="preserve"> </w:t>
      </w:r>
      <w:r>
        <w:rPr>
          <w:b/>
          <w:bCs/>
        </w:rPr>
        <w:t xml:space="preserve">FACTUS</w:t>
      </w:r>
      <w:r>
        <w:t xml:space="preserve">.</w:t>
      </w:r>
      <w:r>
        <w:t xml:space="preserve"> </w:t>
      </w:r>
      <w:r>
        <w:rPr>
          <w:b/>
          <w:bCs/>
        </w:rPr>
        <w:t xml:space="preserve">FACTUS</w:t>
      </w:r>
      <w:r>
        <w:t xml:space="preserve"> </w:t>
      </w:r>
      <w:r>
        <w:t xml:space="preserve">únicamente transmite documentos; no ejerce control sobre criterios de validación DIAN.</w:t>
      </w:r>
    </w:p>
    <w:p>
      <w:pPr>
        <w:numPr>
          <w:ilvl w:val="0"/>
          <w:numId w:val="1025"/>
        </w:numPr>
      </w:pPr>
      <w:r>
        <w:rPr>
          <w:b/>
          <w:bCs/>
        </w:rPr>
        <w:t xml:space="preserve">Incumplimiento Tributario del Cliente Final:</w:t>
      </w:r>
      <w:r>
        <w:t xml:space="preserve"> </w:t>
      </w:r>
      <w:r>
        <w:t xml:space="preserve">Obligaciones de declaración de impuestos, pago de impuestos, cumplimiento de resoluciones DIAN, cargas de rangos de numeración, habilitaciones de actividades económicas, y cualquier obligación tributaria sustantiva son responsabilidad exclusiva del contribuyente (cliente final) y el</w:t>
      </w:r>
      <w:r>
        <w:t xml:space="preserve"> </w:t>
      </w:r>
      <w:r>
        <w:rPr>
          <w:b/>
          <w:bCs/>
        </w:rPr>
        <w:t xml:space="preserve">RESELLER</w:t>
      </w:r>
      <w:r>
        <w:t xml:space="preserve"> </w:t>
      </w:r>
      <w:r>
        <w:t xml:space="preserve">ante la autoridad fiscal.</w:t>
      </w:r>
    </w:p>
    <w:p>
      <w:pPr>
        <w:numPr>
          <w:ilvl w:val="0"/>
          <w:numId w:val="1025"/>
        </w:numPr>
      </w:pPr>
      <w:r>
        <w:rPr>
          <w:b/>
          <w:bCs/>
        </w:rPr>
        <w:t xml:space="preserve">Daño Emergente, Lucro Cesante y Daños Indirectos:</w:t>
      </w:r>
      <w:r>
        <w:t xml:space="preserve"> </w:t>
      </w:r>
      <w:r>
        <w:t xml:space="preserve">Pérdidas de ingresos, costos de operación no realizados, multas tributarias impuestas por autoridades, sanciones administrativas, reclamaciones de terceros, o cualquier daño consecuencial derivado de suspensión temporal del servicio, indisponibilidad de</w:t>
      </w:r>
      <w:r>
        <w:t xml:space="preserve"> </w:t>
      </w:r>
      <w:r>
        <w:rPr>
          <w:b/>
          <w:bCs/>
        </w:rPr>
        <w:t xml:space="preserve">LA PLATAFORMA</w:t>
      </w:r>
      <w:r>
        <w:t xml:space="preserve">, rechazo de documentos por la DIAN, o incumplimientos tributarios.</w:t>
      </w:r>
    </w:p>
    <w:p>
      <w:pPr>
        <w:numPr>
          <w:ilvl w:val="0"/>
          <w:numId w:val="1025"/>
        </w:numPr>
      </w:pPr>
      <w:r>
        <w:rPr>
          <w:b/>
          <w:bCs/>
        </w:rPr>
        <w:t xml:space="preserve">Terceros Contratistas:</w:t>
      </w:r>
      <w:r>
        <w:t xml:space="preserve"> </w:t>
      </w:r>
      <w:r>
        <w:t xml:space="preserve">Servicios proporcionados por proveedores de certificación digital, Dirección de Impuestos y Aduanas Nacionales, Superintendencia de Industria y Comercio, prestadores de telecomunicaciones, o entidades financieras.</w:t>
      </w:r>
      <w:r>
        <w:t xml:space="preserve"> </w:t>
      </w:r>
      <w:r>
        <w:rPr>
          <w:b/>
          <w:bCs/>
        </w:rPr>
        <w:t xml:space="preserve">FACTUS</w:t>
      </w:r>
      <w:r>
        <w:t xml:space="preserve"> </w:t>
      </w:r>
      <w:r>
        <w:t xml:space="preserve">no responde por su actuación, negligencia o incumplimiento.</w:t>
      </w:r>
    </w:p>
    <w:bookmarkEnd w:id="954"/>
    <w:bookmarkStart w:id="955" w:name="límite-cuantitativo-de-responsabilidad"/>
    <w:p>
      <w:pPr>
        <w:pStyle w:val="Heading2"/>
      </w:pPr>
      <w:r>
        <w:t xml:space="preserve">11.3 Límite cuantitativo de responsabilidad</w:t>
      </w:r>
    </w:p>
    <w:p>
      <w:pPr>
        <w:pStyle w:val="FirstParagraph"/>
      </w:pPr>
      <w:r>
        <w:t xml:space="preserve">En el evento de incumplimiento demostrado de obligaciones de</w:t>
      </w:r>
      <w:r>
        <w:t xml:space="preserve"> </w:t>
      </w:r>
      <w:r>
        <w:rPr>
          <w:b/>
          <w:bCs/>
        </w:rPr>
        <w:t xml:space="preserve">FACTUS</w:t>
      </w:r>
      <w:r>
        <w:t xml:space="preserve"> </w:t>
      </w:r>
      <w:r>
        <w:t xml:space="preserve">que cause perjuicio material al</w:t>
      </w:r>
      <w:r>
        <w:t xml:space="preserve"> </w:t>
      </w:r>
      <w:r>
        <w:rPr>
          <w:b/>
          <w:bCs/>
        </w:rPr>
        <w:t xml:space="preserve">RESELLER</w:t>
      </w:r>
      <w:r>
        <w:t xml:space="preserve">, la obligación de indemnización se limita estrictamente a dos (2) meses del valor mensual contratado, sin que en ningún caso la indemnidad total pueda exceder esta suma. Esta limitación se aplica a cada evento de incumplimiento y a la suma agregada de todos los eventos durante la vigencia de</w:t>
      </w:r>
      <w:r>
        <w:t xml:space="preserve"> </w:t>
      </w:r>
      <w:r>
        <w:rPr>
          <w:b/>
          <w:bCs/>
        </w:rPr>
        <w:t xml:space="preserve">EL CONTRATO</w:t>
      </w:r>
      <w:r>
        <w:t xml:space="preserve">.</w:t>
      </w:r>
    </w:p>
    <w:bookmarkEnd w:id="955"/>
    <w:bookmarkStart w:id="956" w:name="exclusión-expresa-de-daños-indirectos"/>
    <w:p>
      <w:pPr>
        <w:pStyle w:val="Heading2"/>
      </w:pPr>
      <w:r>
        <w:t xml:space="preserve">11.4 Exclusión expresa de daños indirectos</w:t>
      </w:r>
    </w:p>
    <w:p>
      <w:pPr>
        <w:pStyle w:val="FirstParagraph"/>
      </w:pPr>
      <w:r>
        <w:t xml:space="preserve">En ningún caso</w:t>
      </w:r>
      <w:r>
        <w:t xml:space="preserve"> </w:t>
      </w:r>
      <w:r>
        <w:rPr>
          <w:b/>
          <w:bCs/>
        </w:rPr>
        <w:t xml:space="preserve">FACTUS</w:t>
      </w:r>
      <w:r>
        <w:t xml:space="preserve"> </w:t>
      </w:r>
      <w:r>
        <w:t xml:space="preserve">será responsable frente a</w:t>
      </w:r>
      <w:r>
        <w:t xml:space="preserve"> </w:t>
      </w:r>
      <w:r>
        <w:rPr>
          <w:b/>
          <w:bCs/>
        </w:rPr>
        <w:t xml:space="preserve">EL RESELLER</w:t>
      </w:r>
      <w:r>
        <w:t xml:space="preserve"> </w:t>
      </w:r>
      <w:r>
        <w:t xml:space="preserve">por daños indirectos, incidentales, consecuenciales, punitivos o por lucro cesante (pérdida de utilidades o de oportunidades de negocio), independientemente de si la posibilidad de tales daños fue advertida o conocida.</w:t>
      </w:r>
    </w:p>
    <w:p>
      <w:r>
        <w:pict>
          <v:rect style="width:0;height:1.5pt" o:hralign="center" o:hrstd="t" o:hr="t"/>
        </w:pict>
      </w:r>
    </w:p>
    <w:bookmarkEnd w:id="956"/>
    <w:bookmarkEnd w:id="957"/>
    <w:bookmarkStart w:id="960" w:name="X2aed074b3102675c94482d262ef12bbead3f578"/>
    <w:p>
      <w:pPr>
        <w:pStyle w:val="Heading1"/>
      </w:pPr>
      <w:r>
        <w:t xml:space="preserve">12. RESPONSABILIDAD Y DEFENSA DE EL RESELLER (indemnidad)</w:t>
      </w:r>
    </w:p>
    <w:bookmarkStart w:id="958" w:name="obligación-de-indemnización"/>
    <w:p>
      <w:pPr>
        <w:pStyle w:val="Heading2"/>
      </w:pPr>
      <w:r>
        <w:t xml:space="preserve">12.1 Obligación de indemnización</w:t>
      </w:r>
    </w:p>
    <w:p>
      <w:pPr>
        <w:pStyle w:val="FirstParagraph"/>
      </w:pPr>
      <w:r>
        <w:rPr>
          <w:b/>
          <w:bCs/>
        </w:rPr>
        <w:t xml:space="preserve">EL RESELLER</w:t>
      </w:r>
      <w:r>
        <w:t xml:space="preserve"> </w:t>
      </w:r>
      <w:r>
        <w:t xml:space="preserve">se obliga a defender, mantener indemne y compensar a</w:t>
      </w:r>
      <w:r>
        <w:t xml:space="preserve"> </w:t>
      </w:r>
      <w:r>
        <w:rPr>
          <w:b/>
          <w:bCs/>
        </w:rPr>
        <w:t xml:space="preserve">FACTUS</w:t>
      </w:r>
      <w:r>
        <w:t xml:space="preserve"> </w:t>
      </w:r>
      <w:r>
        <w:t xml:space="preserve">por cualquier demanda, reclamación, sanción administrativa, sanción judicial, acción legal o procesos judiciales que terceros dirijan contra</w:t>
      </w:r>
      <w:r>
        <w:t xml:space="preserve"> </w:t>
      </w:r>
      <w:r>
        <w:rPr>
          <w:b/>
          <w:bCs/>
        </w:rPr>
        <w:t xml:space="preserve">FACTUS</w:t>
      </w:r>
      <w:r>
        <w:t xml:space="preserve"> </w:t>
      </w:r>
      <w:r>
        <w:t xml:space="preserve">por:</w:t>
      </w:r>
    </w:p>
    <w:p>
      <w:pPr>
        <w:numPr>
          <w:ilvl w:val="0"/>
          <w:numId w:val="1026"/>
        </w:numPr>
      </w:pPr>
      <w:r>
        <w:t xml:space="preserve">Errores en datos, falsedad de información, inexactitud tributaria o incumplimiento tributario del cliente final o</w:t>
      </w:r>
      <w:r>
        <w:t xml:space="preserve"> </w:t>
      </w:r>
      <w:r>
        <w:rPr>
          <w:b/>
          <w:bCs/>
        </w:rPr>
        <w:t xml:space="preserve">EL RESELLER</w:t>
      </w:r>
      <w:r>
        <w:t xml:space="preserve">, aun cuando el tercero reclamante atribuya responsabilidad a</w:t>
      </w:r>
      <w:r>
        <w:t xml:space="preserve"> </w:t>
      </w:r>
      <w:r>
        <w:rPr>
          <w:b/>
          <w:bCs/>
        </w:rPr>
        <w:t xml:space="preserve">FACTUS</w:t>
      </w:r>
      <w:r>
        <w:t xml:space="preserve">.</w:t>
      </w:r>
    </w:p>
    <w:p>
      <w:pPr>
        <w:numPr>
          <w:ilvl w:val="0"/>
          <w:numId w:val="1026"/>
        </w:numPr>
      </w:pPr>
      <w:r>
        <w:t xml:space="preserve">Incumplimiento de obligaciones tributarias, laborales, comerciales, civiles o de seguridad social del</w:t>
      </w:r>
      <w:r>
        <w:t xml:space="preserve"> </w:t>
      </w:r>
      <w:r>
        <w:rPr>
          <w:b/>
          <w:bCs/>
        </w:rPr>
        <w:t xml:space="preserve">RESELLER</w:t>
      </w:r>
      <w:r>
        <w:t xml:space="preserve"> </w:t>
      </w:r>
      <w:r>
        <w:t xml:space="preserve">ante autoridades o terceros.</w:t>
      </w:r>
    </w:p>
    <w:p>
      <w:pPr>
        <w:numPr>
          <w:ilvl w:val="0"/>
          <w:numId w:val="1026"/>
        </w:numPr>
      </w:pPr>
      <w:r>
        <w:t xml:space="preserve">Uso prohibido, no autorizado, indebido o ilícito de</w:t>
      </w:r>
      <w:r>
        <w:t xml:space="preserve"> </w:t>
      </w:r>
      <w:r>
        <w:rPr>
          <w:b/>
          <w:bCs/>
        </w:rPr>
        <w:t xml:space="preserve">LA PLATAFORMA</w:t>
      </w:r>
      <w:r>
        <w:t xml:space="preserve">, incluyendo intentos de acceso indebido, modificación no autorizada de información, difusión de malware, o violación de sistemas de seguridad.</w:t>
      </w:r>
    </w:p>
    <w:p>
      <w:pPr>
        <w:numPr>
          <w:ilvl w:val="0"/>
          <w:numId w:val="1026"/>
        </w:numPr>
      </w:pPr>
      <w:r>
        <w:t xml:space="preserve">Documentos emitidos por clientes finales de</w:t>
      </w:r>
      <w:r>
        <w:t xml:space="preserve"> </w:t>
      </w:r>
      <w:r>
        <w:rPr>
          <w:b/>
          <w:bCs/>
        </w:rPr>
        <w:t xml:space="preserve">EL RESELLER</w:t>
      </w:r>
      <w:r>
        <w:t xml:space="preserve"> </w:t>
      </w:r>
      <w:r>
        <w:t xml:space="preserve">que contengan información ilegal, fraudulenta, que vulnere derechos de terceros, que facilite lavado de activos, financiamiento del terrorismo, fraude tributario, o incumplimiento normativo.</w:t>
      </w:r>
    </w:p>
    <w:p>
      <w:pPr>
        <w:numPr>
          <w:ilvl w:val="0"/>
          <w:numId w:val="1026"/>
        </w:numPr>
      </w:pPr>
      <w:r>
        <w:t xml:space="preserve">Incumplimiento de obligaciones de protección de datos personales, que genere reclamos de titulares o sanciones de autoridades de control.</w:t>
      </w:r>
    </w:p>
    <w:p>
      <w:pPr>
        <w:numPr>
          <w:ilvl w:val="0"/>
          <w:numId w:val="1026"/>
        </w:numPr>
      </w:pPr>
      <w:r>
        <w:t xml:space="preserve">Cualquier investigación de autoridades administrativas o judiciales (DIAN, Superintendencia de Industria y Comercio, Fiscalía, Policía) causada por actividad, operación, omisión o negligencia de</w:t>
      </w:r>
      <w:r>
        <w:t xml:space="preserve"> </w:t>
      </w:r>
      <w:r>
        <w:rPr>
          <w:b/>
          <w:bCs/>
        </w:rPr>
        <w:t xml:space="preserve">EL RESELLER</w:t>
      </w:r>
      <w:r>
        <w:t xml:space="preserve"> </w:t>
      </w:r>
      <w:r>
        <w:t xml:space="preserve">o sus clientes finales.</w:t>
      </w:r>
    </w:p>
    <w:bookmarkEnd w:id="958"/>
    <w:bookmarkStart w:id="959" w:name="alcance-de-la-indemnidad"/>
    <w:p>
      <w:pPr>
        <w:pStyle w:val="Heading2"/>
      </w:pPr>
      <w:r>
        <w:t xml:space="preserve">12.2 Alcance de la indemnidad</w:t>
      </w:r>
    </w:p>
    <w:p>
      <w:pPr>
        <w:pStyle w:val="FirstParagraph"/>
      </w:pPr>
      <w:r>
        <w:t xml:space="preserve">Esta obligación de indemnidad cubre todos los costos, gastos, honorarios de abogados, multas administrativas, perjuicios patrimoniales, daños a reputación y cualquier pasivo que</w:t>
      </w:r>
      <w:r>
        <w:t xml:space="preserve"> </w:t>
      </w:r>
      <w:r>
        <w:rPr>
          <w:b/>
          <w:bCs/>
        </w:rPr>
        <w:t xml:space="preserve">FACTUS</w:t>
      </w:r>
      <w:r>
        <w:t xml:space="preserve"> </w:t>
      </w:r>
      <w:r>
        <w:t xml:space="preserve">deba asumir como consecuencia de los eventos descritos arriba.</w:t>
      </w:r>
    </w:p>
    <w:p>
      <w:r>
        <w:pict>
          <v:rect style="width:0;height:1.5pt" o:hralign="center" o:hrstd="t" o:hr="t"/>
        </w:pict>
      </w:r>
    </w:p>
    <w:bookmarkEnd w:id="959"/>
    <w:bookmarkEnd w:id="960"/>
    <w:bookmarkStart w:id="964" w:name="garantías-y-exclusión-de-garantías"/>
    <w:p>
      <w:pPr>
        <w:pStyle w:val="Heading1"/>
      </w:pPr>
      <w:r>
        <w:t xml:space="preserve">13. GARANTÍAS Y EXCLUSIÓN DE GARANTÍAS</w:t>
      </w:r>
    </w:p>
    <w:bookmarkStart w:id="961" w:name="garantías-expresas-de-factus"/>
    <w:p>
      <w:pPr>
        <w:pStyle w:val="Heading2"/>
      </w:pPr>
      <w:r>
        <w:t xml:space="preserve">13.1 Garantías expresas de FACTUS</w:t>
      </w:r>
    </w:p>
    <w:p>
      <w:pPr>
        <w:numPr>
          <w:ilvl w:val="0"/>
          <w:numId w:val="1027"/>
        </w:numPr>
      </w:pPr>
      <w:r>
        <w:t xml:space="preserve">Posee autorización válida y vigente como Facturador Electrónico ante la DIAN, conforme Resolución 000165/2023 y Oficio DIAN 13246/2025, sin restricciones administrativas que afecten la prestación de servicios.</w:t>
      </w:r>
    </w:p>
    <w:p>
      <w:pPr>
        <w:numPr>
          <w:ilvl w:val="0"/>
          <w:numId w:val="1027"/>
        </w:numPr>
      </w:pPr>
      <w:r>
        <w:rPr>
          <w:b/>
          <w:bCs/>
        </w:rPr>
        <w:t xml:space="preserve">LA PLATAFORMA</w:t>
      </w:r>
      <w:r>
        <w:t xml:space="preserve"> </w:t>
      </w:r>
      <w:r>
        <w:t xml:space="preserve">cumple con especificaciones técnicas documentadas, incluyendo cifrado de datos (TLS 1.2 o superior), autenticación segura conforme Decreto 2364/2012, y arquitectura que garantiza disponibilidad conforme SLA de la Cláusula Sexta.</w:t>
      </w:r>
    </w:p>
    <w:p>
      <w:pPr>
        <w:numPr>
          <w:ilvl w:val="0"/>
          <w:numId w:val="1027"/>
        </w:numPr>
      </w:pPr>
      <w:r>
        <w:t xml:space="preserve">Mantendrá disponibilidad operativa conforme indicadores de nivel de servicio especificados en Anexo I.</w:t>
      </w:r>
    </w:p>
    <w:p>
      <w:pPr>
        <w:numPr>
          <w:ilvl w:val="0"/>
          <w:numId w:val="1027"/>
        </w:numPr>
      </w:pPr>
      <w:r>
        <w:t xml:space="preserve">Los certificados digitales proporcionados son válidos y emitidos por autoridades de certificación reconocidas por la DIAN.</w:t>
      </w:r>
    </w:p>
    <w:bookmarkEnd w:id="961"/>
    <w:bookmarkStart w:id="962" w:name="exclusión-de-garantías-implícitas"/>
    <w:p>
      <w:pPr>
        <w:pStyle w:val="Heading2"/>
      </w:pPr>
      <w:r>
        <w:t xml:space="preserve">13.2 Exclusión de garantías implícitas</w:t>
      </w:r>
    </w:p>
    <w:p>
      <w:pPr>
        <w:pStyle w:val="FirstParagraph"/>
      </w:pPr>
      <w:r>
        <w:rPr>
          <w:b/>
          <w:bCs/>
        </w:rPr>
        <w:t xml:space="preserve">FACTUS</w:t>
      </w:r>
      <w:r>
        <w:t xml:space="preserve"> </w:t>
      </w:r>
      <w:r>
        <w:t xml:space="preserve">no garantiza:</w:t>
      </w:r>
    </w:p>
    <w:p>
      <w:pPr>
        <w:numPr>
          <w:ilvl w:val="0"/>
          <w:numId w:val="1028"/>
        </w:numPr>
      </w:pPr>
      <w:r>
        <w:rPr>
          <w:b/>
          <w:bCs/>
        </w:rPr>
        <w:t xml:space="preserve">Aceptación de Documentos por DIAN:</w:t>
      </w:r>
      <w:r>
        <w:t xml:space="preserve"> </w:t>
      </w:r>
      <w:r>
        <w:t xml:space="preserve">La aceptación, rechazo, cambio de estado o cualquier decisión de la DIAN sobre un documento depende exclusivamente de validaciones de contenido, formato y cumplimiento tributario que realiza la DIAN.</w:t>
      </w:r>
      <w:r>
        <w:t xml:space="preserve"> </w:t>
      </w:r>
      <w:r>
        <w:rPr>
          <w:b/>
          <w:bCs/>
        </w:rPr>
        <w:t xml:space="preserve">FACTUS</w:t>
      </w:r>
      <w:r>
        <w:t xml:space="preserve"> </w:t>
      </w:r>
      <w:r>
        <w:t xml:space="preserve">transmite documentos conforme especificaciones técnicas; la decisión DIAN es independiente de la calidad técnica de la transmisión.</w:t>
      </w:r>
    </w:p>
    <w:p>
      <w:pPr>
        <w:numPr>
          <w:ilvl w:val="0"/>
          <w:numId w:val="1028"/>
        </w:numPr>
      </w:pPr>
      <w:r>
        <w:rPr>
          <w:b/>
          <w:bCs/>
        </w:rPr>
        <w:t xml:space="preserve">Ausencia Absoluta de Errores:</w:t>
      </w:r>
      <w:r>
        <w:t xml:space="preserve"> </w:t>
      </w:r>
      <w:r>
        <w:rPr>
          <w:b/>
          <w:bCs/>
        </w:rPr>
        <w:t xml:space="preserve">LA PLATAFORMA</w:t>
      </w:r>
      <w:r>
        <w:t xml:space="preserve"> </w:t>
      </w:r>
      <w:r>
        <w:t xml:space="preserve">puede contener defectos, incompatibilidades temporales o limitaciones operativas.</w:t>
      </w:r>
      <w:r>
        <w:t xml:space="preserve"> </w:t>
      </w:r>
      <w:r>
        <w:rPr>
          <w:b/>
          <w:bCs/>
        </w:rPr>
        <w:t xml:space="preserve">FACTUS</w:t>
      </w:r>
      <w:r>
        <w:t xml:space="preserve"> </w:t>
      </w:r>
      <w:r>
        <w:t xml:space="preserve">se compromete a identificar, documentar y corregir defectos conforme prioridades SLA (Anexo I), pero no garantiza plataforma libre de errores.</w:t>
      </w:r>
    </w:p>
    <w:p>
      <w:pPr>
        <w:numPr>
          <w:ilvl w:val="0"/>
          <w:numId w:val="1028"/>
        </w:numPr>
      </w:pPr>
      <w:r>
        <w:rPr>
          <w:b/>
          <w:bCs/>
        </w:rPr>
        <w:t xml:space="preserve">Conformidad con Expectativas del RESELLER:</w:t>
      </w:r>
      <w:r>
        <w:t xml:space="preserve"> </w:t>
      </w:r>
      <w:r>
        <w:rPr>
          <w:b/>
          <w:bCs/>
        </w:rPr>
        <w:t xml:space="preserve">EL RESELLER</w:t>
      </w:r>
      <w:r>
        <w:t xml:space="preserve"> </w:t>
      </w:r>
      <w:r>
        <w:t xml:space="preserve">debe validar, en ambiente sandbox, que</w:t>
      </w:r>
      <w:r>
        <w:t xml:space="preserve"> </w:t>
      </w:r>
      <w:r>
        <w:rPr>
          <w:b/>
          <w:bCs/>
        </w:rPr>
        <w:t xml:space="preserve">LA PLATAFORMA</w:t>
      </w:r>
      <w:r>
        <w:t xml:space="preserve"> </w:t>
      </w:r>
      <w:r>
        <w:t xml:space="preserve">satisface requerimientos operativos, de integración y de datos antes de puesta en operación.</w:t>
      </w:r>
      <w:r>
        <w:t xml:space="preserve"> </w:t>
      </w:r>
      <w:r>
        <w:rPr>
          <w:b/>
          <w:bCs/>
        </w:rPr>
        <w:t xml:space="preserve">FACTUS</w:t>
      </w:r>
      <w:r>
        <w:t xml:space="preserve"> </w:t>
      </w:r>
      <w:r>
        <w:t xml:space="preserve">proporciona documentación técnica y acceso a sandbox; la responsabilidad de validación es de</w:t>
      </w:r>
      <w:r>
        <w:t xml:space="preserve"> </w:t>
      </w:r>
      <w:r>
        <w:rPr>
          <w:b/>
          <w:bCs/>
        </w:rPr>
        <w:t xml:space="preserve">EL RESELLER</w:t>
      </w:r>
      <w:r>
        <w:t xml:space="preserve">.</w:t>
      </w:r>
    </w:p>
    <w:p>
      <w:pPr>
        <w:numPr>
          <w:ilvl w:val="0"/>
          <w:numId w:val="1028"/>
        </w:numPr>
      </w:pPr>
      <w:r>
        <w:rPr>
          <w:b/>
          <w:bCs/>
        </w:rPr>
        <w:t xml:space="preserve">Cumplimiento Tributario de Clientes Finales:</w:t>
      </w:r>
      <w:r>
        <w:t xml:space="preserve"> </w:t>
      </w:r>
      <w:r>
        <w:t xml:space="preserve">Uso correcto de</w:t>
      </w:r>
      <w:r>
        <w:t xml:space="preserve"> </w:t>
      </w:r>
      <w:r>
        <w:rPr>
          <w:b/>
          <w:bCs/>
        </w:rPr>
        <w:t xml:space="preserve">LA PLATAFORMA</w:t>
      </w:r>
      <w:r>
        <w:t xml:space="preserve"> </w:t>
      </w:r>
      <w:r>
        <w:t xml:space="preserve">por un cliente final no implica cumplimiento automático de obligaciones tributarias.</w:t>
      </w:r>
      <w:r>
        <w:t xml:space="preserve"> </w:t>
      </w:r>
      <w:r>
        <w:rPr>
          <w:b/>
          <w:bCs/>
        </w:rPr>
        <w:t xml:space="preserve">FACTUS</w:t>
      </w:r>
      <w:r>
        <w:t xml:space="preserve"> </w:t>
      </w:r>
      <w:r>
        <w:t xml:space="preserve">es un canal tecnológico, no asesor tributario ni auditor interno.</w:t>
      </w:r>
    </w:p>
    <w:p>
      <w:pPr>
        <w:numPr>
          <w:ilvl w:val="0"/>
          <w:numId w:val="1028"/>
        </w:numPr>
      </w:pPr>
      <w:r>
        <w:rPr>
          <w:b/>
          <w:bCs/>
        </w:rPr>
        <w:t xml:space="preserve">Protección Contra Auditoría o Sanciones DIAN:</w:t>
      </w:r>
      <w:r>
        <w:t xml:space="preserve"> </w:t>
      </w:r>
      <w:r>
        <w:t xml:space="preserve">Ningún uso correcto de</w:t>
      </w:r>
      <w:r>
        <w:t xml:space="preserve"> </w:t>
      </w:r>
      <w:r>
        <w:rPr>
          <w:b/>
          <w:bCs/>
        </w:rPr>
        <w:t xml:space="preserve">LA PLATAFORMA</w:t>
      </w:r>
      <w:r>
        <w:t xml:space="preserve"> </w:t>
      </w:r>
      <w:r>
        <w:t xml:space="preserve">exime a cliente final de auditoría, verificación o sanciones que la DIAN determine pertinentes.</w:t>
      </w:r>
    </w:p>
    <w:bookmarkEnd w:id="962"/>
    <w:bookmarkStart w:id="963" w:name="entrega-tal-cual-as-is"/>
    <w:p>
      <w:pPr>
        <w:pStyle w:val="Heading2"/>
      </w:pPr>
      <w:r>
        <w:t xml:space="preserve">13.3 Entrega</w:t>
      </w:r>
      <w:r>
        <w:t xml:space="preserve"> </w:t>
      </w:r>
      <w:r>
        <w:t xml:space="preserve">“tal cual”</w:t>
      </w:r>
      <w:r>
        <w:t xml:space="preserve"> </w:t>
      </w:r>
      <w:r>
        <w:t xml:space="preserve">(as-is)</w:t>
      </w:r>
    </w:p>
    <w:p>
      <w:pPr>
        <w:pStyle w:val="FirstParagraph"/>
      </w:pPr>
      <w:r>
        <w:rPr>
          <w:b/>
          <w:bCs/>
        </w:rPr>
        <w:t xml:space="preserve">LA PLATAFORMA</w:t>
      </w:r>
      <w:r>
        <w:t xml:space="preserve"> </w:t>
      </w:r>
      <w:r>
        <w:t xml:space="preserve">y los servicios se entregan en estado operacional actual (</w:t>
      </w:r>
      <w:r>
        <w:t xml:space="preserve">“as-is”</w:t>
      </w:r>
      <w:r>
        <w:t xml:space="preserve">), con funcionalidades y limitaciones técnicas existentes al momento de contratación. Mejoras, nuevas funcionalidades o ampliación de capacidades son iniciativas discrecionales de</w:t>
      </w:r>
      <w:r>
        <w:t xml:space="preserve"> </w:t>
      </w:r>
      <w:r>
        <w:rPr>
          <w:b/>
          <w:bCs/>
        </w:rPr>
        <w:t xml:space="preserve">FACTUS</w:t>
      </w:r>
      <w:r>
        <w:t xml:space="preserve"> </w:t>
      </w:r>
      <w:r>
        <w:t xml:space="preserve">y no constituyen obligación contractual.</w:t>
      </w:r>
    </w:p>
    <w:p>
      <w:r>
        <w:pict>
          <v:rect style="width:0;height:1.5pt" o:hralign="center" o:hrstd="t" o:hr="t"/>
        </w:pict>
      </w:r>
    </w:p>
    <w:bookmarkEnd w:id="963"/>
    <w:bookmarkEnd w:id="964"/>
    <w:bookmarkStart w:id="965" w:name="derecho-de-retracto"/>
    <w:p>
      <w:pPr>
        <w:pStyle w:val="Heading1"/>
      </w:pPr>
      <w:r>
        <w:t xml:space="preserve">14. DERECHO DE RETRACTO</w:t>
      </w:r>
    </w:p>
    <w:p>
      <w:pPr>
        <w:pStyle w:val="FirstParagraph"/>
      </w:pPr>
      <w:r>
        <w:rPr>
          <w:b/>
          <w:bCs/>
        </w:rPr>
        <w:t xml:space="preserve">Referencia:</w:t>
      </w:r>
      <w:r>
        <w:t xml:space="preserve"> </w:t>
      </w:r>
      <w:r>
        <w:t xml:space="preserve">ANEXO III — Política de Retracto</w:t>
      </w:r>
    </w:p>
    <w:p>
      <w:pPr>
        <w:pStyle w:val="BodyText"/>
      </w:pPr>
      <w:r>
        <w:rPr>
          <w:b/>
          <w:bCs/>
        </w:rPr>
        <w:t xml:space="preserve">EL RESELLER</w:t>
      </w:r>
      <w:r>
        <w:t xml:space="preserve"> </w:t>
      </w:r>
      <w:r>
        <w:t xml:space="preserve">reconoce su derecho de retracto conforme Ley 1480/2011 (Estatuto del Consumidor) y Ley 2439/2024 (reforma comercio electrónico), en los términos y condiciones especificados en ANEXO III. Los procedimientos, plazos, excepciones y efectos del retracto se desarrollan íntegramente en ese Anexo, el cual forma parte integral de este</w:t>
      </w:r>
      <w:r>
        <w:t xml:space="preserve"> </w:t>
      </w:r>
      <w:r>
        <w:rPr>
          <w:b/>
          <w:bCs/>
        </w:rPr>
        <w:t xml:space="preserve">CONTRATO</w:t>
      </w:r>
      <w:r>
        <w:t xml:space="preserve">.</w:t>
      </w:r>
    </w:p>
    <w:p>
      <w:r>
        <w:pict>
          <v:rect style="width:0;height:1.5pt" o:hralign="center" o:hrstd="t" o:hr="t"/>
        </w:pict>
      </w:r>
    </w:p>
    <w:bookmarkEnd w:id="965"/>
    <w:bookmarkStart w:id="969" w:name="terminación-del-contrato"/>
    <w:p>
      <w:pPr>
        <w:pStyle w:val="Heading1"/>
      </w:pPr>
      <w:r>
        <w:t xml:space="preserve">15. TERMINACIÓN DEL CONTRATO</w:t>
      </w:r>
    </w:p>
    <w:bookmarkStart w:id="966" w:name="causales-de-terminación"/>
    <w:p>
      <w:pPr>
        <w:pStyle w:val="Heading2"/>
      </w:pPr>
      <w:r>
        <w:t xml:space="preserve">15.1 Causales de terminación</w:t>
      </w:r>
    </w:p>
    <w:p>
      <w:pPr>
        <w:pStyle w:val="FirstParagraph"/>
      </w:pPr>
      <w:r>
        <w:rPr>
          <w:b/>
          <w:bCs/>
        </w:rPr>
        <w:t xml:space="preserve">EL CONTRATO</w:t>
      </w:r>
      <w:r>
        <w:t xml:space="preserve"> </w:t>
      </w:r>
      <w:r>
        <w:t xml:space="preserve">termina por:</w:t>
      </w:r>
    </w:p>
    <w:p>
      <w:pPr>
        <w:numPr>
          <w:ilvl w:val="0"/>
          <w:numId w:val="1029"/>
        </w:numPr>
      </w:pPr>
      <w:r>
        <w:rPr>
          <w:b/>
          <w:bCs/>
        </w:rPr>
        <w:t xml:space="preserve">Mutuo Acuerdo:</w:t>
      </w:r>
      <w:r>
        <w:t xml:space="preserve"> </w:t>
      </w:r>
      <w:r>
        <w:t xml:space="preserve">En cualquier momento, mediante acuerdo escrito de ambas</w:t>
      </w:r>
      <w:r>
        <w:t xml:space="preserve"> </w:t>
      </w:r>
      <w:r>
        <w:rPr>
          <w:b/>
          <w:bCs/>
        </w:rPr>
        <w:t xml:space="preserve">PARTES</w:t>
      </w:r>
      <w:r>
        <w:t xml:space="preserve">.</w:t>
      </w:r>
    </w:p>
    <w:p>
      <w:pPr>
        <w:numPr>
          <w:ilvl w:val="0"/>
          <w:numId w:val="1029"/>
        </w:numPr>
      </w:pPr>
      <w:r>
        <w:rPr>
          <w:b/>
          <w:bCs/>
        </w:rPr>
        <w:t xml:space="preserve">Vencimiento del Término:</w:t>
      </w:r>
      <w:r>
        <w:t xml:space="preserve"> </w:t>
      </w:r>
      <w:r>
        <w:t xml:space="preserve">Cumplido el plazo de la Cláusula Cuarta, sin renovación.</w:t>
      </w:r>
    </w:p>
    <w:p>
      <w:pPr>
        <w:numPr>
          <w:ilvl w:val="0"/>
          <w:numId w:val="1029"/>
        </w:numPr>
      </w:pPr>
      <w:r>
        <w:rPr>
          <w:b/>
          <w:bCs/>
        </w:rPr>
        <w:t xml:space="preserve">Incumplimiento Grave de EL RESELLER:</w:t>
      </w:r>
    </w:p>
    <w:p>
      <w:pPr>
        <w:pStyle w:val="Compact"/>
        <w:numPr>
          <w:ilvl w:val="1"/>
          <w:numId w:val="1030"/>
        </w:numPr>
      </w:pPr>
      <w:r>
        <w:t xml:space="preserve">No pago de tres (3) meses de servicio.</w:t>
      </w:r>
    </w:p>
    <w:p>
      <w:pPr>
        <w:pStyle w:val="Compact"/>
        <w:numPr>
          <w:ilvl w:val="1"/>
          <w:numId w:val="1030"/>
        </w:numPr>
      </w:pPr>
      <w:r>
        <w:t xml:space="preserve">Uso indebido de</w:t>
      </w:r>
      <w:r>
        <w:t xml:space="preserve"> </w:t>
      </w:r>
      <w:r>
        <w:rPr>
          <w:b/>
          <w:bCs/>
        </w:rPr>
        <w:t xml:space="preserve">LA PLATAFORMA</w:t>
      </w:r>
      <w:r>
        <w:t xml:space="preserve"> </w:t>
      </w:r>
      <w:r>
        <w:t xml:space="preserve">(intentos de piratería, distribución de malware, acceso indebido, etc.).</w:t>
      </w:r>
    </w:p>
    <w:p>
      <w:pPr>
        <w:pStyle w:val="Compact"/>
        <w:numPr>
          <w:ilvl w:val="1"/>
          <w:numId w:val="1030"/>
        </w:numPr>
      </w:pPr>
      <w:r>
        <w:t xml:space="preserve">Carga de documentos manifiestamente ilegales o fraude tributario comprobado.</w:t>
      </w:r>
    </w:p>
    <w:p>
      <w:pPr>
        <w:pStyle w:val="Compact"/>
        <w:numPr>
          <w:ilvl w:val="1"/>
          <w:numId w:val="1030"/>
        </w:numPr>
      </w:pPr>
      <w:r>
        <w:t xml:space="preserve">Violación de confidencialidad o seguridad.</w:t>
      </w:r>
    </w:p>
    <w:p>
      <w:pPr>
        <w:pStyle w:val="Compact"/>
        <w:numPr>
          <w:ilvl w:val="1"/>
          <w:numId w:val="1030"/>
        </w:numPr>
      </w:pPr>
      <w:r>
        <w:t xml:space="preserve">Incumplimiento grave de obligaciones LA/FT.</w:t>
      </w:r>
    </w:p>
    <w:p>
      <w:pPr>
        <w:numPr>
          <w:ilvl w:val="0"/>
          <w:numId w:val="1000"/>
        </w:numPr>
      </w:pPr>
      <w:r>
        <w:t xml:space="preserve">Cualquiera de estos incumplimientos permite a</w:t>
      </w:r>
      <w:r>
        <w:t xml:space="preserve"> </w:t>
      </w:r>
      <w:r>
        <w:rPr>
          <w:b/>
          <w:bCs/>
        </w:rPr>
        <w:t xml:space="preserve">FACTUS</w:t>
      </w:r>
      <w:r>
        <w:t xml:space="preserve"> </w:t>
      </w:r>
      <w:r>
        <w:t xml:space="preserve">dar por terminado</w:t>
      </w:r>
      <w:r>
        <w:t xml:space="preserve"> </w:t>
      </w:r>
      <w:r>
        <w:rPr>
          <w:b/>
          <w:bCs/>
        </w:rPr>
        <w:t xml:space="preserve">EL CONTRATO</w:t>
      </w:r>
      <w:r>
        <w:t xml:space="preserve"> </w:t>
      </w:r>
      <w:r>
        <w:t xml:space="preserve">de pleno derecho, sin necesidad de aviso previo, período de cura o acción judicial.</w:t>
      </w:r>
    </w:p>
    <w:p>
      <w:pPr>
        <w:numPr>
          <w:ilvl w:val="0"/>
          <w:numId w:val="1029"/>
        </w:numPr>
      </w:pPr>
      <w:r>
        <w:rPr>
          <w:b/>
          <w:bCs/>
        </w:rPr>
        <w:t xml:space="preserve">Incumplimiento Grave de FACTUS:</w:t>
      </w:r>
    </w:p>
    <w:p>
      <w:pPr>
        <w:pStyle w:val="Compact"/>
        <w:numPr>
          <w:ilvl w:val="1"/>
          <w:numId w:val="1031"/>
        </w:numPr>
      </w:pPr>
      <w:r>
        <w:t xml:space="preserve">Indisponibilidad de</w:t>
      </w:r>
      <w:r>
        <w:t xml:space="preserve"> </w:t>
      </w:r>
      <w:r>
        <w:rPr>
          <w:b/>
          <w:bCs/>
        </w:rPr>
        <w:t xml:space="preserve">LA PLATAFORMA</w:t>
      </w:r>
      <w:r>
        <w:t xml:space="preserve"> </w:t>
      </w:r>
      <w:r>
        <w:t xml:space="preserve">por más de veinte (20) días hábiles sin causa justificada.</w:t>
      </w:r>
    </w:p>
    <w:p>
      <w:pPr>
        <w:pStyle w:val="Compact"/>
        <w:numPr>
          <w:ilvl w:val="1"/>
          <w:numId w:val="1031"/>
        </w:numPr>
      </w:pPr>
      <w:r>
        <w:t xml:space="preserve">Pérdida o corrupción no recuperable de datos.</w:t>
      </w:r>
    </w:p>
    <w:p>
      <w:pPr>
        <w:numPr>
          <w:ilvl w:val="0"/>
          <w:numId w:val="1000"/>
        </w:numPr>
      </w:pPr>
      <w:r>
        <w:rPr>
          <w:b/>
          <w:bCs/>
        </w:rPr>
        <w:t xml:space="preserve">EL RESELLER</w:t>
      </w:r>
      <w:r>
        <w:t xml:space="preserve"> </w:t>
      </w:r>
      <w:r>
        <w:t xml:space="preserve">puede terminar con treinta (30) días de notificación escrita.</w:t>
      </w:r>
    </w:p>
    <w:p>
      <w:pPr>
        <w:numPr>
          <w:ilvl w:val="0"/>
          <w:numId w:val="1029"/>
        </w:numPr>
      </w:pPr>
      <w:r>
        <w:rPr>
          <w:b/>
          <w:bCs/>
        </w:rPr>
        <w:t xml:space="preserve">Decisión de Autoridad Competente:</w:t>
      </w:r>
      <w:r>
        <w:t xml:space="preserve"> </w:t>
      </w:r>
      <w:r>
        <w:t xml:space="preserve">Si la DIAN, Superintendencia de Industria y Comercio u otro organismo ordena suspender los servicios.</w:t>
      </w:r>
    </w:p>
    <w:p>
      <w:pPr>
        <w:numPr>
          <w:ilvl w:val="0"/>
          <w:numId w:val="1029"/>
        </w:numPr>
      </w:pPr>
      <w:r>
        <w:rPr>
          <w:b/>
          <w:bCs/>
        </w:rPr>
        <w:t xml:space="preserve">Liquidación de Cualquiera de las Partes:</w:t>
      </w:r>
      <w:r>
        <w:t xml:space="preserve"> </w:t>
      </w:r>
      <w:r>
        <w:t xml:space="preserve">Por insolvencia, liquidación voluntaria, o evento de fuerza mayor irreversible.</w:t>
      </w:r>
    </w:p>
    <w:bookmarkEnd w:id="966"/>
    <w:bookmarkStart w:id="967" w:name="procedimiento-de-terminación"/>
    <w:p>
      <w:pPr>
        <w:pStyle w:val="Heading2"/>
      </w:pPr>
      <w:r>
        <w:t xml:space="preserve">15.2 Procedimiento de terminación</w:t>
      </w:r>
    </w:p>
    <w:p>
      <w:pPr>
        <w:numPr>
          <w:ilvl w:val="0"/>
          <w:numId w:val="1032"/>
        </w:numPr>
      </w:pPr>
      <w:r>
        <w:t xml:space="preserve">La parte que desee terminar notifica por escrito a la otra, indicando fecha de efectividad (mínimo treinta [30] días calendario, salvo terminación por mal funcionamiento grave de</w:t>
      </w:r>
      <w:r>
        <w:t xml:space="preserve"> </w:t>
      </w:r>
      <w:r>
        <w:rPr>
          <w:b/>
          <w:bCs/>
        </w:rPr>
        <w:t xml:space="preserve">FACTUS</w:t>
      </w:r>
      <w:r>
        <w:t xml:space="preserve"> </w:t>
      </w:r>
      <w:r>
        <w:t xml:space="preserve">o causales LA/FT, que operan de pleno derecho).</w:t>
      </w:r>
    </w:p>
    <w:p>
      <w:pPr>
        <w:numPr>
          <w:ilvl w:val="0"/>
          <w:numId w:val="1032"/>
        </w:numPr>
      </w:pPr>
      <w:r>
        <w:t xml:space="preserve">En la fecha de efectividad, se suspende el acceso a</w:t>
      </w:r>
      <w:r>
        <w:t xml:space="preserve"> </w:t>
      </w:r>
      <w:r>
        <w:rPr>
          <w:b/>
          <w:bCs/>
        </w:rPr>
        <w:t xml:space="preserve">LA PLATAFORMA</w:t>
      </w:r>
      <w:r>
        <w:t xml:space="preserve">.</w:t>
      </w:r>
    </w:p>
    <w:p>
      <w:pPr>
        <w:numPr>
          <w:ilvl w:val="0"/>
          <w:numId w:val="1032"/>
        </w:numPr>
      </w:pPr>
      <w:r>
        <w:rPr>
          <w:b/>
          <w:bCs/>
        </w:rPr>
        <w:t xml:space="preserve">EL RESELLER</w:t>
      </w:r>
      <w:r>
        <w:t xml:space="preserve"> </w:t>
      </w:r>
      <w:r>
        <w:t xml:space="preserve">puede solicitar copia de sus datos hasta diez (10) días después de la terminación.</w:t>
      </w:r>
    </w:p>
    <w:p>
      <w:pPr>
        <w:numPr>
          <w:ilvl w:val="0"/>
          <w:numId w:val="1032"/>
        </w:numPr>
      </w:pPr>
      <w:r>
        <w:t xml:space="preserve">Saldos pendientes de pago se cobran a</w:t>
      </w:r>
      <w:r>
        <w:t xml:space="preserve"> </w:t>
      </w:r>
      <w:r>
        <w:rPr>
          <w:b/>
          <w:bCs/>
        </w:rPr>
        <w:t xml:space="preserve">EL RESELLER</w:t>
      </w:r>
      <w:r>
        <w:t xml:space="preserve">; saldos a favor se reembolsan en máximo diez (10) días hábiles.</w:t>
      </w:r>
    </w:p>
    <w:bookmarkEnd w:id="967"/>
    <w:bookmarkStart w:id="968" w:name="consecuencias-de-terminación"/>
    <w:p>
      <w:pPr>
        <w:pStyle w:val="Heading2"/>
      </w:pPr>
      <w:r>
        <w:t xml:space="preserve">15.3 Consecuencias de terminación</w:t>
      </w:r>
    </w:p>
    <w:p>
      <w:pPr>
        <w:numPr>
          <w:ilvl w:val="0"/>
          <w:numId w:val="1033"/>
        </w:numPr>
      </w:pPr>
      <w:r>
        <w:t xml:space="preserve">Cesa la obligación de</w:t>
      </w:r>
      <w:r>
        <w:t xml:space="preserve"> </w:t>
      </w:r>
      <w:r>
        <w:rPr>
          <w:b/>
          <w:bCs/>
        </w:rPr>
        <w:t xml:space="preserve">FACTUS</w:t>
      </w:r>
      <w:r>
        <w:t xml:space="preserve"> </w:t>
      </w:r>
      <w:r>
        <w:t xml:space="preserve">de mantener disponibilidad SLA.</w:t>
      </w:r>
    </w:p>
    <w:p>
      <w:pPr>
        <w:numPr>
          <w:ilvl w:val="0"/>
          <w:numId w:val="1033"/>
        </w:numPr>
      </w:pPr>
      <w:r>
        <w:t xml:space="preserve">Datos de</w:t>
      </w:r>
      <w:r>
        <w:t xml:space="preserve"> </w:t>
      </w:r>
      <w:r>
        <w:rPr>
          <w:b/>
          <w:bCs/>
        </w:rPr>
        <w:t xml:space="preserve">EL RESELLER</w:t>
      </w:r>
      <w:r>
        <w:t xml:space="preserve"> </w:t>
      </w:r>
      <w:r>
        <w:t xml:space="preserve">se retienen cinco (5) años (DIAN), luego se destruyen conforme la Cláusula Décima (Protección de Datos).</w:t>
      </w:r>
    </w:p>
    <w:p>
      <w:pPr>
        <w:numPr>
          <w:ilvl w:val="0"/>
          <w:numId w:val="1033"/>
        </w:numPr>
      </w:pPr>
      <w:r>
        <w:t xml:space="preserve">Documentos emitidos antes de terminación permanecen en histórico de la DIAN;</w:t>
      </w:r>
      <w:r>
        <w:t xml:space="preserve"> </w:t>
      </w:r>
      <w:r>
        <w:rPr>
          <w:b/>
          <w:bCs/>
        </w:rPr>
        <w:t xml:space="preserve">FACTUS</w:t>
      </w:r>
      <w:r>
        <w:t xml:space="preserve"> </w:t>
      </w:r>
      <w:r>
        <w:t xml:space="preserve">no los borra.</w:t>
      </w:r>
    </w:p>
    <w:p>
      <w:pPr>
        <w:numPr>
          <w:ilvl w:val="0"/>
          <w:numId w:val="1033"/>
        </w:numPr>
      </w:pPr>
      <w:r>
        <w:t xml:space="preserve">Credenciales de acceso se desactivan de manera permanente.</w:t>
      </w:r>
    </w:p>
    <w:p>
      <w:r>
        <w:pict>
          <v:rect style="width:0;height:1.5pt" o:hralign="center" o:hrstd="t" o:hr="t"/>
        </w:pict>
      </w:r>
    </w:p>
    <w:bookmarkEnd w:id="968"/>
    <w:bookmarkEnd w:id="969"/>
    <w:bookmarkStart w:id="974" w:name="cláusula-penal"/>
    <w:p>
      <w:pPr>
        <w:pStyle w:val="Heading1"/>
      </w:pPr>
      <w:r>
        <w:t xml:space="preserve">16. CLÁUSULA PENAL</w:t>
      </w:r>
    </w:p>
    <w:bookmarkStart w:id="970" w:name="X1baaa442ec0b95854073a186c7b958dfd5ce8ff"/>
    <w:p>
      <w:pPr>
        <w:pStyle w:val="Heading2"/>
      </w:pPr>
      <w:r>
        <w:t xml:space="preserve">16.1 Incumplimiento en pago por parte de EL RESELLER</w:t>
      </w:r>
    </w:p>
    <w:p>
      <w:pPr>
        <w:pStyle w:val="FirstParagraph"/>
      </w:pPr>
      <w:r>
        <w:t xml:space="preserve">Si</w:t>
      </w:r>
      <w:r>
        <w:t xml:space="preserve"> </w:t>
      </w:r>
      <w:r>
        <w:rPr>
          <w:b/>
          <w:bCs/>
        </w:rPr>
        <w:t xml:space="preserve">EL RESELLER</w:t>
      </w:r>
      <w:r>
        <w:t xml:space="preserve"> </w:t>
      </w:r>
      <w:r>
        <w:t xml:space="preserve">incumple la obligación de pago de la factura emitida por</w:t>
      </w:r>
      <w:r>
        <w:t xml:space="preserve"> </w:t>
      </w:r>
      <w:r>
        <w:rPr>
          <w:b/>
          <w:bCs/>
        </w:rPr>
        <w:t xml:space="preserve">FACTUS</w:t>
      </w:r>
      <w:r>
        <w:t xml:space="preserve"> </w:t>
      </w:r>
      <w:r>
        <w:t xml:space="preserve">por período superior a sesenta (60) días calendario:</w:t>
      </w:r>
    </w:p>
    <w:p>
      <w:pPr>
        <w:numPr>
          <w:ilvl w:val="0"/>
          <w:numId w:val="1034"/>
        </w:numPr>
      </w:pPr>
      <w:r>
        <w:t xml:space="preserve">Genera automáticamente el derecho de</w:t>
      </w:r>
      <w:r>
        <w:t xml:space="preserve"> </w:t>
      </w:r>
      <w:r>
        <w:rPr>
          <w:b/>
          <w:bCs/>
        </w:rPr>
        <w:t xml:space="preserve">FACTUS</w:t>
      </w:r>
      <w:r>
        <w:t xml:space="preserve"> </w:t>
      </w:r>
      <w:r>
        <w:t xml:space="preserve">a exigir intereses moratorios a la tasa máxima legalmente permitida, desde el día siguiente al vencimiento, conforme al artículo 884 del Código de Comercio.</w:t>
      </w:r>
    </w:p>
    <w:p>
      <w:pPr>
        <w:numPr>
          <w:ilvl w:val="0"/>
          <w:numId w:val="1034"/>
        </w:numPr>
      </w:pPr>
      <w:r>
        <w:t xml:space="preserve">Genera, además, penalidad convencional equivalente a un (1) mes completo del valor mensual contratado, como liquidación convencional de perjuicios derivados de la mora (costo de gestión de cobro, costo de oportunidad, detrimento crediticio).</w:t>
      </w:r>
    </w:p>
    <w:p>
      <w:pPr>
        <w:numPr>
          <w:ilvl w:val="0"/>
          <w:numId w:val="1034"/>
        </w:numPr>
      </w:pPr>
      <w:r>
        <w:t xml:space="preserve">La penalidad se cobra junto con el capital adeudado e intereses, sin necesidad de acción judicial previa ni comprobación adicional de daño.</w:t>
      </w:r>
    </w:p>
    <w:bookmarkEnd w:id="970"/>
    <w:bookmarkStart w:id="971" w:name="incumplimiento-grave-de-factus"/>
    <w:p>
      <w:pPr>
        <w:pStyle w:val="Heading2"/>
      </w:pPr>
      <w:r>
        <w:t xml:space="preserve">16.2 Incumplimiento grave de FACTUS</w:t>
      </w:r>
    </w:p>
    <w:p>
      <w:pPr>
        <w:pStyle w:val="FirstParagraph"/>
      </w:pPr>
      <w:r>
        <w:t xml:space="preserve">Si</w:t>
      </w:r>
      <w:r>
        <w:t xml:space="preserve"> </w:t>
      </w:r>
      <w:r>
        <w:rPr>
          <w:b/>
          <w:bCs/>
        </w:rPr>
        <w:t xml:space="preserve">FACTUS</w:t>
      </w:r>
      <w:r>
        <w:t xml:space="preserve"> </w:t>
      </w:r>
      <w:r>
        <w:t xml:space="preserve">incumple obligaciones críticas —específicamente: (i) mantener disponibilidad SLA por período superior a veinte (20) días hábiles sin causa justificada; (ii) divulgación no autorizada de información confidencial de</w:t>
      </w:r>
      <w:r>
        <w:t xml:space="preserve"> </w:t>
      </w:r>
      <w:r>
        <w:rPr>
          <w:b/>
          <w:bCs/>
        </w:rPr>
        <w:t xml:space="preserve">EL RESELLER</w:t>
      </w:r>
      <w:r>
        <w:t xml:space="preserve">; o (iii) pérdida o corrupción de datos sin restauración viable—:</w:t>
      </w:r>
    </w:p>
    <w:p>
      <w:pPr>
        <w:numPr>
          <w:ilvl w:val="0"/>
          <w:numId w:val="1035"/>
        </w:numPr>
      </w:pPr>
      <w:r>
        <w:rPr>
          <w:b/>
          <w:bCs/>
        </w:rPr>
        <w:t xml:space="preserve">EL RESELLER</w:t>
      </w:r>
      <w:r>
        <w:t xml:space="preserve"> </w:t>
      </w:r>
      <w:r>
        <w:t xml:space="preserve">tiene derecho a reclamar penalidad convencional equivalente a un (1) mes completo del valor mensual contratado, como liquidación anticipada de daños.</w:t>
      </w:r>
    </w:p>
    <w:p>
      <w:pPr>
        <w:numPr>
          <w:ilvl w:val="0"/>
          <w:numId w:val="1035"/>
        </w:numPr>
      </w:pPr>
      <w:r>
        <w:t xml:space="preserve">Esta penalidad se compensa contra pagos adeudados por</w:t>
      </w:r>
      <w:r>
        <w:t xml:space="preserve"> </w:t>
      </w:r>
      <w:r>
        <w:rPr>
          <w:b/>
          <w:bCs/>
        </w:rPr>
        <w:t xml:space="preserve">FACTUS</w:t>
      </w:r>
      <w:r>
        <w:t xml:space="preserve"> </w:t>
      </w:r>
      <w:r>
        <w:t xml:space="preserve">o por</w:t>
      </w:r>
      <w:r>
        <w:t xml:space="preserve"> </w:t>
      </w:r>
      <w:r>
        <w:rPr>
          <w:b/>
          <w:bCs/>
        </w:rPr>
        <w:t xml:space="preserve">EL RESELLER</w:t>
      </w:r>
      <w:r>
        <w:t xml:space="preserve"> </w:t>
      </w:r>
      <w:r>
        <w:t xml:space="preserve">en siguiente ciclo de facturación, o se reembolsa en efectivo en máximo diez (10) días hábiles si la relación termina.</w:t>
      </w:r>
    </w:p>
    <w:p>
      <w:pPr>
        <w:numPr>
          <w:ilvl w:val="0"/>
          <w:numId w:val="1035"/>
        </w:numPr>
      </w:pPr>
      <w:r>
        <w:t xml:space="preserve">La reclamación requiere notificación escrita detallando el incumplimiento;</w:t>
      </w:r>
      <w:r>
        <w:t xml:space="preserve"> </w:t>
      </w:r>
      <w:r>
        <w:rPr>
          <w:b/>
          <w:bCs/>
        </w:rPr>
        <w:t xml:space="preserve">FACTUS</w:t>
      </w:r>
      <w:r>
        <w:t xml:space="preserve"> </w:t>
      </w:r>
      <w:r>
        <w:t xml:space="preserve">tiene cinco (5) días hábiles para presentar descargos.</w:t>
      </w:r>
    </w:p>
    <w:bookmarkEnd w:id="971"/>
    <w:bookmarkStart w:id="972" w:name="Xa674d3e21d34adbc2189a30f50c41b116c4d7bd"/>
    <w:p>
      <w:pPr>
        <w:pStyle w:val="Heading2"/>
      </w:pPr>
      <w:r>
        <w:t xml:space="preserve">16.3 Naturaleza y ejecución de la cláusula penal</w:t>
      </w:r>
    </w:p>
    <w:p>
      <w:pPr>
        <w:numPr>
          <w:ilvl w:val="0"/>
          <w:numId w:val="1036"/>
        </w:numPr>
      </w:pPr>
      <w:r>
        <w:t xml:space="preserve">La cláusula penal tiene carácter de liquidación convencional de perjuicios (cláusula penal resarcitoria), no sancionatoria.</w:t>
      </w:r>
    </w:p>
    <w:p>
      <w:pPr>
        <w:numPr>
          <w:ilvl w:val="0"/>
          <w:numId w:val="1036"/>
        </w:numPr>
      </w:pPr>
      <w:r>
        <w:t xml:space="preserve">Es exigible de pleno derecho sin necesidad de acción judicial previa, reconocimiento de deuda o comprobación adicional de daños efectivos.</w:t>
      </w:r>
    </w:p>
    <w:p>
      <w:pPr>
        <w:numPr>
          <w:ilvl w:val="0"/>
          <w:numId w:val="1036"/>
        </w:numPr>
      </w:pPr>
      <w:r>
        <w:t xml:space="preserve">El incumplidor puede oponerse si prueba que no hubo daño o que fue insignificante; la carga probatoria recae en quien se opone.</w:t>
      </w:r>
    </w:p>
    <w:p>
      <w:pPr>
        <w:numPr>
          <w:ilvl w:val="0"/>
          <w:numId w:val="1036"/>
        </w:numPr>
      </w:pPr>
      <w:r>
        <w:t xml:space="preserve">El cobro de la penalidad no impide reclamación posterior de daños y perjuicios adicionales si se prueban en juicio y exceden la suma de la cláusula.</w:t>
      </w:r>
    </w:p>
    <w:bookmarkEnd w:id="972"/>
    <w:bookmarkStart w:id="973" w:name="mérito-ejecutivo"/>
    <w:p>
      <w:pPr>
        <w:pStyle w:val="Heading2"/>
      </w:pPr>
      <w:r>
        <w:t xml:space="preserve">16.4 Mérito ejecutivo</w:t>
      </w:r>
    </w:p>
    <w:p>
      <w:pPr>
        <w:pStyle w:val="FirstParagraph"/>
      </w:pPr>
      <w:r>
        <w:t xml:space="preserve">Este</w:t>
      </w:r>
      <w:r>
        <w:t xml:space="preserve"> </w:t>
      </w:r>
      <w:r>
        <w:rPr>
          <w:b/>
          <w:bCs/>
        </w:rPr>
        <w:t xml:space="preserve">CONTRATO</w:t>
      </w:r>
      <w:r>
        <w:t xml:space="preserve"> </w:t>
      </w:r>
      <w:r>
        <w:t xml:space="preserve">presta mérito ejecutivo para exigir el cumplimiento de todas las obligaciones en él consagradas, especialmente la cláusula penal, por tratarse de obligaciones claras, expresas y exigibles al tenor de los artículos 422, 424 y 433 del Código General del Proceso. No requieren prueba diferente a la mera presentación en copia simple de</w:t>
      </w:r>
      <w:r>
        <w:t xml:space="preserve"> </w:t>
      </w:r>
      <w:r>
        <w:rPr>
          <w:b/>
          <w:bCs/>
        </w:rPr>
        <w:t xml:space="preserve">EL CONTRATO</w:t>
      </w:r>
      <w:r>
        <w:t xml:space="preserve"> </w:t>
      </w:r>
      <w:r>
        <w:t xml:space="preserve">debidamente suscrito por ambas</w:t>
      </w:r>
      <w:r>
        <w:t xml:space="preserve"> </w:t>
      </w:r>
      <w:r>
        <w:rPr>
          <w:b/>
          <w:bCs/>
        </w:rPr>
        <w:t xml:space="preserve">PARTES</w:t>
      </w:r>
      <w:r>
        <w:t xml:space="preserve">.</w:t>
      </w:r>
    </w:p>
    <w:p>
      <w:r>
        <w:pict>
          <v:rect style="width:0;height:1.5pt" o:hralign="center" o:hrstd="t" o:hr="t"/>
        </w:pict>
      </w:r>
    </w:p>
    <w:bookmarkEnd w:id="973"/>
    <w:bookmarkEnd w:id="974"/>
    <w:bookmarkStart w:id="978" w:name="confidencialidad-y-propiedad-intelectual"/>
    <w:p>
      <w:pPr>
        <w:pStyle w:val="Heading1"/>
      </w:pPr>
      <w:r>
        <w:t xml:space="preserve">17. CONFIDENCIALIDAD Y PROPIEDAD INTELECTUAL</w:t>
      </w:r>
    </w:p>
    <w:bookmarkStart w:id="975" w:name="información-confidencial"/>
    <w:p>
      <w:pPr>
        <w:pStyle w:val="Heading2"/>
      </w:pPr>
      <w:r>
        <w:t xml:space="preserve">17.1 Información confidencial</w:t>
      </w:r>
    </w:p>
    <w:p>
      <w:pPr>
        <w:numPr>
          <w:ilvl w:val="0"/>
          <w:numId w:val="1037"/>
        </w:numPr>
      </w:pPr>
      <w:r>
        <w:rPr>
          <w:b/>
          <w:bCs/>
        </w:rPr>
        <w:t xml:space="preserve">FACTUS</w:t>
      </w:r>
      <w:r>
        <w:t xml:space="preserve"> </w:t>
      </w:r>
      <w:r>
        <w:t xml:space="preserve">no revela términos comerciales de este</w:t>
      </w:r>
      <w:r>
        <w:t xml:space="preserve"> </w:t>
      </w:r>
      <w:r>
        <w:rPr>
          <w:b/>
          <w:bCs/>
        </w:rPr>
        <w:t xml:space="preserve">CONTRATO</w:t>
      </w:r>
      <w:r>
        <w:t xml:space="preserve"> </w:t>
      </w:r>
      <w:r>
        <w:t xml:space="preserve">a otros resellers, competidores o terceros sin consentimiento expreso de</w:t>
      </w:r>
      <w:r>
        <w:t xml:space="preserve"> </w:t>
      </w:r>
      <w:r>
        <w:rPr>
          <w:b/>
          <w:bCs/>
        </w:rPr>
        <w:t xml:space="preserve">EL RESELLER</w:t>
      </w:r>
      <w:r>
        <w:t xml:space="preserve">.</w:t>
      </w:r>
    </w:p>
    <w:p>
      <w:pPr>
        <w:numPr>
          <w:ilvl w:val="0"/>
          <w:numId w:val="1037"/>
        </w:numPr>
      </w:pPr>
      <w:r>
        <w:rPr>
          <w:b/>
          <w:bCs/>
        </w:rPr>
        <w:t xml:space="preserve">EL RESELLER</w:t>
      </w:r>
      <w:r>
        <w:t xml:space="preserve"> </w:t>
      </w:r>
      <w:r>
        <w:t xml:space="preserve">no revela credenciales de acceso, términos técnicos internos de</w:t>
      </w:r>
      <w:r>
        <w:t xml:space="preserve"> </w:t>
      </w:r>
      <w:r>
        <w:rPr>
          <w:b/>
          <w:bCs/>
        </w:rPr>
        <w:t xml:space="preserve">FACTUS</w:t>
      </w:r>
      <w:r>
        <w:t xml:space="preserve">, tablas de precios, términos comerciales, o secretos comerciales.</w:t>
      </w:r>
    </w:p>
    <w:p>
      <w:pPr>
        <w:numPr>
          <w:ilvl w:val="0"/>
          <w:numId w:val="1037"/>
        </w:numPr>
      </w:pPr>
      <w:r>
        <w:t xml:space="preserve">Vigencia de la confidencialidad: dos (2) años después de terminación de</w:t>
      </w:r>
      <w:r>
        <w:t xml:space="preserve"> </w:t>
      </w:r>
      <w:r>
        <w:rPr>
          <w:b/>
          <w:bCs/>
        </w:rPr>
        <w:t xml:space="preserve">EL CONTRATO</w:t>
      </w:r>
      <w:r>
        <w:t xml:space="preserve">.</w:t>
      </w:r>
    </w:p>
    <w:bookmarkEnd w:id="975"/>
    <w:bookmarkStart w:id="976" w:name="propiedad-intelectual"/>
    <w:p>
      <w:pPr>
        <w:pStyle w:val="Heading2"/>
      </w:pPr>
      <w:r>
        <w:t xml:space="preserve">17.2 Propiedad intelectual</w:t>
      </w:r>
    </w:p>
    <w:p>
      <w:pPr>
        <w:numPr>
          <w:ilvl w:val="0"/>
          <w:numId w:val="1038"/>
        </w:numPr>
      </w:pPr>
      <w:r>
        <w:t xml:space="preserve">La plataforma, código fuente, documentación, algoritmos, metodologías, modelos, arquitectura, interfaces, especificaciones técnicas y cualquier otra creación intelectual de</w:t>
      </w:r>
      <w:r>
        <w:t xml:space="preserve"> </w:t>
      </w:r>
      <w:r>
        <w:rPr>
          <w:b/>
          <w:bCs/>
        </w:rPr>
        <w:t xml:space="preserve">FACTUS</w:t>
      </w:r>
      <w:r>
        <w:t xml:space="preserve"> </w:t>
      </w:r>
      <w:r>
        <w:t xml:space="preserve">son propiedad exclusiva de</w:t>
      </w:r>
      <w:r>
        <w:t xml:space="preserve"> </w:t>
      </w:r>
      <w:r>
        <w:rPr>
          <w:b/>
          <w:bCs/>
        </w:rPr>
        <w:t xml:space="preserve">FACTUS</w:t>
      </w:r>
      <w:r>
        <w:t xml:space="preserve">.</w:t>
      </w:r>
    </w:p>
    <w:p>
      <w:pPr>
        <w:numPr>
          <w:ilvl w:val="0"/>
          <w:numId w:val="1038"/>
        </w:numPr>
      </w:pPr>
      <w:r>
        <w:rPr>
          <w:b/>
          <w:bCs/>
        </w:rPr>
        <w:t xml:space="preserve">EL RESELLER</w:t>
      </w:r>
      <w:r>
        <w:t xml:space="preserve"> </w:t>
      </w:r>
      <w:r>
        <w:t xml:space="preserve">tiene única y exclusivamente licencia de uso no exclusiva, intransferible y limitada durante vigencia de</w:t>
      </w:r>
      <w:r>
        <w:t xml:space="preserve"> </w:t>
      </w:r>
      <w:r>
        <w:rPr>
          <w:b/>
          <w:bCs/>
        </w:rPr>
        <w:t xml:space="preserve">EL CONTRATO</w:t>
      </w:r>
      <w:r>
        <w:t xml:space="preserve">.</w:t>
      </w:r>
    </w:p>
    <w:p>
      <w:pPr>
        <w:numPr>
          <w:ilvl w:val="0"/>
          <w:numId w:val="1038"/>
        </w:numPr>
      </w:pPr>
      <w:r>
        <w:t xml:space="preserve">Tras terminación,</w:t>
      </w:r>
      <w:r>
        <w:t xml:space="preserve"> </w:t>
      </w:r>
      <w:r>
        <w:rPr>
          <w:b/>
          <w:bCs/>
        </w:rPr>
        <w:t xml:space="preserve">EL RESELLER</w:t>
      </w:r>
      <w:r>
        <w:t xml:space="preserve"> </w:t>
      </w:r>
      <w:r>
        <w:t xml:space="preserve">no puede usar, reproducir, adaptar, traducir ni distribuir nada de lo anterior.</w:t>
      </w:r>
    </w:p>
    <w:bookmarkEnd w:id="976"/>
    <w:bookmarkStart w:id="977" w:name="documentos-del-cliente-final"/>
    <w:p>
      <w:pPr>
        <w:pStyle w:val="Heading2"/>
      </w:pPr>
      <w:r>
        <w:t xml:space="preserve">17.3 Documentos del cliente final</w:t>
      </w:r>
    </w:p>
    <w:p>
      <w:pPr>
        <w:numPr>
          <w:ilvl w:val="0"/>
          <w:numId w:val="1039"/>
        </w:numPr>
      </w:pPr>
      <w:r>
        <w:t xml:space="preserve">Los documentos electrónicos emitidos (facturas, notas débito/crédito, nóminas, etc.) pertenecen al cliente final, no a</w:t>
      </w:r>
      <w:r>
        <w:t xml:space="preserve"> </w:t>
      </w:r>
      <w:r>
        <w:rPr>
          <w:b/>
          <w:bCs/>
        </w:rPr>
        <w:t xml:space="preserve">FACTUS</w:t>
      </w:r>
      <w:r>
        <w:t xml:space="preserve"> </w:t>
      </w:r>
      <w:r>
        <w:t xml:space="preserve">ni a</w:t>
      </w:r>
      <w:r>
        <w:t xml:space="preserve"> </w:t>
      </w:r>
      <w:r>
        <w:rPr>
          <w:b/>
          <w:bCs/>
        </w:rPr>
        <w:t xml:space="preserve">EL RESELLER</w:t>
      </w:r>
      <w:r>
        <w:t xml:space="preserve">. El cliente final es quien decide qué hacer con esos documentos.</w:t>
      </w:r>
    </w:p>
    <w:p>
      <w:pPr>
        <w:numPr>
          <w:ilvl w:val="0"/>
          <w:numId w:val="1039"/>
        </w:numPr>
      </w:pPr>
      <w:r>
        <w:rPr>
          <w:b/>
          <w:bCs/>
        </w:rPr>
        <w:t xml:space="preserve">FACTUS</w:t>
      </w:r>
      <w:r>
        <w:t xml:space="preserve"> </w:t>
      </w:r>
      <w:r>
        <w:t xml:space="preserve">conserva copias en servidor conforme obligación legal DIAN (mínimo 5 años).</w:t>
      </w:r>
    </w:p>
    <w:p>
      <w:r>
        <w:pict>
          <v:rect style="width:0;height:1.5pt" o:hralign="center" o:hrstd="t" o:hr="t"/>
        </w:pict>
      </w:r>
    </w:p>
    <w:bookmarkEnd w:id="977"/>
    <w:bookmarkEnd w:id="978"/>
    <w:bookmarkStart w:id="982" w:name="solución-de-controversias"/>
    <w:p>
      <w:pPr>
        <w:pStyle w:val="Heading1"/>
      </w:pPr>
      <w:r>
        <w:t xml:space="preserve">18. SOLUCIÓN DE CONTROVERSIAS</w:t>
      </w:r>
    </w:p>
    <w:bookmarkStart w:id="979" w:name="procedimiento-escalonado-de-resolución"/>
    <w:p>
      <w:pPr>
        <w:pStyle w:val="Heading2"/>
      </w:pPr>
      <w:r>
        <w:t xml:space="preserve">18.1 Procedimiento escalonado de resolución</w:t>
      </w:r>
    </w:p>
    <w:p>
      <w:pPr>
        <w:pStyle w:val="FirstParagraph"/>
      </w:pPr>
      <w:r>
        <w:rPr>
          <w:b/>
          <w:bCs/>
        </w:rPr>
        <w:t xml:space="preserve">A. Gestión Directa:</w:t>
      </w:r>
      <w:r>
        <w:t xml:space="preserve"> </w:t>
      </w:r>
      <w:r>
        <w:t xml:space="preserve">Cualquier controversia, discrepancia o reclamación será comunicada por escrito a la otra parte en máximo diez (10) días hábiles desde el evento que la origina. Las partes se comprometen a diálogo directo para resolución expedita durante diez (10) días calendario subsecuentes.</w:t>
      </w:r>
    </w:p>
    <w:p>
      <w:pPr>
        <w:pStyle w:val="BodyText"/>
      </w:pPr>
      <w:r>
        <w:rPr>
          <w:b/>
          <w:bCs/>
        </w:rPr>
        <w:t xml:space="preserve">B. Mediación Conciliatoria:</w:t>
      </w:r>
      <w:r>
        <w:t xml:space="preserve"> </w:t>
      </w:r>
      <w:r>
        <w:t xml:space="preserve">Si el diálogo directo no produce acuerdo, la parte interesada podrá activar proceso de mediación ante Centro de Conciliación de la Cámara de Comercio competente según domicilio de</w:t>
      </w:r>
      <w:r>
        <w:t xml:space="preserve"> </w:t>
      </w:r>
      <w:r>
        <w:rPr>
          <w:b/>
          <w:bCs/>
        </w:rPr>
        <w:t xml:space="preserve">EL RESELLER</w:t>
      </w:r>
      <w:r>
        <w:t xml:space="preserve">. Las partes designan mediador dentro de cinco (5) días hábiles e intentan acuerdo en máximo veinte (20) días hábiles.</w:t>
      </w:r>
    </w:p>
    <w:p>
      <w:pPr>
        <w:pStyle w:val="BodyText"/>
      </w:pPr>
      <w:r>
        <w:rPr>
          <w:b/>
          <w:bCs/>
        </w:rPr>
        <w:t xml:space="preserve">C. Jurisdicción Ordinaria:</w:t>
      </w:r>
      <w:r>
        <w:t xml:space="preserve"> </w:t>
      </w:r>
      <w:r>
        <w:t xml:space="preserve">Si mediación no produce resultado, las partes consienten en que la controversia sea conocida y resuelta por juzgados civiles del circuito donde domicilia</w:t>
      </w:r>
      <w:r>
        <w:t xml:space="preserve"> </w:t>
      </w:r>
      <w:r>
        <w:rPr>
          <w:b/>
          <w:bCs/>
        </w:rPr>
        <w:t xml:space="preserve">EL RESELLER</w:t>
      </w:r>
      <w:r>
        <w:t xml:space="preserve">, renunciando a cualquier otra jurisdicción. Se excluye expresamente arbitraje.</w:t>
      </w:r>
    </w:p>
    <w:bookmarkEnd w:id="979"/>
    <w:bookmarkStart w:id="980" w:name="ley-aplicable-y-normas-interpretativas"/>
    <w:p>
      <w:pPr>
        <w:pStyle w:val="Heading2"/>
      </w:pPr>
      <w:r>
        <w:t xml:space="preserve">18.2 Ley aplicable y normas interpretativas</w:t>
      </w:r>
    </w:p>
    <w:p>
      <w:pPr>
        <w:pStyle w:val="FirstParagraph"/>
      </w:pPr>
      <w:r>
        <w:rPr>
          <w:b/>
          <w:bCs/>
        </w:rPr>
        <w:t xml:space="preserve">EL CONTRATO</w:t>
      </w:r>
      <w:r>
        <w:t xml:space="preserve"> </w:t>
      </w:r>
      <w:r>
        <w:t xml:space="preserve">se interpreta, ejecuta y resuelve conforme a las leyes sustantivas y procedimentales de la República de Colombia, en especial:</w:t>
      </w:r>
    </w:p>
    <w:p>
      <w:pPr>
        <w:pStyle w:val="Compact"/>
        <w:numPr>
          <w:ilvl w:val="0"/>
          <w:numId w:val="1040"/>
        </w:numPr>
      </w:pPr>
      <w:r>
        <w:t xml:space="preserve">Código Civil (obligaciones y contratos)</w:t>
      </w:r>
    </w:p>
    <w:p>
      <w:pPr>
        <w:pStyle w:val="Compact"/>
        <w:numPr>
          <w:ilvl w:val="0"/>
          <w:numId w:val="1040"/>
        </w:numPr>
      </w:pPr>
      <w:r>
        <w:t xml:space="preserve">Código de Procedimiento Civil (acciones y recursos)</w:t>
      </w:r>
    </w:p>
    <w:p>
      <w:pPr>
        <w:pStyle w:val="Compact"/>
        <w:numPr>
          <w:ilvl w:val="0"/>
          <w:numId w:val="1040"/>
        </w:numPr>
      </w:pPr>
      <w:r>
        <w:t xml:space="preserve">Resoluciones DIAN y normativa tributaria vigente</w:t>
      </w:r>
    </w:p>
    <w:p>
      <w:pPr>
        <w:pStyle w:val="Compact"/>
        <w:numPr>
          <w:ilvl w:val="0"/>
          <w:numId w:val="1040"/>
        </w:numPr>
      </w:pPr>
      <w:r>
        <w:t xml:space="preserve">Ley 1480/2011 (Estatuto del Consumidor, en lo aplicable)</w:t>
      </w:r>
    </w:p>
    <w:p>
      <w:pPr>
        <w:pStyle w:val="Compact"/>
        <w:numPr>
          <w:ilvl w:val="0"/>
          <w:numId w:val="1040"/>
        </w:numPr>
      </w:pPr>
      <w:r>
        <w:t xml:space="preserve">Ley 1581/2012 y Decreto 1377/2013 (protección datos personales)</w:t>
      </w:r>
    </w:p>
    <w:p>
      <w:pPr>
        <w:pStyle w:val="Compact"/>
        <w:numPr>
          <w:ilvl w:val="0"/>
          <w:numId w:val="1040"/>
        </w:numPr>
      </w:pPr>
      <w:r>
        <w:t xml:space="preserve">Ley 599 de 2000, artículos 323 y 345 (lavado de activos y financiación del terrorismo)</w:t>
      </w:r>
    </w:p>
    <w:p>
      <w:pPr>
        <w:pStyle w:val="Compact"/>
        <w:numPr>
          <w:ilvl w:val="0"/>
          <w:numId w:val="1040"/>
        </w:numPr>
      </w:pPr>
      <w:r>
        <w:t xml:space="preserve">Ley 527/1999 (mensajes de datos, comercio electrónico y firma digital)</w:t>
      </w:r>
    </w:p>
    <w:p>
      <w:pPr>
        <w:pStyle w:val="Compact"/>
        <w:numPr>
          <w:ilvl w:val="0"/>
          <w:numId w:val="1040"/>
        </w:numPr>
      </w:pPr>
      <w:r>
        <w:t xml:space="preserve">Decreto 2364/2012 (firma electrónica, reglamentario del artículo 7 de la Ley 527/1999)</w:t>
      </w:r>
    </w:p>
    <w:bookmarkEnd w:id="980"/>
    <w:bookmarkStart w:id="981" w:name="cálculo-de-términos"/>
    <w:p>
      <w:pPr>
        <w:pStyle w:val="Heading2"/>
      </w:pPr>
      <w:r>
        <w:t xml:space="preserve">18.3 Cálculo de términos</w:t>
      </w:r>
    </w:p>
    <w:p>
      <w:pPr>
        <w:pStyle w:val="FirstParagraph"/>
      </w:pPr>
      <w:r>
        <w:t xml:space="preserve">Todos los plazos mencionados en</w:t>
      </w:r>
      <w:r>
        <w:t xml:space="preserve"> </w:t>
      </w:r>
      <w:r>
        <w:rPr>
          <w:b/>
          <w:bCs/>
        </w:rPr>
        <w:t xml:space="preserve">EL CONTRATO</w:t>
      </w:r>
      <w:r>
        <w:t xml:space="preserve"> </w:t>
      </w:r>
      <w:r>
        <w:t xml:space="preserve">se cuentan en días calendario, excepto cuando se especifique</w:t>
      </w:r>
      <w:r>
        <w:t xml:space="preserve"> </w:t>
      </w:r>
      <w:r>
        <w:t xml:space="preserve">“días hábiles”</w:t>
      </w:r>
      <w:r>
        <w:t xml:space="preserve"> </w:t>
      </w:r>
      <w:r>
        <w:t xml:space="preserve">(excluyendo sábados, domingos y festivos colombianos). El término vencido sobre festivo se traslada al siguiente día hábil.</w:t>
      </w:r>
    </w:p>
    <w:p>
      <w:r>
        <w:pict>
          <v:rect style="width:0;height:1.5pt" o:hralign="center" o:hrstd="t" o:hr="t"/>
        </w:pict>
      </w:r>
    </w:p>
    <w:bookmarkEnd w:id="981"/>
    <w:bookmarkEnd w:id="982"/>
    <w:bookmarkStart w:id="987" w:name="disposiciones-finales"/>
    <w:p>
      <w:pPr>
        <w:pStyle w:val="Heading1"/>
      </w:pPr>
      <w:r>
        <w:t xml:space="preserve">19. DISPOSICIONES FINALES</w:t>
      </w:r>
    </w:p>
    <w:bookmarkStart w:id="983" w:name="modificación-de-el-contrato"/>
    <w:p>
      <w:pPr>
        <w:pStyle w:val="Heading2"/>
      </w:pPr>
      <w:r>
        <w:t xml:space="preserve">19.1 Modificación de EL CONTRATO</w:t>
      </w:r>
    </w:p>
    <w:p>
      <w:pPr>
        <w:pStyle w:val="FirstParagraph"/>
      </w:pPr>
      <w:r>
        <w:t xml:space="preserve">Cualquier modificación o adición a</w:t>
      </w:r>
      <w:r>
        <w:t xml:space="preserve"> </w:t>
      </w:r>
      <w:r>
        <w:rPr>
          <w:b/>
          <w:bCs/>
        </w:rPr>
        <w:t xml:space="preserve">EL CONTRATO</w:t>
      </w:r>
      <w:r>
        <w:t xml:space="preserve"> </w:t>
      </w:r>
      <w:r>
        <w:t xml:space="preserve">deberá realizarse por escrito y estar debidamente acordada y firmada por ambas</w:t>
      </w:r>
      <w:r>
        <w:t xml:space="preserve"> </w:t>
      </w:r>
      <w:r>
        <w:rPr>
          <w:b/>
          <w:bCs/>
        </w:rPr>
        <w:t xml:space="preserve">PARTES</w:t>
      </w:r>
      <w:r>
        <w:t xml:space="preserve">. ANEXO II (Catálogo de Servicios), ANEXO I (Acuerdo de Nivel de Servicio), y ANEXO III (Política de Retracto) forman parte integral de</w:t>
      </w:r>
      <w:r>
        <w:t xml:space="preserve"> </w:t>
      </w:r>
      <w:r>
        <w:rPr>
          <w:b/>
          <w:bCs/>
        </w:rPr>
        <w:t xml:space="preserve">EL CONTRATO</w:t>
      </w:r>
      <w:r>
        <w:t xml:space="preserve"> </w:t>
      </w:r>
      <w:r>
        <w:t xml:space="preserve">y tienen el mismo valor jurídico que el presente documento.</w:t>
      </w:r>
    </w:p>
    <w:bookmarkEnd w:id="983"/>
    <w:bookmarkStart w:id="984" w:name="integridad-del-contrato"/>
    <w:p>
      <w:pPr>
        <w:pStyle w:val="Heading2"/>
      </w:pPr>
      <w:r>
        <w:t xml:space="preserve">19.2 Integridad del contrato</w:t>
      </w:r>
    </w:p>
    <w:p>
      <w:pPr>
        <w:pStyle w:val="FirstParagraph"/>
      </w:pPr>
      <w:r>
        <w:rPr>
          <w:b/>
          <w:bCs/>
        </w:rPr>
        <w:t xml:space="preserve">EL CONTRATO</w:t>
      </w:r>
      <w:r>
        <w:t xml:space="preserve"> </w:t>
      </w:r>
      <w:r>
        <w:t xml:space="preserve">es el acuerdo único válido y vigente entre</w:t>
      </w:r>
      <w:r>
        <w:t xml:space="preserve"> </w:t>
      </w:r>
      <w:r>
        <w:rPr>
          <w:b/>
          <w:bCs/>
        </w:rPr>
        <w:t xml:space="preserve">LAS PARTES</w:t>
      </w:r>
      <w:r>
        <w:t xml:space="preserve">, y sustituye cualquier otro acuerdo verbal o escrito anterior entre ellas.</w:t>
      </w:r>
    </w:p>
    <w:bookmarkEnd w:id="984"/>
    <w:bookmarkStart w:id="985" w:name="autonomía-e-independencia"/>
    <w:p>
      <w:pPr>
        <w:pStyle w:val="Heading2"/>
      </w:pPr>
      <w:r>
        <w:t xml:space="preserve">19.3 Autonomía e independencia</w:t>
      </w:r>
    </w:p>
    <w:p>
      <w:pPr>
        <w:pStyle w:val="FirstParagraph"/>
      </w:pPr>
      <w:r>
        <w:rPr>
          <w:b/>
          <w:bCs/>
        </w:rPr>
        <w:t xml:space="preserve">FACTUS</w:t>
      </w:r>
      <w:r>
        <w:t xml:space="preserve"> </w:t>
      </w:r>
      <w:r>
        <w:t xml:space="preserve">presta</w:t>
      </w:r>
      <w:r>
        <w:t xml:space="preserve"> </w:t>
      </w:r>
      <w:r>
        <w:rPr>
          <w:b/>
          <w:bCs/>
        </w:rPr>
        <w:t xml:space="preserve">LOS SERVICIOS</w:t>
      </w:r>
      <w:r>
        <w:t xml:space="preserve"> </w:t>
      </w:r>
      <w:r>
        <w:t xml:space="preserve">con sus propios medios, con plena autonomía técnica y administrativa y sin subordinación alguna frente a</w:t>
      </w:r>
      <w:r>
        <w:t xml:space="preserve"> </w:t>
      </w:r>
      <w:r>
        <w:rPr>
          <w:b/>
          <w:bCs/>
        </w:rPr>
        <w:t xml:space="preserve">EL RESELLER</w:t>
      </w:r>
      <w:r>
        <w:t xml:space="preserve">. Entre</w:t>
      </w:r>
      <w:r>
        <w:t xml:space="preserve"> </w:t>
      </w:r>
      <w:r>
        <w:rPr>
          <w:b/>
          <w:bCs/>
        </w:rPr>
        <w:t xml:space="preserve">LAS PARTES</w:t>
      </w:r>
      <w:r>
        <w:t xml:space="preserve"> </w:t>
      </w:r>
      <w:r>
        <w:t xml:space="preserve">no existe ni existirá vínculo laboral alguno por la celebración de</w:t>
      </w:r>
      <w:r>
        <w:t xml:space="preserve"> </w:t>
      </w:r>
      <w:r>
        <w:rPr>
          <w:b/>
          <w:bCs/>
        </w:rPr>
        <w:t xml:space="preserve">EL CONTRATO</w:t>
      </w:r>
      <w:r>
        <w:t xml:space="preserve">.</w:t>
      </w:r>
    </w:p>
    <w:bookmarkEnd w:id="985"/>
    <w:bookmarkStart w:id="986" w:name="cesión"/>
    <w:p>
      <w:pPr>
        <w:pStyle w:val="Heading2"/>
      </w:pPr>
      <w:r>
        <w:t xml:space="preserve">19.4 Cesión</w:t>
      </w:r>
    </w:p>
    <w:p>
      <w:pPr>
        <w:pStyle w:val="FirstParagraph"/>
      </w:pPr>
      <w:r>
        <w:t xml:space="preserve">Ninguna de</w:t>
      </w:r>
      <w:r>
        <w:t xml:space="preserve"> </w:t>
      </w:r>
      <w:r>
        <w:rPr>
          <w:b/>
          <w:bCs/>
        </w:rPr>
        <w:t xml:space="preserve">LAS PARTES</w:t>
      </w:r>
      <w:r>
        <w:t xml:space="preserve"> </w:t>
      </w:r>
      <w:r>
        <w:t xml:space="preserve">podrá ceder</w:t>
      </w:r>
      <w:r>
        <w:t xml:space="preserve"> </w:t>
      </w:r>
      <w:r>
        <w:rPr>
          <w:b/>
          <w:bCs/>
        </w:rPr>
        <w:t xml:space="preserve">EL CONTRATO</w:t>
      </w:r>
      <w:r>
        <w:t xml:space="preserve"> </w:t>
      </w:r>
      <w:r>
        <w:t xml:space="preserve">sin autorización expresa y escrita de la otra.</w:t>
      </w:r>
    </w:p>
    <w:p>
      <w:r>
        <w:pict>
          <v:rect style="width:0;height:1.5pt" o:hralign="center" o:hrstd="t" o:hr="t"/>
        </w:pict>
      </w:r>
    </w:p>
    <w:bookmarkEnd w:id="986"/>
    <w:bookmarkEnd w:id="987"/>
    <w:bookmarkStart w:id="988" w:name="firmas"/>
    <w:p>
      <w:pPr>
        <w:pStyle w:val="Heading1"/>
      </w:pPr>
      <w:r>
        <w:t xml:space="preserve">20. FIRMAS</w:t>
      </w:r>
    </w:p>
    <w:p>
      <w:pPr>
        <w:pStyle w:val="FirstParagraph"/>
      </w:pPr>
      <w:r>
        <w:t xml:space="preserve">En prueba de conformidad con todo lo anterior,</w:t>
      </w:r>
      <w:r>
        <w:t xml:space="preserve"> </w:t>
      </w:r>
      <w:r>
        <w:rPr>
          <w:b/>
          <w:bCs/>
        </w:rPr>
        <w:t xml:space="preserve">LAS PARTES</w:t>
      </w:r>
      <w:r>
        <w:t xml:space="preserve"> </w:t>
      </w:r>
      <w:r>
        <w:t xml:space="preserve">firman este</w:t>
      </w:r>
      <w:r>
        <w:t xml:space="preserve"> </w:t>
      </w:r>
      <w:r>
        <w:rPr>
          <w:b/>
          <w:bCs/>
        </w:rPr>
        <w:t xml:space="preserve">CONTRATO</w:t>
      </w:r>
      <w:r>
        <w:t xml:space="preserve"> </w:t>
      </w:r>
      <w:r>
        <w:t xml:space="preserve">en el lugar y fecha indicados en la Sección de Identificación de Datos.</w:t>
      </w:r>
    </w:p>
    <w:p>
      <w:pPr>
        <w:pStyle w:val="BodyText"/>
      </w:pPr>
      <w:r>
        <w:rPr>
          <w:b/>
          <w:bCs/>
        </w:rPr>
        <w:t xml:space="preserve">POR FACTUS S.A.S.:</w:t>
      </w:r>
    </w:p>
    <w:p>
      <w:pPr>
        <w:pStyle w:val="BodyText"/>
      </w:pPr>
      <w:r>
        <w:t xml:space="preserve">Nombre: [NOMBRE REPRESENTANTE LEGAL FACTUS]</w:t>
      </w:r>
      <w:r>
        <w:br/>
      </w:r>
      <w:r>
        <w:t xml:space="preserve">Identificación: [CÉDULA]</w:t>
      </w:r>
      <w:r>
        <w:br/>
      </w:r>
      <w:r>
        <w:t xml:space="preserve">Cargo: [CARGO]</w:t>
      </w:r>
      <w:r>
        <w:br/>
      </w:r>
      <w:r>
        <w:t xml:space="preserve">Firma: ________________________</w:t>
      </w:r>
      <w:r>
        <w:br/>
      </w:r>
      <w:r>
        <w:t xml:space="preserve">Fecha: ________________________</w:t>
      </w:r>
    </w:p>
    <w:p>
      <w:pPr>
        <w:pStyle w:val="BodyText"/>
      </w:pPr>
      <w:r>
        <w:rPr>
          <w:b/>
          <w:bCs/>
        </w:rPr>
        <w:t xml:space="preserve">POR EL RESELLER:</w:t>
      </w:r>
    </w:p>
    <w:p>
      <w:pPr>
        <w:pStyle w:val="BodyText"/>
      </w:pPr>
      <w:r>
        <w:t xml:space="preserve">Nombre: [NOMBRE REPRESENTANTE LEGAL RESELLER]</w:t>
      </w:r>
      <w:r>
        <w:br/>
      </w:r>
      <w:r>
        <w:t xml:space="preserve">Identificación: [CÉDULA]</w:t>
      </w:r>
      <w:r>
        <w:br/>
      </w:r>
      <w:r>
        <w:t xml:space="preserve">Cargo: [CARGO]</w:t>
      </w:r>
      <w:r>
        <w:br/>
      </w:r>
      <w:r>
        <w:t xml:space="preserve">Firma: ________________________</w:t>
      </w:r>
      <w:r>
        <w:br/>
      </w:r>
      <w:r>
        <w:t xml:space="preserve">Fecha: ________________________</w:t>
      </w:r>
    </w:p>
    <w:p>
      <w:r>
        <w:pict>
          <v:rect style="width:0;height:1.5pt" o:hralign="center" o:hrstd="t" o:hr="t"/>
        </w:pict>
      </w:r>
    </w:p>
    <w:bookmarkEnd w:id="988"/>
    <w:bookmarkStart w:id="989" w:name="X132bcfcdfb1467e58f42109376e0474b34a81ed"/>
    <w:p>
      <w:pPr>
        <w:pStyle w:val="Heading1"/>
      </w:pPr>
      <w:r>
        <w:t xml:space="preserve">ANEXO I: acuerdo de nivel de servicio (SLA) detallado</w:t>
      </w:r>
    </w:p>
    <w:p>
      <w:pPr>
        <w:pStyle w:val="FirstParagraph"/>
      </w:pPr>
      <w:r>
        <w:rPr>
          <w:i/>
          <w:iCs/>
        </w:rPr>
        <w:t xml:space="preserve">Referencia: Cláusula Sexta del Contrato Principal</w:t>
      </w:r>
    </w:p>
    <w:bookmarkEnd w:id="989"/>
    <w:bookmarkStart w:id="990" w:name="disponibilidad-mensual-garantizada"/>
    <w:p>
      <w:pPr>
        <w:pStyle w:val="Heading1"/>
      </w:pPr>
      <w:r>
        <w:t xml:space="preserve">Disponibilidad mensual garantizada</w:t>
      </w:r>
    </w:p>
    <w:p>
      <w:pPr>
        <w:pStyle w:val="FirstParagraph"/>
      </w:pPr>
      <w:r>
        <w:rPr>
          <w:b/>
          <w:bCs/>
        </w:rPr>
        <w:t xml:space="preserve">FACTUS</w:t>
      </w:r>
      <w:r>
        <w:t xml:space="preserve"> </w:t>
      </w:r>
      <w:r>
        <w:t xml:space="preserve">se compromete a 99% de disponibilidad en horario hábil (lunes a viernes, 8:00 a.m. a 6:00 p.m. Colombia).</w:t>
      </w:r>
    </w:p>
    <w:p>
      <w:pPr>
        <w:pStyle w:val="Compact"/>
        <w:numPr>
          <w:ilvl w:val="0"/>
          <w:numId w:val="1041"/>
        </w:numPr>
      </w:pPr>
      <w:r>
        <w:t xml:space="preserve">1 mes = 21 días hábiles × 10 horas/día = 210 horas hábiles mensuales.</w:t>
      </w:r>
    </w:p>
    <w:p>
      <w:pPr>
        <w:pStyle w:val="Compact"/>
        <w:numPr>
          <w:ilvl w:val="0"/>
          <w:numId w:val="1041"/>
        </w:numPr>
      </w:pPr>
      <w:r>
        <w:t xml:space="preserve">99% = máximo 2,1 horas de indisponibilidad al mes.</w:t>
      </w:r>
    </w:p>
    <w:p>
      <w:pPr>
        <w:pStyle w:val="FirstParagraph"/>
      </w:pPr>
      <w:r>
        <w:t xml:space="preserve">El umbral es acumulativo: se suman todos los períodos de indisponibilidad del</w:t>
      </w:r>
      <w:r>
        <w:t xml:space="preserve"> </w:t>
      </w:r>
      <w:r>
        <w:t xml:space="preserve">mes, con independencia del número de incidentes que los hayan causado. El</w:t>
      </w:r>
      <w:r>
        <w:t xml:space="preserve"> </w:t>
      </w:r>
      <w:r>
        <w:t xml:space="preserve">incumplimiento se configura cuando esa suma supera 2,1 horas en el mes</w:t>
      </w:r>
      <w:r>
        <w:t xml:space="preserve"> </w:t>
      </w:r>
      <w:r>
        <w:t xml:space="preserve">calendario.</w:t>
      </w:r>
    </w:p>
    <w:bookmarkEnd w:id="990"/>
    <w:bookmarkStart w:id="991" w:name="tiempos-de-respuesta-y-resolución"/>
    <w:p>
      <w:pPr>
        <w:pStyle w:val="Heading1"/>
      </w:pPr>
      <w:r>
        <w:t xml:space="preserve">Tiempos de respuesta y resolución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Nivel</w:t>
            </w:r>
          </w:p>
        </w:tc>
        <w:tc>
          <w:tcPr/>
          <w:p>
            <w:pPr>
              <w:pStyle w:val="Compact"/>
              <w:jc w:val="left"/>
            </w:pPr>
            <w:r>
              <w:t xml:space="preserve">Primera Respuesta</w:t>
            </w:r>
          </w:p>
        </w:tc>
        <w:tc>
          <w:tcPr/>
          <w:p>
            <w:pPr>
              <w:pStyle w:val="Compact"/>
              <w:jc w:val="left"/>
            </w:pPr>
            <w:r>
              <w:t xml:space="preserve">Resolución Objetivo</w:t>
            </w:r>
          </w:p>
        </w:tc>
        <w:tc>
          <w:tcPr/>
          <w:p>
            <w:pPr>
              <w:pStyle w:val="Compact"/>
              <w:jc w:val="left"/>
            </w:pPr>
            <w:r>
              <w:t xml:space="preserve">Horario</w:t>
            </w:r>
          </w:p>
        </w:tc>
      </w:tr>
      <w:tr>
        <w:tc>
          <w:tcPr/>
          <w:p>
            <w:pPr>
              <w:pStyle w:val="Compact"/>
              <w:jc w:val="left"/>
            </w:pPr>
            <w:r>
              <w:t xml:space="preserve">Crítica (P1)</w:t>
            </w:r>
          </w:p>
        </w:tc>
        <w:tc>
          <w:tcPr/>
          <w:p>
            <w:pPr>
              <w:pStyle w:val="Compact"/>
              <w:jc w:val="left"/>
            </w:pPr>
            <w:r>
              <w:t xml:space="preserve">30 minutos</w:t>
            </w:r>
          </w:p>
        </w:tc>
        <w:tc>
          <w:tcPr/>
          <w:p>
            <w:pPr>
              <w:pStyle w:val="Compact"/>
              <w:jc w:val="left"/>
            </w:pPr>
            <w:r>
              <w:t xml:space="preserve">2 horas</w:t>
            </w:r>
          </w:p>
        </w:tc>
        <w:tc>
          <w:tcPr/>
          <w:p>
            <w:pPr>
              <w:pStyle w:val="Compact"/>
              <w:jc w:val="left"/>
            </w:pPr>
            <w:r>
              <w:t xml:space="preserve">Hábil</w:t>
            </w:r>
          </w:p>
        </w:tc>
      </w:tr>
      <w:tr>
        <w:tc>
          <w:tcPr/>
          <w:p>
            <w:pPr>
              <w:pStyle w:val="Compact"/>
              <w:jc w:val="left"/>
            </w:pPr>
            <w:r>
              <w:t xml:space="preserve">Alta (P2)</w:t>
            </w:r>
          </w:p>
        </w:tc>
        <w:tc>
          <w:tcPr/>
          <w:p>
            <w:pPr>
              <w:pStyle w:val="Compact"/>
              <w:jc w:val="left"/>
            </w:pPr>
            <w:r>
              <w:t xml:space="preserve">2 horas</w:t>
            </w:r>
          </w:p>
        </w:tc>
        <w:tc>
          <w:tcPr/>
          <w:p>
            <w:pPr>
              <w:pStyle w:val="Compact"/>
              <w:jc w:val="left"/>
            </w:pPr>
            <w:r>
              <w:t xml:space="preserve">4 horas</w:t>
            </w:r>
          </w:p>
        </w:tc>
        <w:tc>
          <w:tcPr/>
          <w:p>
            <w:pPr>
              <w:pStyle w:val="Compact"/>
              <w:jc w:val="left"/>
            </w:pPr>
            <w:r>
              <w:t xml:space="preserve">Hábil</w:t>
            </w:r>
          </w:p>
        </w:tc>
      </w:tr>
      <w:tr>
        <w:tc>
          <w:tcPr/>
          <w:p>
            <w:pPr>
              <w:pStyle w:val="Compact"/>
              <w:jc w:val="left"/>
            </w:pPr>
            <w:r>
              <w:t xml:space="preserve">Media (P3)</w:t>
            </w:r>
          </w:p>
        </w:tc>
        <w:tc>
          <w:tcPr/>
          <w:p>
            <w:pPr>
              <w:pStyle w:val="Compact"/>
              <w:jc w:val="left"/>
            </w:pPr>
            <w:r>
              <w:t xml:space="preserve">4 horas</w:t>
            </w:r>
          </w:p>
        </w:tc>
        <w:tc>
          <w:tcPr/>
          <w:p>
            <w:pPr>
              <w:pStyle w:val="Compact"/>
              <w:jc w:val="left"/>
            </w:pPr>
            <w:r>
              <w:t xml:space="preserve">8 horas</w:t>
            </w:r>
          </w:p>
        </w:tc>
        <w:tc>
          <w:tcPr/>
          <w:p>
            <w:pPr>
              <w:pStyle w:val="Compact"/>
              <w:jc w:val="left"/>
            </w:pPr>
            <w:r>
              <w:t xml:space="preserve">Hábil</w:t>
            </w:r>
          </w:p>
        </w:tc>
      </w:tr>
      <w:tr>
        <w:tc>
          <w:tcPr/>
          <w:p>
            <w:pPr>
              <w:pStyle w:val="Compact"/>
              <w:jc w:val="left"/>
            </w:pPr>
            <w:r>
              <w:t xml:space="preserve">Baja (P4)</w:t>
            </w:r>
          </w:p>
        </w:tc>
        <w:tc>
          <w:tcPr/>
          <w:p>
            <w:pPr>
              <w:pStyle w:val="Compact"/>
              <w:jc w:val="left"/>
            </w:pPr>
            <w:r>
              <w:t xml:space="preserve">24 horas</w:t>
            </w:r>
          </w:p>
        </w:tc>
        <w:tc>
          <w:tcPr/>
          <w:p>
            <w:pPr>
              <w:pStyle w:val="Compact"/>
              <w:jc w:val="left"/>
            </w:pPr>
            <w:r>
              <w:t xml:space="preserve">48 horas</w:t>
            </w:r>
          </w:p>
        </w:tc>
        <w:tc>
          <w:tcPr/>
          <w:p>
            <w:pPr>
              <w:pStyle w:val="Compact"/>
              <w:jc w:val="left"/>
            </w:pPr>
            <w:r>
              <w:t xml:space="preserve">Hábil</w:t>
            </w:r>
          </w:p>
        </w:tc>
      </w:tr>
    </w:tbl>
    <w:p>
      <w:pPr>
        <w:pStyle w:val="BodyText"/>
      </w:pPr>
      <w:r>
        <w:rPr>
          <w:b/>
          <w:bCs/>
        </w:rPr>
        <w:t xml:space="preserve">Nota:</w:t>
      </w:r>
      <w:r>
        <w:t xml:space="preserve"> </w:t>
      </w:r>
      <w:r>
        <w:t xml:space="preserve">Fuera de horario hábil, los tiempos comienzan el siguiente día hábil.</w:t>
      </w:r>
    </w:p>
    <w:bookmarkEnd w:id="991"/>
    <w:bookmarkStart w:id="992" w:name="mantenimiento-programado"/>
    <w:p>
      <w:pPr>
        <w:pStyle w:val="Heading1"/>
      </w:pPr>
      <w:r>
        <w:t xml:space="preserve">Mantenimiento programado</w:t>
      </w:r>
    </w:p>
    <w:p>
      <w:pPr>
        <w:pStyle w:val="Compact"/>
        <w:numPr>
          <w:ilvl w:val="0"/>
          <w:numId w:val="1042"/>
        </w:numPr>
      </w:pPr>
      <w:r>
        <w:t xml:space="preserve">Máximo 4 horas mensuales.</w:t>
      </w:r>
    </w:p>
    <w:p>
      <w:pPr>
        <w:pStyle w:val="Compact"/>
        <w:numPr>
          <w:ilvl w:val="0"/>
          <w:numId w:val="1042"/>
        </w:numPr>
      </w:pPr>
      <w:r>
        <w:t xml:space="preserve">Notificación mínima: 48 horas de anticipación.</w:t>
      </w:r>
    </w:p>
    <w:p>
      <w:pPr>
        <w:pStyle w:val="Compact"/>
        <w:numPr>
          <w:ilvl w:val="0"/>
          <w:numId w:val="1042"/>
        </w:numPr>
      </w:pPr>
      <w:r>
        <w:t xml:space="preserve">No entra en cómputo del SLA.</w:t>
      </w:r>
    </w:p>
    <w:bookmarkEnd w:id="992"/>
    <w:bookmarkStart w:id="993" w:name="certificados-digitales"/>
    <w:p>
      <w:pPr>
        <w:pStyle w:val="Heading1"/>
      </w:pPr>
      <w:r>
        <w:t xml:space="preserve">Certificados digitales</w:t>
      </w:r>
    </w:p>
    <w:p>
      <w:pPr>
        <w:pStyle w:val="Compact"/>
        <w:numPr>
          <w:ilvl w:val="0"/>
          <w:numId w:val="1043"/>
        </w:numPr>
      </w:pPr>
      <w:r>
        <w:t xml:space="preserve">Gestión y compra: 1-3 días hábiles (depende proveedor certificador).</w:t>
      </w:r>
    </w:p>
    <w:p>
      <w:pPr>
        <w:pStyle w:val="Compact"/>
        <w:numPr>
          <w:ilvl w:val="0"/>
          <w:numId w:val="1043"/>
        </w:numPr>
      </w:pPr>
      <w:r>
        <w:t xml:space="preserve">Activación en plataforma: Misma hora de recepción.</w:t>
      </w:r>
    </w:p>
    <w:p>
      <w:pPr>
        <w:pStyle w:val="Compact"/>
        <w:numPr>
          <w:ilvl w:val="0"/>
          <w:numId w:val="1043"/>
        </w:numPr>
      </w:pPr>
      <w:r>
        <w:t xml:space="preserve">Renovación de certificado vencido: Aplica plazo anterior.</w:t>
      </w:r>
    </w:p>
    <w:p>
      <w:r>
        <w:pict>
          <v:rect style="width:0;height:1.5pt" o:hralign="center" o:hrstd="t" o:hr="t"/>
        </w:pict>
      </w:r>
    </w:p>
    <w:bookmarkEnd w:id="993"/>
    <w:bookmarkStart w:id="994" w:name="anexo-ii-catálogo-de-servicios-incluidos"/>
    <w:p>
      <w:pPr>
        <w:pStyle w:val="Heading1"/>
      </w:pPr>
      <w:r>
        <w:t xml:space="preserve">ANEXO II: catálogo de servicios incluidos</w:t>
      </w:r>
    </w:p>
    <w:bookmarkEnd w:id="994"/>
    <w:bookmarkStart w:id="995" w:name="paquete-de-facturación-estándar-incluido"/>
    <w:p>
      <w:pPr>
        <w:pStyle w:val="Heading1"/>
      </w:pPr>
      <w:r>
        <w:t xml:space="preserve">Paquete de facturación estándar (incluido)</w:t>
      </w:r>
    </w:p>
    <w:p>
      <w:pPr>
        <w:pStyle w:val="Compact"/>
        <w:numPr>
          <w:ilvl w:val="0"/>
          <w:numId w:val="1044"/>
        </w:numPr>
      </w:pPr>
      <w:r>
        <w:t xml:space="preserve">Emisión de Facturas Electrónicas (ilimitadas).</w:t>
      </w:r>
    </w:p>
    <w:p>
      <w:pPr>
        <w:pStyle w:val="Compact"/>
        <w:numPr>
          <w:ilvl w:val="0"/>
          <w:numId w:val="1044"/>
        </w:numPr>
      </w:pPr>
      <w:r>
        <w:t xml:space="preserve">Emisión de Notas Débito/Crédito (ilimitadas).</w:t>
      </w:r>
    </w:p>
    <w:p>
      <w:pPr>
        <w:pStyle w:val="Compact"/>
        <w:numPr>
          <w:ilvl w:val="0"/>
          <w:numId w:val="1044"/>
        </w:numPr>
      </w:pPr>
      <w:r>
        <w:t xml:space="preserve">Emisión de Documentos Soporte Electrónicos (ilimitados).</w:t>
      </w:r>
    </w:p>
    <w:p>
      <w:pPr>
        <w:pStyle w:val="Compact"/>
        <w:numPr>
          <w:ilvl w:val="0"/>
          <w:numId w:val="1044"/>
        </w:numPr>
      </w:pPr>
      <w:r>
        <w:t xml:space="preserve">Acceso a reportes técnicos de radicación.</w:t>
      </w:r>
    </w:p>
    <w:p>
      <w:pPr>
        <w:pStyle w:val="Compact"/>
        <w:numPr>
          <w:ilvl w:val="0"/>
          <w:numId w:val="1044"/>
        </w:numPr>
      </w:pPr>
      <w:r>
        <w:t xml:space="preserve">Consulta en tiempo real de eventos DIAN.</w:t>
      </w:r>
    </w:p>
    <w:p>
      <w:pPr>
        <w:pStyle w:val="Compact"/>
        <w:numPr>
          <w:ilvl w:val="0"/>
          <w:numId w:val="1044"/>
        </w:numPr>
      </w:pPr>
      <w:r>
        <w:t xml:space="preserve">Panel de administración de clientes finales.</w:t>
      </w:r>
    </w:p>
    <w:p>
      <w:pPr>
        <w:pStyle w:val="Compact"/>
        <w:numPr>
          <w:ilvl w:val="0"/>
          <w:numId w:val="1044"/>
        </w:numPr>
      </w:pPr>
      <w:r>
        <w:t xml:space="preserve">Entorno Sandbox para pruebas.</w:t>
      </w:r>
    </w:p>
    <w:bookmarkEnd w:id="995"/>
    <w:bookmarkStart w:id="996" w:name="X5b70369fd80925ea3d195b5547714998cf57506"/>
    <w:p>
      <w:pPr>
        <w:pStyle w:val="Heading1"/>
      </w:pPr>
      <w:r>
        <w:t xml:space="preserve">Paquete de nómina electrónica (según modalidad contratada)</w:t>
      </w:r>
    </w:p>
    <w:p>
      <w:pPr>
        <w:pStyle w:val="Compact"/>
        <w:numPr>
          <w:ilvl w:val="0"/>
          <w:numId w:val="1045"/>
        </w:numPr>
      </w:pPr>
      <w:r>
        <w:t xml:space="preserve">Emisión de Nómina Electrónica (ilimitadas).</w:t>
      </w:r>
    </w:p>
    <w:p>
      <w:pPr>
        <w:pStyle w:val="Compact"/>
        <w:numPr>
          <w:ilvl w:val="0"/>
          <w:numId w:val="1045"/>
        </w:numPr>
      </w:pPr>
      <w:r>
        <w:t xml:space="preserve">Notas de Ajuste a Nómina.</w:t>
      </w:r>
    </w:p>
    <w:p>
      <w:pPr>
        <w:pStyle w:val="Compact"/>
        <w:numPr>
          <w:ilvl w:val="0"/>
          <w:numId w:val="1045"/>
        </w:numPr>
      </w:pPr>
      <w:r>
        <w:t xml:space="preserve">Reportes de radicación Nómina.</w:t>
      </w:r>
    </w:p>
    <w:p>
      <w:pPr>
        <w:pStyle w:val="Compact"/>
        <w:numPr>
          <w:ilvl w:val="0"/>
          <w:numId w:val="1045"/>
        </w:numPr>
      </w:pPr>
      <w:r>
        <w:t xml:space="preserve">Consulta de eventos Nómina.</w:t>
      </w:r>
    </w:p>
    <w:bookmarkEnd w:id="996"/>
    <w:bookmarkStart w:id="997" w:name="X708fd94ef6a4294dada7f2bdf96dbbabc76e279"/>
    <w:p>
      <w:pPr>
        <w:pStyle w:val="Heading1"/>
      </w:pPr>
      <w:r>
        <w:t xml:space="preserve">Paquete Radian (según modalidad contratada)</w:t>
      </w:r>
    </w:p>
    <w:p>
      <w:pPr>
        <w:pStyle w:val="Compact"/>
        <w:numPr>
          <w:ilvl w:val="0"/>
          <w:numId w:val="1046"/>
        </w:numPr>
      </w:pPr>
      <w:r>
        <w:t xml:space="preserve">Consulta de eventos de recepción Radian.</w:t>
      </w:r>
    </w:p>
    <w:p>
      <w:pPr>
        <w:pStyle w:val="Compact"/>
        <w:numPr>
          <w:ilvl w:val="0"/>
          <w:numId w:val="1046"/>
        </w:numPr>
      </w:pPr>
      <w:r>
        <w:t xml:space="preserve">Carga de eventos de cliente (aceptación, rechazo, etc.).</w:t>
      </w:r>
    </w:p>
    <w:p>
      <w:pPr>
        <w:pStyle w:val="Compact"/>
        <w:numPr>
          <w:ilvl w:val="0"/>
          <w:numId w:val="1046"/>
        </w:numPr>
      </w:pPr>
      <w:r>
        <w:t xml:space="preserve">Reportes de estado Radian.</w:t>
      </w:r>
    </w:p>
    <w:bookmarkEnd w:id="997"/>
    <w:bookmarkStart w:id="998" w:name="X9eb5aea24f774e22a571df11125d169ffbdbdc9"/>
    <w:p>
      <w:pPr>
        <w:pStyle w:val="Heading1"/>
      </w:pPr>
      <w:r>
        <w:t xml:space="preserve">Servicios no incluidos (facturables adicionales)</w:t>
      </w:r>
    </w:p>
    <w:p>
      <w:pPr>
        <w:pStyle w:val="Compact"/>
        <w:numPr>
          <w:ilvl w:val="0"/>
          <w:numId w:val="1047"/>
        </w:numPr>
      </w:pPr>
      <w:r>
        <w:rPr>
          <w:b/>
          <w:bCs/>
        </w:rPr>
        <w:t xml:space="preserve">Certificados Digitales Adicionales:</w:t>
      </w:r>
      <w:r>
        <w:t xml:space="preserve"> </w:t>
      </w:r>
      <w:r>
        <w:t xml:space="preserve">Tarifa vigente por certificado (actualmente COP conforme lista de precios</w:t>
      </w:r>
      <w:r>
        <w:t xml:space="preserve"> </w:t>
      </w:r>
      <w:r>
        <w:rPr>
          <w:b/>
          <w:bCs/>
        </w:rPr>
        <w:t xml:space="preserve">FACTUS</w:t>
      </w:r>
      <w:r>
        <w:t xml:space="preserve">).</w:t>
      </w:r>
    </w:p>
    <w:p>
      <w:pPr>
        <w:pStyle w:val="Compact"/>
        <w:numPr>
          <w:ilvl w:val="0"/>
          <w:numId w:val="1047"/>
        </w:numPr>
      </w:pPr>
      <w:r>
        <w:rPr>
          <w:b/>
          <w:bCs/>
        </w:rPr>
        <w:t xml:space="preserve">Capacitación Personalizada:</w:t>
      </w:r>
      <w:r>
        <w:t xml:space="preserve"> </w:t>
      </w:r>
      <w:r>
        <w:t xml:space="preserve">A costo de horas profesionales.</w:t>
      </w:r>
    </w:p>
    <w:p>
      <w:pPr>
        <w:pStyle w:val="Compact"/>
        <w:numPr>
          <w:ilvl w:val="0"/>
          <w:numId w:val="1047"/>
        </w:numPr>
      </w:pPr>
      <w:r>
        <w:rPr>
          <w:b/>
          <w:bCs/>
        </w:rPr>
        <w:t xml:space="preserve">Integración API Customizada:</w:t>
      </w:r>
      <w:r>
        <w:t xml:space="preserve"> </w:t>
      </w:r>
      <w:r>
        <w:t xml:space="preserve">A costo de desarrollo.</w:t>
      </w:r>
    </w:p>
    <w:p>
      <w:pPr>
        <w:pStyle w:val="Compact"/>
        <w:numPr>
          <w:ilvl w:val="0"/>
          <w:numId w:val="1047"/>
        </w:numPr>
      </w:pPr>
      <w:r>
        <w:rPr>
          <w:b/>
          <w:bCs/>
        </w:rPr>
        <w:t xml:space="preserve">Recuperación de Datos:</w:t>
      </w:r>
      <w:r>
        <w:t xml:space="preserve"> </w:t>
      </w:r>
      <w:r>
        <w:t xml:space="preserve">A costo operativo.</w:t>
      </w:r>
    </w:p>
    <w:p>
      <w:pPr>
        <w:pStyle w:val="Compact"/>
        <w:numPr>
          <w:ilvl w:val="0"/>
          <w:numId w:val="1047"/>
        </w:numPr>
      </w:pPr>
      <w:r>
        <w:rPr>
          <w:b/>
          <w:bCs/>
        </w:rPr>
        <w:t xml:space="preserve">Reportes Personalizados:</w:t>
      </w:r>
      <w:r>
        <w:t xml:space="preserve"> </w:t>
      </w:r>
      <w:r>
        <w:t xml:space="preserve">A costo operativo.</w:t>
      </w:r>
    </w:p>
    <w:p>
      <w:pPr>
        <w:pStyle w:val="Compact"/>
        <w:numPr>
          <w:ilvl w:val="0"/>
          <w:numId w:val="1047"/>
        </w:numPr>
      </w:pPr>
      <w:r>
        <w:rPr>
          <w:b/>
          <w:bCs/>
        </w:rPr>
        <w:t xml:space="preserve">Soportes Especiales Fuera de Horario:</w:t>
      </w:r>
      <w:r>
        <w:t xml:space="preserve"> </w:t>
      </w:r>
      <w:r>
        <w:t xml:space="preserve">A tarifa acordada.</w:t>
      </w:r>
    </w:p>
    <w:p>
      <w:r>
        <w:pict>
          <v:rect style="width:0;height:1.5pt" o:hralign="center" o:hrstd="t" o:hr="t"/>
        </w:pict>
      </w:r>
    </w:p>
    <w:bookmarkEnd w:id="998"/>
    <w:bookmarkStart w:id="999" w:name="anexo-iii-política-de-retracto"/>
    <w:p>
      <w:pPr>
        <w:pStyle w:val="Heading1"/>
      </w:pPr>
      <w:r>
        <w:t xml:space="preserve">ANEXO III: política de retracto</w:t>
      </w:r>
    </w:p>
    <w:p>
      <w:pPr>
        <w:pStyle w:val="FirstParagraph"/>
      </w:pPr>
      <w:r>
        <w:rPr>
          <w:i/>
          <w:iCs/>
        </w:rPr>
        <w:t xml:space="preserve">Aplicable a Cláusula Catorce del Contrato Principal</w:t>
      </w:r>
    </w:p>
    <w:bookmarkEnd w:id="999"/>
    <w:bookmarkStart w:id="1006" w:name="derecho-de-retracto-del-reseller"/>
    <w:p>
      <w:pPr>
        <w:pStyle w:val="Heading1"/>
      </w:pPr>
      <w:r>
        <w:t xml:space="preserve">Derecho de retracto del RESELLER</w:t>
      </w:r>
    </w:p>
    <w:bookmarkStart w:id="1000" w:name="plazo-y-condiciones"/>
    <w:p>
      <w:pPr>
        <w:pStyle w:val="Heading2"/>
      </w:pPr>
      <w:r>
        <w:t xml:space="preserve">1. Plazo y condiciones</w:t>
      </w:r>
    </w:p>
    <w:p>
      <w:pPr>
        <w:numPr>
          <w:ilvl w:val="0"/>
          <w:numId w:val="1048"/>
        </w:numPr>
      </w:pPr>
      <w:r>
        <w:rPr>
          <w:b/>
          <w:bCs/>
        </w:rPr>
        <w:t xml:space="preserve">EL RESELLER</w:t>
      </w:r>
      <w:r>
        <w:t xml:space="preserve"> </w:t>
      </w:r>
      <w:r>
        <w:t xml:space="preserve">tiene derecho a retractarse del</w:t>
      </w:r>
      <w:r>
        <w:t xml:space="preserve"> </w:t>
      </w:r>
      <w:r>
        <w:rPr>
          <w:b/>
          <w:bCs/>
        </w:rPr>
        <w:t xml:space="preserve">CONTRATO</w:t>
      </w:r>
      <w:r>
        <w:t xml:space="preserve"> </w:t>
      </w:r>
      <w:r>
        <w:t xml:space="preserve">dentro de cinco (5) días hábiles contados desde la firma.</w:t>
      </w:r>
    </w:p>
    <w:p>
      <w:pPr>
        <w:numPr>
          <w:ilvl w:val="0"/>
          <w:numId w:val="1048"/>
        </w:numPr>
      </w:pPr>
      <w:r>
        <w:rPr>
          <w:b/>
          <w:bCs/>
        </w:rPr>
        <w:t xml:space="preserve">Condición sine qua non:</w:t>
      </w:r>
      <w:r>
        <w:t xml:space="preserve"> </w:t>
      </w:r>
      <w:r>
        <w:t xml:space="preserve">No se puede retractar si ya ha emitido documentos electrónicos o realizado transmisiones a la DIAN. La prestación del servicio (acceso, emisión) lo hace consumido y no retractable.</w:t>
      </w:r>
    </w:p>
    <w:p>
      <w:pPr>
        <w:numPr>
          <w:ilvl w:val="0"/>
          <w:numId w:val="1048"/>
        </w:numPr>
      </w:pPr>
      <w:r>
        <w:t xml:space="preserve">El retracto es sin penalidad para</w:t>
      </w:r>
      <w:r>
        <w:t xml:space="preserve"> </w:t>
      </w:r>
      <w:r>
        <w:rPr>
          <w:b/>
          <w:bCs/>
        </w:rPr>
        <w:t xml:space="preserve">EL RESELLER</w:t>
      </w:r>
      <w:r>
        <w:t xml:space="preserve">, salvo deducciones especificadas en Sección 3 (reembolso).</w:t>
      </w:r>
    </w:p>
    <w:bookmarkEnd w:id="1000"/>
    <w:bookmarkStart w:id="1001" w:name="procedimiento-de-retracto"/>
    <w:p>
      <w:pPr>
        <w:pStyle w:val="Heading2"/>
      </w:pPr>
      <w:r>
        <w:t xml:space="preserve">2. Procedimiento de retracto</w:t>
      </w:r>
    </w:p>
    <w:p>
      <w:pPr>
        <w:pStyle w:val="FirstParagraph"/>
      </w:pPr>
      <w:r>
        <w:t xml:space="preserve">Para ejercer retracto,</w:t>
      </w:r>
      <w:r>
        <w:t xml:space="preserve"> </w:t>
      </w:r>
      <w:r>
        <w:rPr>
          <w:b/>
          <w:bCs/>
        </w:rPr>
        <w:t xml:space="preserve">EL RESELLER</w:t>
      </w:r>
      <w:r>
        <w:t xml:space="preserve"> </w:t>
      </w:r>
      <w:r>
        <w:t xml:space="preserve">envía comunicación escrita (correo electrónico) a</w:t>
      </w:r>
      <w:r>
        <w:t xml:space="preserve"> </w:t>
      </w:r>
      <w:r>
        <w:rPr>
          <w:b/>
          <w:bCs/>
        </w:rPr>
        <w:t xml:space="preserve">FACTUS</w:t>
      </w:r>
      <w:r>
        <w:t xml:space="preserve"> </w:t>
      </w:r>
      <w:r>
        <w:t xml:space="preserve">indicando:</w:t>
      </w:r>
    </w:p>
    <w:p>
      <w:pPr>
        <w:pStyle w:val="Compact"/>
        <w:numPr>
          <w:ilvl w:val="0"/>
          <w:numId w:val="1049"/>
        </w:numPr>
      </w:pPr>
      <w:r>
        <w:t xml:space="preserve">“Declaro mi voluntad de retractarme conforme Cláusula Catorce y Anexo III del Contrato.”</w:t>
      </w:r>
    </w:p>
    <w:p>
      <w:pPr>
        <w:pStyle w:val="Compact"/>
        <w:numPr>
          <w:ilvl w:val="0"/>
          <w:numId w:val="1049"/>
        </w:numPr>
      </w:pPr>
      <w:r>
        <w:t xml:space="preserve">Información de cuenta bancaria para reembolso.</w:t>
      </w:r>
    </w:p>
    <w:p>
      <w:pPr>
        <w:pStyle w:val="Compact"/>
        <w:numPr>
          <w:ilvl w:val="0"/>
          <w:numId w:val="1049"/>
        </w:numPr>
      </w:pPr>
      <w:r>
        <w:t xml:space="preserve">Razón del retracto (opcional).</w:t>
      </w:r>
    </w:p>
    <w:bookmarkEnd w:id="1001"/>
    <w:bookmarkStart w:id="1002" w:name="reembolso"/>
    <w:p>
      <w:pPr>
        <w:pStyle w:val="Heading2"/>
      </w:pPr>
      <w:r>
        <w:t xml:space="preserve">3. Reembolso</w:t>
      </w:r>
    </w:p>
    <w:p>
      <w:pPr>
        <w:pStyle w:val="FirstParagraph"/>
      </w:pPr>
      <w:r>
        <w:rPr>
          <w:b/>
          <w:bCs/>
        </w:rPr>
        <w:t xml:space="preserve">FACTUS</w:t>
      </w:r>
      <w:r>
        <w:t xml:space="preserve"> </w:t>
      </w:r>
      <w:r>
        <w:t xml:space="preserve">reembolsa en máximo diez (10) días hábiles, descontando:</w:t>
      </w:r>
    </w:p>
    <w:p>
      <w:pPr>
        <w:pStyle w:val="Compact"/>
        <w:numPr>
          <w:ilvl w:val="0"/>
          <w:numId w:val="1050"/>
        </w:numPr>
      </w:pPr>
      <w:r>
        <w:t xml:space="preserve">Certificado digital ya emitido (costo no recuperable, conforme tarifa vigente).</w:t>
      </w:r>
    </w:p>
    <w:p>
      <w:pPr>
        <w:pStyle w:val="Compact"/>
        <w:numPr>
          <w:ilvl w:val="0"/>
          <w:numId w:val="1050"/>
        </w:numPr>
      </w:pPr>
      <w:r>
        <w:t xml:space="preserve">Cualquier costo real incurrido por</w:t>
      </w:r>
      <w:r>
        <w:t xml:space="preserve"> </w:t>
      </w:r>
      <w:r>
        <w:rPr>
          <w:b/>
          <w:bCs/>
        </w:rPr>
        <w:t xml:space="preserve">FACTUS</w:t>
      </w:r>
      <w:r>
        <w:t xml:space="preserve"> </w:t>
      </w:r>
      <w:r>
        <w:t xml:space="preserve">(gestión administrativa, procesamiento).</w:t>
      </w:r>
    </w:p>
    <w:p>
      <w:pPr>
        <w:pStyle w:val="Compact"/>
        <w:numPr>
          <w:ilvl w:val="0"/>
          <w:numId w:val="1050"/>
        </w:numPr>
      </w:pPr>
      <w:r>
        <w:t xml:space="preserve">Impuestos ya causados (IVA u otros).</w:t>
      </w:r>
    </w:p>
    <w:p>
      <w:pPr>
        <w:pStyle w:val="FirstParagraph"/>
      </w:pPr>
      <w:r>
        <w:t xml:space="preserve">El reembolso se efectúa a la cuenta bancaria indicada por</w:t>
      </w:r>
      <w:r>
        <w:t xml:space="preserve"> </w:t>
      </w:r>
      <w:r>
        <w:rPr>
          <w:b/>
          <w:bCs/>
        </w:rPr>
        <w:t xml:space="preserve">EL RESELLER</w:t>
      </w:r>
      <w:r>
        <w:t xml:space="preserve">.</w:t>
      </w:r>
    </w:p>
    <w:bookmarkEnd w:id="1002"/>
    <w:bookmarkStart w:id="1003" w:name="retracto-por-licencia-individual"/>
    <w:p>
      <w:pPr>
        <w:pStyle w:val="Heading2"/>
      </w:pPr>
      <w:r>
        <w:t xml:space="preserve">4. Retracto por licencia individual</w:t>
      </w:r>
    </w:p>
    <w:p>
      <w:pPr>
        <w:pStyle w:val="FirstParagraph"/>
      </w:pPr>
      <w:r>
        <w:t xml:space="preserve">Si</w:t>
      </w:r>
      <w:r>
        <w:t xml:space="preserve"> </w:t>
      </w:r>
      <w:r>
        <w:rPr>
          <w:b/>
          <w:bCs/>
        </w:rPr>
        <w:t xml:space="preserve">EL RESELLER</w:t>
      </w:r>
      <w:r>
        <w:t xml:space="preserve"> </w:t>
      </w:r>
      <w:r>
        <w:t xml:space="preserve">compra una licencia (cliente final) adicional después de firma del</w:t>
      </w:r>
      <w:r>
        <w:t xml:space="preserve"> </w:t>
      </w:r>
      <w:r>
        <w:rPr>
          <w:b/>
          <w:bCs/>
        </w:rPr>
        <w:t xml:space="preserve">CONTRATO</w:t>
      </w:r>
      <w:r>
        <w:t xml:space="preserve"> </w:t>
      </w:r>
      <w:r>
        <w:t xml:space="preserve">principal:</w:t>
      </w:r>
    </w:p>
    <w:p>
      <w:pPr>
        <w:pStyle w:val="Compact"/>
        <w:numPr>
          <w:ilvl w:val="0"/>
          <w:numId w:val="1051"/>
        </w:numPr>
      </w:pPr>
      <w:r>
        <w:t xml:space="preserve">Retracto disponible por esa licencia individual en cinco (5) días hábiles desde su activación.</w:t>
      </w:r>
    </w:p>
    <w:p>
      <w:pPr>
        <w:pStyle w:val="Compact"/>
        <w:numPr>
          <w:ilvl w:val="0"/>
          <w:numId w:val="1051"/>
        </w:numPr>
      </w:pPr>
      <w:r>
        <w:t xml:space="preserve">Condición: Cliente final no debe haber emitido documentos.</w:t>
      </w:r>
    </w:p>
    <w:p>
      <w:pPr>
        <w:pStyle w:val="Compact"/>
        <w:numPr>
          <w:ilvl w:val="0"/>
          <w:numId w:val="1051"/>
        </w:numPr>
      </w:pPr>
      <w:r>
        <w:t xml:space="preserve">Reembolso: Costo de esa licencia menos certificado (si aplica) y costos reales incurridos.</w:t>
      </w:r>
    </w:p>
    <w:bookmarkEnd w:id="1003"/>
    <w:bookmarkStart w:id="1004" w:name="procedimiento-operativo"/>
    <w:p>
      <w:pPr>
        <w:pStyle w:val="Heading2"/>
      </w:pPr>
      <w:r>
        <w:t xml:space="preserve">5. Procedimiento operativo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Paso</w:t>
            </w:r>
          </w:p>
        </w:tc>
        <w:tc>
          <w:tcPr/>
          <w:p>
            <w:pPr>
              <w:pStyle w:val="Compact"/>
              <w:jc w:val="left"/>
            </w:pPr>
            <w:r>
              <w:t xml:space="preserve">Plazo</w:t>
            </w:r>
          </w:p>
        </w:tc>
        <w:tc>
          <w:tcPr/>
          <w:p>
            <w:pPr>
              <w:pStyle w:val="Compact"/>
              <w:jc w:val="left"/>
            </w:pPr>
            <w:r>
              <w:t xml:space="preserve">Responsable</w:t>
            </w:r>
          </w:p>
        </w:tc>
      </w:tr>
      <w:tr>
        <w:tc>
          <w:tcPr/>
          <w:p>
            <w:pPr>
              <w:pStyle w:val="Compact"/>
              <w:jc w:val="left"/>
            </w:pPr>
            <w:r>
              <w:t xml:space="preserve">RESELLER envía comunicación de retracto</w:t>
            </w:r>
          </w:p>
        </w:tc>
        <w:tc>
          <w:tcPr/>
          <w:p>
            <w:pPr>
              <w:pStyle w:val="Compact"/>
              <w:jc w:val="left"/>
            </w:pPr>
            <w:r>
              <w:t xml:space="preserve">Hasta día 5 hábil</w:t>
            </w:r>
          </w:p>
        </w:tc>
        <w:tc>
          <w:tcPr/>
          <w:p>
            <w:pPr>
              <w:pStyle w:val="Compact"/>
              <w:jc w:val="left"/>
            </w:pPr>
            <w:r>
              <w:t xml:space="preserve">RESELLER</w:t>
            </w:r>
          </w:p>
        </w:tc>
      </w:tr>
      <w:tr>
        <w:tc>
          <w:tcPr/>
          <w:p>
            <w:pPr>
              <w:pStyle w:val="Compact"/>
              <w:jc w:val="left"/>
            </w:pPr>
            <w:r>
              <w:t xml:space="preserve">FACTUS confirma recepción y valida condiciones</w:t>
            </w:r>
          </w:p>
        </w:tc>
        <w:tc>
          <w:tcPr/>
          <w:p>
            <w:pPr>
              <w:pStyle w:val="Compact"/>
              <w:jc w:val="left"/>
            </w:pPr>
            <w:r>
              <w:t xml:space="preserve">1 día hábil</w:t>
            </w:r>
          </w:p>
        </w:tc>
        <w:tc>
          <w:tcPr/>
          <w:p>
            <w:pPr>
              <w:pStyle w:val="Compact"/>
              <w:jc w:val="left"/>
            </w:pPr>
            <w:r>
              <w:t xml:space="preserve">FACTUS</w:t>
            </w:r>
          </w:p>
        </w:tc>
      </w:tr>
      <w:tr>
        <w:tc>
          <w:tcPr/>
          <w:p>
            <w:pPr>
              <w:pStyle w:val="Compact"/>
              <w:jc w:val="left"/>
            </w:pPr>
            <w:r>
              <w:t xml:space="preserve">FACTUS verifica sin emisiones en plataforma</w:t>
            </w:r>
          </w:p>
        </w:tc>
        <w:tc>
          <w:tcPr/>
          <w:p>
            <w:pPr>
              <w:pStyle w:val="Compact"/>
              <w:jc w:val="left"/>
            </w:pPr>
            <w:r>
              <w:t xml:space="preserve">1 día hábil</w:t>
            </w:r>
          </w:p>
        </w:tc>
        <w:tc>
          <w:tcPr/>
          <w:p>
            <w:pPr>
              <w:pStyle w:val="Compact"/>
              <w:jc w:val="left"/>
            </w:pPr>
            <w:r>
              <w:t xml:space="preserve">FACTUS</w:t>
            </w:r>
          </w:p>
        </w:tc>
      </w:tr>
      <w:tr>
        <w:tc>
          <w:tcPr/>
          <w:p>
            <w:pPr>
              <w:pStyle w:val="Compact"/>
              <w:jc w:val="left"/>
            </w:pPr>
            <w:r>
              <w:t xml:space="preserve">FACTUS procesa reembolso</w:t>
            </w:r>
          </w:p>
        </w:tc>
        <w:tc>
          <w:tcPr/>
          <w:p>
            <w:pPr>
              <w:pStyle w:val="Compact"/>
              <w:jc w:val="left"/>
            </w:pPr>
            <w:r>
              <w:t xml:space="preserve">10 días hábiles</w:t>
            </w:r>
          </w:p>
        </w:tc>
        <w:tc>
          <w:tcPr/>
          <w:p>
            <w:pPr>
              <w:pStyle w:val="Compact"/>
              <w:jc w:val="left"/>
            </w:pPr>
            <w:r>
              <w:t xml:space="preserve">FACTUS</w:t>
            </w:r>
          </w:p>
        </w:tc>
      </w:tr>
    </w:tbl>
    <w:bookmarkEnd w:id="1004"/>
    <w:bookmarkStart w:id="1005" w:name="efectos-del-retracto"/>
    <w:p>
      <w:pPr>
        <w:pStyle w:val="Heading2"/>
      </w:pPr>
      <w:r>
        <w:t xml:space="preserve">6. Efectos del retracto</w:t>
      </w:r>
    </w:p>
    <w:p>
      <w:pPr>
        <w:pStyle w:val="FirstParagraph"/>
      </w:pPr>
      <w:r>
        <w:t xml:space="preserve">Ejercido el retracto válido:</w:t>
      </w:r>
    </w:p>
    <w:p>
      <w:pPr>
        <w:pStyle w:val="Compact"/>
        <w:numPr>
          <w:ilvl w:val="0"/>
          <w:numId w:val="1052"/>
        </w:numPr>
      </w:pPr>
      <w:r>
        <w:t xml:space="preserve">Acceso a</w:t>
      </w:r>
      <w:r>
        <w:t xml:space="preserve"> </w:t>
      </w:r>
      <w:r>
        <w:rPr>
          <w:b/>
          <w:bCs/>
        </w:rPr>
        <w:t xml:space="preserve">LA PLATAFORMA</w:t>
      </w:r>
      <w:r>
        <w:t xml:space="preserve"> </w:t>
      </w:r>
      <w:r>
        <w:t xml:space="preserve">se suspende de inmediato.</w:t>
      </w:r>
    </w:p>
    <w:p>
      <w:pPr>
        <w:pStyle w:val="Compact"/>
        <w:numPr>
          <w:ilvl w:val="0"/>
          <w:numId w:val="1052"/>
        </w:numPr>
      </w:pPr>
      <w:r>
        <w:t xml:space="preserve">Documentos en borrador o no radicados se eliminan.</w:t>
      </w:r>
    </w:p>
    <w:p>
      <w:pPr>
        <w:pStyle w:val="Compact"/>
        <w:numPr>
          <w:ilvl w:val="0"/>
          <w:numId w:val="1052"/>
        </w:numPr>
      </w:pPr>
      <w:r>
        <w:t xml:space="preserve">Datos de</w:t>
      </w:r>
      <w:r>
        <w:t xml:space="preserve"> </w:t>
      </w:r>
      <w:r>
        <w:rPr>
          <w:b/>
          <w:bCs/>
        </w:rPr>
        <w:t xml:space="preserve">EL RESELLER</w:t>
      </w:r>
      <w:r>
        <w:t xml:space="preserve"> </w:t>
      </w:r>
      <w:r>
        <w:t xml:space="preserve">se retienen conforme obligación DIAN (5 años).</w:t>
      </w:r>
    </w:p>
    <w:p>
      <w:pPr>
        <w:pStyle w:val="Compact"/>
        <w:numPr>
          <w:ilvl w:val="0"/>
          <w:numId w:val="1052"/>
        </w:numPr>
      </w:pPr>
      <w:r>
        <w:t xml:space="preserve">No hay obligación de pagos futuros.</w:t>
      </w:r>
    </w:p>
    <w:p>
      <w:r>
        <w:pict>
          <v:rect style="width:0;height:1.5pt" o:hralign="center" o:hrstd="t" o:hr="t"/>
        </w:pict>
      </w:r>
    </w:p>
    <w:bookmarkEnd w:id="1005"/>
    <w:bookmarkEnd w:id="1006"/>
    <w:bookmarkStart w:id="1007" w:name="perfeccionamiento-y-firma"/>
    <w:p>
      <w:pPr>
        <w:pStyle w:val="Heading1"/>
      </w:pPr>
      <w:r>
        <w:t xml:space="preserve">Perfeccionamiento y firma</w:t>
      </w:r>
    </w:p>
    <w:p>
      <w:pPr>
        <w:pStyle w:val="FirstParagraph"/>
      </w:pPr>
      <w:r>
        <w:t xml:space="preserve">Este Contrato de Prestación de Servicios Tecnológicos es el acuerdo integral entre</w:t>
      </w:r>
      <w:r>
        <w:t xml:space="preserve"> </w:t>
      </w:r>
      <w:r>
        <w:rPr>
          <w:b/>
          <w:bCs/>
        </w:rPr>
        <w:t xml:space="preserve">FACTUS</w:t>
      </w:r>
      <w:r>
        <w:t xml:space="preserve"> </w:t>
      </w:r>
      <w:r>
        <w:t xml:space="preserve">y</w:t>
      </w:r>
      <w:r>
        <w:t xml:space="preserve"> </w:t>
      </w:r>
      <w:r>
        <w:rPr>
          <w:b/>
          <w:bCs/>
        </w:rPr>
        <w:t xml:space="preserve">EL RESELLER</w:t>
      </w:r>
      <w:r>
        <w:t xml:space="preserve"> </w:t>
      </w:r>
      <w:r>
        <w:t xml:space="preserve">sobre la prestación de servicios de facturación electrónica, y reemplaza cualquier entendimiento previo, verbal o escrito, sobre la misma materia. Cualquier modificación requiere consentimiento escrito de ambas</w:t>
      </w:r>
      <w:r>
        <w:t xml:space="preserve"> </w:t>
      </w:r>
      <w:r>
        <w:rPr>
          <w:b/>
          <w:bCs/>
        </w:rPr>
        <w:t xml:space="preserve">PARTES</w:t>
      </w:r>
      <w:r>
        <w:t xml:space="preserve">.</w:t>
      </w:r>
    </w:p>
    <w:p>
      <w:pPr>
        <w:pStyle w:val="BodyText"/>
      </w:pPr>
      <w:r>
        <w:rPr>
          <w:b/>
          <w:bCs/>
        </w:rPr>
        <w:t xml:space="preserve">LAS PARTES</w:t>
      </w:r>
      <w:r>
        <w:t xml:space="preserve"> </w:t>
      </w:r>
      <w:r>
        <w:t xml:space="preserve">aceptan que</w:t>
      </w:r>
      <w:r>
        <w:t xml:space="preserve"> </w:t>
      </w:r>
      <w:r>
        <w:rPr>
          <w:b/>
          <w:bCs/>
        </w:rPr>
        <w:t xml:space="preserve">EL CONTRATO</w:t>
      </w:r>
      <w:r>
        <w:t xml:space="preserve"> </w:t>
      </w:r>
      <w:r>
        <w:t xml:space="preserve">puede suscribirse mediante firma electrónica, la cual tiene los mismos efectos jurídicos y valor probatorio que la firma manuscrita, de conformidad con la Ley 527 de 1999 y el Decreto 2364 de 2012. La suscripción por este medio deja registro de la fecha y hora de aceptación, la dirección IP desde la cual se otorgó y el resumen criptográfico del documento aceptado.</w:t>
      </w:r>
    </w:p>
    <w:p>
      <w:pPr>
        <w:pStyle w:val="BodyText"/>
      </w:pPr>
      <w:r>
        <w:t xml:space="preserve">En constancia, se firma en la ciudad y fecha señaladas en el Bloque B de la Sección de Identificación de las Partes.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Por FACTUS S.A.S.</w:t>
            </w:r>
          </w:p>
        </w:tc>
        <w:tc>
          <w:tcPr/>
          <w:p>
            <w:pPr>
              <w:pStyle w:val="Compact"/>
              <w:jc w:val="left"/>
            </w:pPr>
            <w:r>
              <w:t xml:space="preserve">Por EL RESELLER</w:t>
            </w:r>
          </w:p>
        </w:tc>
      </w:tr>
      <w:tr>
        <w:tc>
          <w:tcPr/>
          <w:p>
            <w:pPr>
              <w:pStyle w:val="Compact"/>
            </w:pPr>
          </w:p>
        </w:tc>
        <w:tc>
          <w:tcPr/>
          <w:p>
            <w:pPr>
              <w:pStyle w:val="Compact"/>
            </w:pPr>
          </w:p>
        </w:tc>
      </w:tr>
      <w:tr>
        <w:tc>
          <w:tcPr/>
          <w:p>
            <w:pPr>
              <w:pStyle w:val="Compact"/>
            </w:pPr>
          </w:p>
        </w:tc>
        <w:tc>
          <w:tcPr/>
          <w:p>
            <w:pPr>
              <w:pStyle w:val="Compact"/>
            </w:pPr>
          </w:p>
        </w:tc>
      </w:tr>
      <w:tr>
        <w:tc>
          <w:tcPr/>
          <w:p>
            <w:pPr>
              <w:pStyle w:val="Compact"/>
              <w:jc w:val="left"/>
            </w:pPr>
            <w:r>
              <w:t xml:space="preserve">Firma</w:t>
            </w:r>
          </w:p>
        </w:tc>
        <w:tc>
          <w:tcPr/>
          <w:p>
            <w:pPr>
              <w:pStyle w:val="Compact"/>
              <w:jc w:val="left"/>
            </w:pPr>
            <w:r>
              <w:t xml:space="preserve">Firma</w:t>
            </w:r>
          </w:p>
        </w:tc>
      </w:tr>
      <w:tr>
        <w:tc>
          <w:tcPr/>
          <w:p>
            <w:pPr>
              <w:pStyle w:val="Compact"/>
              <w:jc w:val="left"/>
            </w:pPr>
            <w:r>
              <w:t xml:space="preserve">Yolher Camilo Albeiro Hernández Reyes</w:t>
            </w:r>
          </w:p>
        </w:tc>
        <w:tc>
          <w:tcPr/>
          <w:p>
            <w:pPr>
              <w:pStyle w:val="Compact"/>
              <w:jc w:val="left"/>
            </w:pPr>
            <w:r>
              <w:t xml:space="preserve">[NOMBRE DEL REPRESENTANTE LEGAL]</w:t>
            </w:r>
          </w:p>
        </w:tc>
      </w:tr>
      <w:tr>
        <w:tc>
          <w:tcPr/>
          <w:p>
            <w:pPr>
              <w:pStyle w:val="Compact"/>
              <w:jc w:val="left"/>
            </w:pPr>
            <w:r>
              <w:t xml:space="preserve">C.C. [NÚMERO DE IDENTIFICACIÓN]</w:t>
            </w:r>
          </w:p>
        </w:tc>
        <w:tc>
          <w:tcPr/>
          <w:p>
            <w:pPr>
              <w:pStyle w:val="Compact"/>
              <w:jc w:val="left"/>
            </w:pPr>
            <w:r>
              <w:t xml:space="preserve">C.C. [NÚMERO DE IDENTIFICACIÓN]</w:t>
            </w:r>
          </w:p>
        </w:tc>
      </w:tr>
      <w:tr>
        <w:tc>
          <w:tcPr/>
          <w:p>
            <w:pPr>
              <w:pStyle w:val="Compact"/>
              <w:jc w:val="left"/>
            </w:pPr>
            <w:r>
              <w:t xml:space="preserve">Representante legal</w:t>
            </w:r>
          </w:p>
        </w:tc>
        <w:tc>
          <w:tcPr/>
          <w:p>
            <w:pPr>
              <w:pStyle w:val="Compact"/>
              <w:jc w:val="left"/>
            </w:pPr>
            <w:r>
              <w:t xml:space="preserve">Representante legal</w:t>
            </w:r>
          </w:p>
        </w:tc>
      </w:tr>
      <w:tr>
        <w:tc>
          <w:tcPr/>
          <w:p>
            <w:pPr>
              <w:pStyle w:val="Compact"/>
              <w:jc w:val="left"/>
            </w:pPr>
            <w:r>
              <w:t xml:space="preserve">NIT 901.724.254-1</w:t>
            </w:r>
          </w:p>
        </w:tc>
        <w:tc>
          <w:tcPr/>
          <w:p>
            <w:pPr>
              <w:pStyle w:val="Compact"/>
              <w:jc w:val="left"/>
            </w:pPr>
            <w:r>
              <w:t xml:space="preserve">NIT [NIT DEL RESELLER]</w:t>
            </w:r>
          </w:p>
        </w:tc>
      </w:tr>
    </w:tbl>
    <w:p>
      <w:r>
        <w:pict>
          <v:rect style="width:0;height:1.5pt" o:hralign="center" o:hrstd="t" o:hr="t"/>
        </w:pict>
      </w:r>
    </w:p>
    <w:bookmarkEnd w:id="1007"/>
    <w:bookmarkStart w:id="1008" w:name="control-de-versiones"/>
    <w:p>
      <w:pPr>
        <w:pStyle w:val="Heading1"/>
      </w:pPr>
      <w:r>
        <w:t xml:space="preserve">Control de versiones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Cambios</w:t>
            </w:r>
          </w:p>
        </w:tc>
        <w:tc>
          <w:tcPr/>
          <w:p>
            <w:pPr>
              <w:pStyle w:val="Compact"/>
              <w:jc w:val="left"/>
            </w:pPr>
            <w:r>
              <w:t xml:space="preserve">Estado</w:t>
            </w:r>
          </w:p>
        </w:tc>
      </w:tr>
      <w:tr>
        <w:tc>
          <w:tcPr/>
          <w:p>
            <w:pPr>
              <w:pStyle w:val="Compact"/>
              <w:jc w:val="left"/>
            </w:pPr>
            <w:r>
              <w:t xml:space="preserve">1.0</w:t>
            </w:r>
          </w:p>
        </w:tc>
        <w:tc>
          <w:tcPr/>
          <w:p>
            <w:pPr>
              <w:pStyle w:val="Compact"/>
              <w:jc w:val="left"/>
            </w:pPr>
            <w:r>
              <w:t xml:space="preserve">26 de septiembre de 2026</w:t>
            </w:r>
          </w:p>
        </w:tc>
        <w:tc>
          <w:tcPr/>
          <w:p>
            <w:pPr>
              <w:pStyle w:val="Compact"/>
              <w:jc w:val="left"/>
            </w:pPr>
            <w:r>
              <w:t xml:space="preserve">Redacción inicial: 13 cláusulas y tres anexos.</w:t>
            </w:r>
          </w:p>
        </w:tc>
        <w:tc>
          <w:tcPr/>
          <w:p>
            <w:pPr>
              <w:pStyle w:val="Compact"/>
              <w:jc w:val="left"/>
            </w:pPr>
            <w:r>
              <w:t xml:space="preserve">Superada</w:t>
            </w:r>
          </w:p>
        </w:tc>
      </w:tr>
      <w:tr>
        <w:tc>
          <w:tcPr/>
          <w:p>
            <w:pPr>
              <w:pStyle w:val="Compact"/>
              <w:jc w:val="left"/>
            </w:pPr>
            <w:r>
              <w:t xml:space="preserve">2.0</w:t>
            </w:r>
          </w:p>
        </w:tc>
        <w:tc>
          <w:tcPr/>
          <w:p>
            <w:pPr>
              <w:pStyle w:val="Compact"/>
              <w:jc w:val="left"/>
            </w:pPr>
            <w:r>
              <w:t xml:space="preserve">28 de septiembre de 2026</w:t>
            </w:r>
          </w:p>
        </w:tc>
        <w:tc>
          <w:tcPr/>
          <w:p>
            <w:pPr>
              <w:pStyle w:val="Compact"/>
              <w:jc w:val="left"/>
            </w:pPr>
            <w:r>
              <w:t xml:space="preserve">Reestructuración a 20 cláusulas con numeración jerárquica. Sección de declaraciones de las partes. Cláusula de prevención de lavado de activos ampliada con causales de terminación de pleno derecho. Cláusula penal con mérito ejecutivo. Bloque de firmas y perfeccionamiento por firma electrónica. Corrección del plazo de retracto a días hábiles conforme al artículo 47 de la Ley 1480 de 2011. Corrección de citas normativas: se retira la Ley 1960 de 2019, que regula carrera administrativa y no lavado de activos, y se sustituye por los artículos 323 y 345 de la Ley 599 de 2000; se retiran las Resoluciones DIAN 000019 de 2012 y 1796 de 2014, y se citan la Resolución 000165 de 2023 para facturación y la Resolución 000013 de 2021 para nómina electrónica. Se unifica el umbral de indisponibilidad en 2,1 horas mensuales, que el documento enunciaba en dos valores distintos, y se aclara que el cómputo es acumulativo.</w:t>
            </w:r>
          </w:p>
        </w:tc>
        <w:tc>
          <w:tcPr/>
          <w:p>
            <w:pPr>
              <w:pStyle w:val="Compact"/>
              <w:jc w:val="left"/>
            </w:pPr>
            <w:r>
              <w:t xml:space="preserve">Vigente — pendiente de revisión por el abogado responsable</w:t>
            </w:r>
          </w:p>
        </w:tc>
      </w:tr>
    </w:tbl>
    <w:p>
      <w:pPr>
        <w:pStyle w:val="BodyText"/>
      </w:pPr>
      <w:r>
        <w:rPr>
          <w:b/>
          <w:bCs/>
        </w:rPr>
        <w:t xml:space="preserve">Autor:</w:t>
      </w:r>
      <w:r>
        <w:t xml:space="preserve"> </w:t>
      </w:r>
      <w:r>
        <w:t xml:space="preserve">Bedrock Abogados S.A.S.</w:t>
      </w:r>
      <w:r>
        <w:br/>
      </w:r>
      <w:r>
        <w:rPr>
          <w:b/>
          <w:bCs/>
        </w:rPr>
        <w:t xml:space="preserve">Clasificación:</w:t>
      </w:r>
      <w:r>
        <w:t xml:space="preserve"> </w:t>
      </w:r>
      <w:r>
        <w:t xml:space="preserve">Confidencial — Factus S.A.S.</w:t>
      </w:r>
    </w:p>
    <w:bookmarkEnd w:id="1008"/>
    <w:sectPr>
      <w:headerReference r:id="rId901" w:type="default"/>
      <w:footerReference r:id="rId902" w:type="defaul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E2E6EB"/>
      </w:pBdr>
      <w:spacing w:before="0" w:after="0"/>
      <w:jc w:val="center"/>
    </w:pPr>
    <w:r>
      <w:rPr>
        <w:rFonts w:asciiTheme="majorHAnsi" w:hAnsiTheme="majorHAnsi"/>
        <w:color w:val="6B6F7A"/>
        <w:sz w:val="16"/>
      </w:rPr>
      <w:t xml:space="preserve">Página </w:t>
    </w:r>
    <w:r>
      <w:rPr>
        <w:rFonts w:asciiTheme="majorHAnsi" w:hAnsiTheme="majorHAnsi"/>
        <w:color w:val="6B6F7A"/>
        <w:sz w:val="16"/>
      </w:rPr>
      <w:fldChar w:fldCharType="begin"/>
    </w:r>
    <w:r>
      <w:instrText>PAGE</w:instrText>
    </w:r>
    <w:r>
      <w:fldChar w:fldCharType="end"/>
    </w:r>
    <w:r>
      <w:rPr>
        <w:rFonts w:asciiTheme="majorHAnsi" w:hAnsiTheme="majorHAnsi"/>
        <w:color w:val="6B6F7A"/>
        <w:sz w:val="16"/>
      </w:rPr>
      <w:t xml:space="preserve"> de </w:t>
    </w:r>
    <w:r>
      <w:rPr>
        <w:rFonts w:asciiTheme="majorHAnsi" w:hAnsiTheme="majorHAnsi"/>
        <w:color w:val="6B6F7A"/>
        <w:sz w:val="16"/>
      </w:rP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6" w:color="E2E6EB"/>
      </w:pBdr>
      <w:spacing w:after="0"/>
      <w:jc w:val="left"/>
    </w:pPr>
    <w:r>
      <w:drawing>
        <wp:inline distT="0" distB="0" distL="0" distR="0">
          <wp:extent cx="613410" cy="118872"/>
          <wp:effectExtent l="0" t="0" r="0" b="0"/>
          <wp:docPr id="101" name="Bedrock Abogados"/>
          <wp:cNvGraphicFramePr>
            <a:graphicFrameLocks noChangeAspect="1"/>
          </wp:cNvGraphicFramePr>
          <a:graphic>
            <a:graphicData uri="http://schemas.openxmlformats.org/drawingml/2006/picture">
              <pic:pic>
                <pic:nvPicPr>
                  <pic:cNvPr id="101" name="Bedrock Abogados"/>
                  <pic:cNvPicPr/>
                </pic:nvPicPr>
                <pic:blipFill>
                  <a:blip r:embed="rIdLogo1"/>
                  <a:stretch>
                    <a:fillRect/>
                  </a:stretch>
                </pic:blipFill>
                <pic:spPr>
                  <a:xfrm>
                    <a:off x="0" y="0"/>
                    <a:ext cx="613410" cy="118872"/>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160" w:line="312"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b/>
      <w:color w:val="1B1D36"/>
      <w:sz w:val="42"/>
      <w:szCs w:val="4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b/>
      <w:color w:val="224D6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heme="majorHAnsi" w:cstheme="majorBidi" w:eastAsiaTheme="majorEastAsia" w:hAnsiTheme="majorHAnsi"/>
      <w:b/>
      <w:color w:val="224D6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yebrow" w:type="paragraph">
    <w:name w:val="Eyebrow"/>
    <w:basedOn w:val="Normal"/>
    <w:qFormat/>
    <w:pPr>
      <w:spacing w:after="60" w:before="0"/>
      <w:jc w:val="left"/>
    </w:pPr>
    <w:rPr>
      <w:rFonts w:asciiTheme="majorHAnsi" w:hAnsiTheme="majorHAnsi"/>
      <w:b/>
      <w:caps/>
      <w:color w:val="224D6E"/>
      <w:spacing w:val="60"/>
      <w:sz w:val="17"/>
      <w:szCs w:val="17"/>
    </w:rPr>
  </w:style>
  <w:style w:customStyle="1" w:styleId="PortadaTitulo" w:type="paragraph">
    <w:name w:val="Portada Titulo"/>
    <w:basedOn w:val="Normal"/>
    <w:qFormat/>
    <w:pPr>
      <w:spacing w:after="200" w:before="120" w:line="288" w:lineRule="auto"/>
      <w:jc w:val="left"/>
    </w:pPr>
    <w:rPr>
      <w:rFonts w:asciiTheme="majorHAnsi" w:hAnsiTheme="majorHAnsi"/>
      <w:b/>
      <w:color w:val="1B1D36"/>
      <w:sz w:val="54"/>
      <w:szCs w:val="54"/>
    </w:rPr>
  </w:style>
  <w:style w:customStyle="1" w:styleId="Lede" w:type="paragraph">
    <w:name w:val="Lede"/>
    <w:basedOn w:val="Normal"/>
    <w:qFormat/>
    <w:pPr>
      <w:spacing w:after="320" w:before="0"/>
      <w:jc w:val="left"/>
    </w:pPr>
    <w:rPr>
      <w:color w:val="000000"/>
      <w:sz w:val="24"/>
      <w:szCs w:val="24"/>
    </w:rPr>
  </w:style>
  <w:style w:customStyle="1" w:styleId="LineaAcento" w:type="paragraph">
    <w:name w:val="Linea Acento"/>
    <w:basedOn w:val="Normal"/>
    <w:qFormat/>
    <w:pPr>
      <w:pBdr>
        <w:bottom w:color="E9CDA5" w:space="0" w:sz="18" w:val="single"/>
      </w:pBdr>
      <w:spacing w:after="200" w:before="0"/>
      <w:ind w:right="7600"/>
    </w:pPr>
    <w:rPr>
      <w:sz w:val="2"/>
      <w:szCs w:val="2"/>
    </w:rPr>
  </w:style>
  <w:style w:customStyle="1" w:styleId="ResumenTitulo" w:type="paragraph">
    <w:name w:val="Resumen Titulo"/>
    <w:basedOn w:val="Normal"/>
    <w:qFormat/>
    <w:pPr>
      <w:spacing w:after="120" w:before="200"/>
      <w:jc w:val="left"/>
    </w:pPr>
    <w:rPr>
      <w:rFonts w:asciiTheme="majorHAnsi" w:hAnsiTheme="majorHAnsi"/>
      <w:b/>
      <w:caps/>
      <w:color w:val="6B6F7A"/>
      <w:spacing w:val="40"/>
      <w:sz w:val="18"/>
      <w:szCs w:val="18"/>
    </w:rPr>
  </w:style>
  <w:style w:customStyle="1" w:styleId="ResumenItem" w:type="paragraph">
    <w:name w:val="Resumen Item"/>
    <w:basedOn w:val="Normal"/>
    <w:qFormat/>
    <w:pPr>
      <w:pBdr>
        <w:left w:color="224D6E" w:space="8" w:sz="18" w:val="single"/>
      </w:pBdr>
      <w:spacing w:after="60" w:before="60"/>
      <w:ind w:left="160"/>
      <w:jc w:val="left"/>
    </w:pPr>
    <w:rPr>
      <w:sz w:val="20"/>
      <w:szCs w:val="20"/>
    </w:rPr>
  </w:style>
  <w:style w:customStyle="1" w:styleId="FinePrint" w:type="paragraph">
    <w:name w:val="Fine Print"/>
    <w:basedOn w:val="Normal"/>
    <w:qFormat/>
    <w:pPr>
      <w:spacing w:after="0" w:before="240"/>
      <w:jc w:val="left"/>
    </w:pPr>
    <w:rPr>
      <w:i/>
      <w:color w:val="6B6F7A"/>
      <w:sz w:val="16"/>
      <w:szCs w:val="16"/>
    </w:rPr>
  </w:style>
  <w:style w:customStyle="1" w:styleId="Campo" w:type="character">
    <w:name w:val="Campo"/>
    <w:qFormat/>
    <w:rPr>
      <w:shd w:color="auto" w:fill="FFF3D6" w:val="clear"/>
      <w:color w:val="6B5218"/>
    </w:rPr>
  </w:style>
  <w:style w:type="paragraph" w:customStyle="1" w:styleId="FinePrint">
    <w:name w:val="FinePrint"/>
    <w:basedOn w:val="BodyText"/>
    <w:qFormat/>
  </w:style>
  <w:style w:type="paragraph" w:customStyle="1" w:styleId="LineaAcento">
    <w:name w:val="LineaAcento"/>
    <w:basedOn w:val="BodyText"/>
    <w:qFormat/>
  </w:style>
  <w:style w:type="paragraph" w:customStyle="1" w:styleId="PortadaTitulo">
    <w:name w:val="PortadaTitulo"/>
    <w:basedOn w:val="BodyText"/>
    <w:qFormat/>
  </w:style>
  <w:style w:type="paragraph" w:customStyle="1" w:styleId="ResumenItem">
    <w:name w:val="ResumenItem"/>
    <w:basedOn w:val="BodyText"/>
    <w:qFormat/>
  </w:style>
  <w:style w:type="paragraph" w:customStyle="1" w:styleId="ResumenTitulo">
    <w:name w:val="ResumenTitul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0" Target="numbering.xml" /><Relationship Type="http://schemas.openxmlformats.org/officeDocument/2006/relationships/styles" Id="rId909" Target="styles.xml" /><Relationship Type="http://schemas.openxmlformats.org/officeDocument/2006/relationships/settings" Id="rId908" Target="settings.xml" /><Relationship Type="http://schemas.openxmlformats.org/officeDocument/2006/relationships/webSettings" Id="rId907" Target="webSettings.xml" /><Relationship Type="http://schemas.openxmlformats.org/officeDocument/2006/relationships/fontTable" Id="rId906" Target="fontTable.xml" /><Relationship Type="http://schemas.openxmlformats.org/officeDocument/2006/relationships/theme" Id="rId905" Target="theme/theme1.xml" /><Relationship Type="http://schemas.openxmlformats.org/officeDocument/2006/relationships/footnotes" Id="rId904" Target="footnotes.xml" /><Relationship Type="http://schemas.openxmlformats.org/officeDocument/2006/relationships/comments" Id="rId903" Target="comments.xml" /><Relationship Id="rId901" Target="header1.xml" Type="http://schemas.openxmlformats.org/officeDocument/2006/relationships/header" /><Relationship Id="rId902" Target="footer1.xml" Type="http://schemas.openxmlformats.org/officeDocument/2006/relationships/footer" /><Relationship Type="http://schemas.openxmlformats.org/officeDocument/2006/relationships/image" Id="rId911" Target="media/rId911.png" /></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Relationship Id="rIdLogo1" Type="http://schemas.openxmlformats.org/officeDocument/2006/relationships/image" Target="media/logo-bedrock-horizont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ontserra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n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2026-09-28T21:48:46Z</dcterms:created>
  <dcterms:modified xsi:type="dcterms:W3CDTF">2026-09-28T21:48:46Z</dcterms:modified>
</cp:coreProperties>
</file>

<file path=docProps/custom.xml><?xml version="1.0" encoding="utf-8"?>
<Properties xmlns="http://schemas.openxmlformats.org/officeDocument/2006/custom-properties" xmlns:vt="http://schemas.openxmlformats.org/officeDocument/2006/docPropsVTypes"/>
</file>