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11.png" ContentType="image/png"/>
  <Override PartName="/word/media/logo-bedrock-horizontal.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691640" cy="329184"/>
            <wp:effectExtent b="0" l="0" r="0" t="0"/>
            <wp:docPr descr="" title="" id="912" name="Picture"/>
            <a:graphic>
              <a:graphicData uri="http://schemas.openxmlformats.org/drawingml/2006/picture">
                <pic:pic>
                  <pic:nvPicPr>
                    <pic:cNvPr descr="logo-bedrock-horizontal.png" id="913" name="Picture"/>
                    <pic:cNvPicPr>
                      <a:picLocks noChangeArrowheads="1" noChangeAspect="1"/>
                    </pic:cNvPicPr>
                  </pic:nvPicPr>
                  <pic:blipFill>
                    <a:blip r:embed="rId911"/>
                    <a:stretch>
                      <a:fillRect/>
                    </a:stretch>
                  </pic:blipFill>
                  <pic:spPr bwMode="auto">
                    <a:xfrm>
                      <a:off x="0" y="0"/>
                      <a:ext cx="1691640" cy="329184"/>
                    </a:xfrm>
                    <a:prstGeom prst="rect">
                      <a:avLst/>
                    </a:prstGeom>
                    <a:noFill/>
                    <a:ln w="9525">
                      <a:noFill/>
                      <a:headEnd/>
                      <a:tailEnd/>
                    </a:ln>
                  </pic:spPr>
                </pic:pic>
              </a:graphicData>
            </a:graphic>
          </wp:inline>
        </w:drawing>
      </w:r>
    </w:p>
    <w:p>
      <w:pPr>
        <w:pStyle w:val="Eyebrow"/>
      </w:pPr>
      <w:r>
        <w:t xml:space="preserve">Factus S.A.S. · Contrato de adhesión · Plataforma de facturación electrónica · NIT 901.724.254-1</w:t>
      </w:r>
    </w:p>
    <w:p>
      <w:pPr>
        <w:pStyle w:val="PortadaTitulo"/>
      </w:pPr>
      <w:r>
        <w:t xml:space="preserve">Términos y condiciones de servicio de Factus</w:t>
      </w:r>
    </w:p>
    <w:p>
      <w:pPr>
        <w:pStyle w:val="LineaAcento"/>
      </w:pPr>
      <w:r>
        <w:t xml:space="preserve"> </w:t>
      </w:r>
    </w:p>
    <w:p>
      <w:pPr>
        <w:pStyle w:val="Lede"/>
      </w:pPr>
      <w:r>
        <w:t xml:space="preserve">Contrato de adhesión que rige el acceso y uso de la plataforma de Factus para generar y transmitir documentos electrónicos ante la DIAN. Factus redacta las cláusulas y el cliente las acepta o las rechaza completas.</w:t>
      </w:r>
    </w:p>
    <w:p>
      <w:pPr>
        <w:pStyle w:val="ResumenTitulo"/>
      </w:pPr>
      <w:r>
        <w:t xml:space="preserve">Resumen del documento</w:t>
      </w:r>
    </w:p>
    <w:p>
      <w:pPr>
        <w:pStyle w:val="ResumenItem"/>
      </w:pPr>
      <w:r>
        <w:rPr>
          <w:b/>
          <w:bCs/>
        </w:rPr>
        <w:t xml:space="preserve">Qué te prestamos.</w:t>
      </w:r>
      <w:r>
        <w:t xml:space="preserve"> </w:t>
      </w:r>
      <w:r>
        <w:t xml:space="preserve">Acceso a la plataforma para generar y transmitir a la DIAN facturas electrónicas, nómina electrónica y documentos soporte, y para consultar eventos en RADIAN.</w:t>
      </w:r>
    </w:p>
    <w:p>
      <w:pPr>
        <w:pStyle w:val="ResumenItem"/>
      </w:pPr>
      <w:r>
        <w:rPr>
          <w:b/>
          <w:bCs/>
        </w:rPr>
        <w:t xml:space="preserve">De qué respondemos.</w:t>
      </w:r>
      <w:r>
        <w:t xml:space="preserve"> </w:t>
      </w:r>
      <w:r>
        <w:t xml:space="preserve">De que la plataforma esté disponible y de que la transmisión técnica a la DIAN se haga bien. Del contenido de tus documentos y de tus obligaciones tributarias respondes tú.</w:t>
      </w:r>
    </w:p>
    <w:p>
      <w:pPr>
        <w:pStyle w:val="ResumenItem"/>
      </w:pPr>
      <w:r>
        <w:rPr>
          <w:b/>
          <w:bCs/>
        </w:rPr>
        <w:t xml:space="preserve">Disponibilidad.</w:t>
      </w:r>
      <w:r>
        <w:t xml:space="preserve"> </w:t>
      </w:r>
      <w:r>
        <w:t xml:space="preserve">99% de lunes a viernes, de 8:00 a.m. a 6:00 p.m., hora de Colombia. Si no la cumplimos, te descontamos entre 10% y 30% del mes siguiente.</w:t>
      </w:r>
    </w:p>
    <w:p>
      <w:pPr>
        <w:pStyle w:val="ResumenItem"/>
      </w:pPr>
      <w:r>
        <w:rPr>
          <w:b/>
          <w:bCs/>
        </w:rPr>
        <w:t xml:space="preserve">Retracto.</w:t>
      </w:r>
      <w:r>
        <w:t xml:space="preserve"> </w:t>
      </w:r>
      <w:r>
        <w:t xml:space="preserve">Cinco días hábiles desde la aceptación, mientras no hayas emitido tu primer documento en producción. Te devolvemos todo en máximo quince días calendario, sin descuentos.</w:t>
      </w:r>
    </w:p>
    <w:p>
      <w:pPr>
        <w:pStyle w:val="ResumenItem"/>
      </w:pPr>
      <w:r>
        <w:rPr>
          <w:b/>
          <w:bCs/>
        </w:rPr>
        <w:t xml:space="preserve">Terminación.</w:t>
      </w:r>
      <w:r>
        <w:t xml:space="preserve"> </w:t>
      </w:r>
      <w:r>
        <w:t xml:space="preserve">Puedes terminar cuando quieras, sin penalidad y por el mismo medio por el que aceptaste. No hay cláusula de permanencia.</w:t>
      </w:r>
    </w:p>
    <w:p>
      <w:pPr>
        <w:pStyle w:val="FinePrint"/>
      </w:pPr>
      <w:r>
        <w:t xml:space="preserve">Cuando aceptas, registramos la fecha, la hora, tu dirección IP y un resumen criptográfico del texto que aceptaste, conforme a la Ley 527 de 1999 y al Decreto 2364 de 2012. Te enviamos copia por correo dentro de las 24 horas siguientes.</w:t>
      </w:r>
    </w:p>
    <w:p>
      <w:r>
        <w:br w:type="page"/>
      </w:r>
    </w:p>
    <w:bookmarkStart w:id="914" w:name="lo-esencial-en-un-minuto"/>
    <w:p>
      <w:pPr>
        <w:pStyle w:val="Heading1"/>
      </w:pPr>
      <w:r>
        <w:t xml:space="preserve">Lo esencial en un minuto</w:t>
      </w:r>
    </w:p>
    <w:p>
      <w:pPr>
        <w:pStyle w:val="FirstParagraph"/>
      </w:pPr>
      <w:r>
        <w:t xml:space="preserve">Este resumen te ayuda a ubicarte. No reemplaza las cláusulas, que son las que rigen.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Tema</w:t>
            </w:r>
          </w:p>
        </w:tc>
        <w:tc>
          <w:tcPr/>
          <w:p>
            <w:pPr>
              <w:pStyle w:val="Compact"/>
              <w:jc w:val="left"/>
            </w:pPr>
            <w:r>
              <w:t xml:space="preserve">Lo que debes saber</w:t>
            </w:r>
          </w:p>
        </w:tc>
      </w:tr>
      <w:tr>
        <w:tc>
          <w:tcPr/>
          <w:p>
            <w:pPr>
              <w:pStyle w:val="Compact"/>
              <w:jc w:val="left"/>
            </w:pPr>
            <w:r>
              <w:t xml:space="preserve">Qué es este documento</w:t>
            </w:r>
          </w:p>
        </w:tc>
        <w:tc>
          <w:tcPr/>
          <w:p>
            <w:pPr>
              <w:pStyle w:val="Compact"/>
              <w:jc w:val="left"/>
            </w:pPr>
            <w:r>
              <w:t xml:space="preserve">Un contrato de adhesión. Nosotros lo redactamos y tú lo aceptas o lo rechazas completo. Por eso la ley nos impone cargas especiales (artículos 37 a 44 de la Ley 1480 de 2011) y, si una cláusula es ambigua, se interpreta a tu favor.</w:t>
            </w:r>
          </w:p>
        </w:tc>
      </w:tr>
      <w:tr>
        <w:tc>
          <w:tcPr/>
          <w:p>
            <w:pPr>
              <w:pStyle w:val="Compact"/>
              <w:jc w:val="left"/>
            </w:pPr>
            <w:r>
              <w:t xml:space="preserve">Qué te prestamos</w:t>
            </w:r>
          </w:p>
        </w:tc>
        <w:tc>
          <w:tcPr/>
          <w:p>
            <w:pPr>
              <w:pStyle w:val="Compact"/>
              <w:jc w:val="left"/>
            </w:pPr>
            <w:r>
              <w:t xml:space="preserve">Acceso a nuestra plataforma para generar y transmitir a la DIAN facturas electrónicas, nómina electrónica y documentos soporte, y para consultar eventos en RADIAN.</w:t>
            </w:r>
          </w:p>
        </w:tc>
      </w:tr>
      <w:tr>
        <w:tc>
          <w:tcPr/>
          <w:p>
            <w:pPr>
              <w:pStyle w:val="Compact"/>
              <w:jc w:val="left"/>
            </w:pPr>
            <w:r>
              <w:t xml:space="preserve">De qué respondemos</w:t>
            </w:r>
          </w:p>
        </w:tc>
        <w:tc>
          <w:tcPr/>
          <w:p>
            <w:pPr>
              <w:pStyle w:val="Compact"/>
              <w:jc w:val="left"/>
            </w:pPr>
            <w:r>
              <w:t xml:space="preserve">De que la plataforma esté disponible y de que la transmisión técnica a la DIAN se haga bien.</w:t>
            </w:r>
          </w:p>
        </w:tc>
      </w:tr>
      <w:tr>
        <w:tc>
          <w:tcPr/>
          <w:p>
            <w:pPr>
              <w:pStyle w:val="Compact"/>
              <w:jc w:val="left"/>
            </w:pPr>
            <w:r>
              <w:t xml:space="preserve">De qué respondes tú</w:t>
            </w:r>
          </w:p>
        </w:tc>
        <w:tc>
          <w:tcPr/>
          <w:p>
            <w:pPr>
              <w:pStyle w:val="Compact"/>
              <w:jc w:val="left"/>
            </w:pPr>
            <w:r>
              <w:t xml:space="preserve">Del contenido de tus documentos y de tus obligaciones tributarias. Nosotros no somos tu contador ni tu asesor tributario.</w:t>
            </w:r>
          </w:p>
        </w:tc>
      </w:tr>
      <w:tr>
        <w:tc>
          <w:tcPr/>
          <w:p>
            <w:pPr>
              <w:pStyle w:val="Compact"/>
              <w:jc w:val="left"/>
            </w:pPr>
            <w:r>
              <w:t xml:space="preserve">Disponibilidad</w:t>
            </w:r>
          </w:p>
        </w:tc>
        <w:tc>
          <w:tcPr/>
          <w:p>
            <w:pPr>
              <w:pStyle w:val="Compact"/>
              <w:jc w:val="left"/>
            </w:pPr>
            <w:r>
              <w:t xml:space="preserve">99% de lunes a viernes, de 8:00 a.m. a 6:00 p.m., hora de Colombia. Si no la cumplimos, te descontamos entre 10% y 30% del mes siguiente.</w:t>
            </w:r>
          </w:p>
        </w:tc>
      </w:tr>
      <w:tr>
        <w:tc>
          <w:tcPr/>
          <w:p>
            <w:pPr>
              <w:pStyle w:val="Compact"/>
              <w:jc w:val="left"/>
            </w:pPr>
            <w:r>
              <w:t xml:space="preserve">Retracto</w:t>
            </w:r>
          </w:p>
        </w:tc>
        <w:tc>
          <w:tcPr/>
          <w:p>
            <w:pPr>
              <w:pStyle w:val="Compact"/>
              <w:jc w:val="left"/>
            </w:pPr>
            <w:r>
              <w:t xml:space="preserve">Puedes retractarte dentro de los cinco días hábiles siguientes a la aceptación, mientras no hayas emitido tu primer documento en producción. Te devolvemos todo en máximo quince días calendario, sin descuentos.</w:t>
            </w:r>
          </w:p>
        </w:tc>
      </w:tr>
      <w:tr>
        <w:tc>
          <w:tcPr/>
          <w:p>
            <w:pPr>
              <w:pStyle w:val="Compact"/>
              <w:jc w:val="left"/>
            </w:pPr>
            <w:r>
              <w:t xml:space="preserve">Terminación</w:t>
            </w:r>
          </w:p>
        </w:tc>
        <w:tc>
          <w:tcPr/>
          <w:p>
            <w:pPr>
              <w:pStyle w:val="Compact"/>
              <w:jc w:val="left"/>
            </w:pPr>
            <w:r>
              <w:t xml:space="preserve">Puedes terminar cuando quieras, sin penalidad, por el mismo medio por el que aceptaste. No hay cláusula de permanencia.</w:t>
            </w:r>
          </w:p>
        </w:tc>
      </w:tr>
      <w:tr>
        <w:tc>
          <w:tcPr/>
          <w:p>
            <w:pPr>
              <w:pStyle w:val="Compact"/>
              <w:jc w:val="left"/>
            </w:pPr>
            <w:r>
              <w:t xml:space="preserve">Cambios al contrato</w:t>
            </w:r>
          </w:p>
        </w:tc>
        <w:tc>
          <w:tcPr/>
          <w:p>
            <w:pPr>
              <w:pStyle w:val="Compact"/>
              <w:jc w:val="left"/>
            </w:pPr>
            <w:r>
              <w:t xml:space="preserve">No podemos cambiarlo por nuestra cuenta. Te avisamos con 30 días de anticipación y, si no estás de acuerdo, terminas sin penalidad y con reembolso.</w:t>
            </w:r>
          </w:p>
        </w:tc>
      </w:tr>
      <w:tr>
        <w:tc>
          <w:tcPr/>
          <w:p>
            <w:pPr>
              <w:pStyle w:val="Compact"/>
              <w:jc w:val="left"/>
            </w:pPr>
            <w:r>
              <w:t xml:space="preserve">Precio</w:t>
            </w:r>
          </w:p>
        </w:tc>
        <w:tc>
          <w:tcPr/>
          <w:p>
            <w:pPr>
              <w:pStyle w:val="Compact"/>
              <w:jc w:val="left"/>
            </w:pPr>
            <w:r>
              <w:t xml:space="preserve">No cambia durante el período de tu paquete. En la renovación, el ajuste no supera el IPC más tres puntos, y te lo avisamos con 30 días de anticipación.</w:t>
            </w:r>
          </w:p>
        </w:tc>
      </w:tr>
      <w:tr>
        <w:tc>
          <w:tcPr/>
          <w:p>
            <w:pPr>
              <w:pStyle w:val="Compact"/>
              <w:jc w:val="left"/>
            </w:pPr>
            <w:r>
              <w:t xml:space="preserve">Si algo sale mal</w:t>
            </w:r>
          </w:p>
        </w:tc>
        <w:tc>
          <w:tcPr/>
          <w:p>
            <w:pPr>
              <w:pStyle w:val="Compact"/>
              <w:jc w:val="left"/>
            </w:pPr>
            <w:r>
              <w:t xml:space="preserve">Primero lo hablamos. Si no hay acuerdo, conciliación y luego los jueces de tu domicilio. No hay arbitraje. Si eres consumidor, puedes ir directo a la Superintendencia de Industria y Comercio, sin abogado.</w:t>
            </w:r>
          </w:p>
        </w:tc>
      </w:tr>
    </w:tbl>
    <w:p>
      <w:pPr>
        <w:pStyle w:val="BodyText"/>
      </w:pPr>
      <w:r>
        <w:t xml:space="preserve">Cuando aceptas, registramos la fecha, la hora, tu dirección IP y un resumen criptográfico del texto que aceptaste, conforme a la Ley 527 de 1999 y al Decreto 2364 de 2012. Te enviamos copia por correo dentro de las 24 horas siguientes.</w:t>
      </w:r>
    </w:p>
    <w:p>
      <w:r>
        <w:pict>
          <v:rect style="width:0;height:1.5pt" o:hralign="center" o:hrstd="t" o:hr="t"/>
        </w:pict>
      </w:r>
    </w:p>
    <w:bookmarkEnd w:id="914"/>
    <w:bookmarkStart w:id="917" w:name="datos-de-las-partes"/>
    <w:p>
      <w:pPr>
        <w:pStyle w:val="Heading1"/>
      </w:pPr>
      <w:r>
        <w:t xml:space="preserve">Datos de las partes</w:t>
      </w:r>
    </w:p>
    <w:bookmarkStart w:id="915" w:name="factus"/>
    <w:p>
      <w:pPr>
        <w:pStyle w:val="Heading2"/>
      </w:pPr>
      <w:r>
        <w:t xml:space="preserve">Factus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Dato</w:t>
            </w:r>
          </w:p>
        </w:tc>
      </w:tr>
      <w:tr>
        <w:tc>
          <w:tcPr/>
          <w:p>
            <w:pPr>
              <w:pStyle w:val="Compact"/>
              <w:jc w:val="left"/>
            </w:pPr>
            <w:r>
              <w:t xml:space="preserve">Razón social</w:t>
            </w:r>
          </w:p>
        </w:tc>
        <w:tc>
          <w:tcPr/>
          <w:p>
            <w:pPr>
              <w:pStyle w:val="Compact"/>
              <w:jc w:val="left"/>
            </w:pPr>
            <w:r>
              <w:t xml:space="preserve">FACTUS S.A.S.</w:t>
            </w:r>
          </w:p>
        </w:tc>
      </w:tr>
      <w:tr>
        <w:tc>
          <w:tcPr/>
          <w:p>
            <w:pPr>
              <w:pStyle w:val="Compact"/>
              <w:jc w:val="left"/>
            </w:pPr>
            <w:r>
              <w:t xml:space="preserve">NIT</w:t>
            </w:r>
          </w:p>
        </w:tc>
        <w:tc>
          <w:tcPr/>
          <w:p>
            <w:pPr>
              <w:pStyle w:val="Compact"/>
              <w:jc w:val="left"/>
            </w:pPr>
            <w:r>
              <w:t xml:space="preserve">901.724.254-1</w:t>
            </w:r>
          </w:p>
        </w:tc>
      </w:tr>
      <w:tr>
        <w:tc>
          <w:tcPr/>
          <w:p>
            <w:pPr>
              <w:pStyle w:val="Compact"/>
              <w:jc w:val="left"/>
            </w:pPr>
            <w:r>
              <w:t xml:space="preserve">Domicilio</w:t>
            </w:r>
          </w:p>
        </w:tc>
        <w:tc>
          <w:tcPr/>
          <w:p>
            <w:pPr>
              <w:pStyle w:val="Compact"/>
              <w:jc w:val="left"/>
            </w:pPr>
            <w:r>
              <w:t xml:space="preserve">San Gil, Santander, Colombia</w:t>
            </w:r>
          </w:p>
        </w:tc>
      </w:tr>
      <w:tr>
        <w:tc>
          <w:tcPr/>
          <w:p>
            <w:pPr>
              <w:pStyle w:val="Compact"/>
              <w:jc w:val="left"/>
            </w:pPr>
            <w:r>
              <w:t xml:space="preserve">Representante legal</w:t>
            </w:r>
          </w:p>
        </w:tc>
        <w:tc>
          <w:tcPr/>
          <w:p>
            <w:pPr>
              <w:pStyle w:val="Compact"/>
              <w:jc w:val="left"/>
            </w:pPr>
            <w:r>
              <w:t xml:space="preserve">Yolher Camilo Albeiro Hernández Reyes</w:t>
            </w:r>
          </w:p>
        </w:tc>
      </w:tr>
      <w:tr>
        <w:tc>
          <w:tcPr/>
          <w:p>
            <w:pPr>
              <w:pStyle w:val="Compact"/>
              <w:jc w:val="left"/>
            </w:pPr>
            <w:r>
              <w:t xml:space="preserve">Sitio web</w:t>
            </w:r>
          </w:p>
        </w:tc>
        <w:tc>
          <w:tcPr/>
          <w:p>
            <w:pPr>
              <w:pStyle w:val="Compact"/>
              <w:jc w:val="left"/>
            </w:pPr>
            <w:r>
              <w:t xml:space="preserve">www.factus.com.co</w:t>
            </w:r>
          </w:p>
        </w:tc>
      </w:tr>
      <w:tr>
        <w:tc>
          <w:tcPr/>
          <w:p>
            <w:pPr>
              <w:pStyle w:val="Compact"/>
              <w:jc w:val="left"/>
            </w:pPr>
            <w:r>
              <w:t xml:space="preserve">Correo de notificaciones</w:t>
            </w:r>
          </w:p>
        </w:tc>
        <w:tc>
          <w:tcPr/>
          <w:p>
            <w:pPr>
              <w:pStyle w:val="Compact"/>
              <w:jc w:val="left"/>
            </w:pPr>
            <w:r>
              <w:t xml:space="preserve">[correo de notificaciones de Factus]</w:t>
            </w:r>
          </w:p>
        </w:tc>
      </w:tr>
      <w:tr>
        <w:tc>
          <w:tcPr/>
          <w:p>
            <w:pPr>
              <w:pStyle w:val="Compact"/>
              <w:jc w:val="left"/>
            </w:pPr>
            <w:r>
              <w:t xml:space="preserve">Correo de soporte</w:t>
            </w:r>
          </w:p>
        </w:tc>
        <w:tc>
          <w:tcPr/>
          <w:p>
            <w:pPr>
              <w:pStyle w:val="Compact"/>
              <w:jc w:val="left"/>
            </w:pPr>
            <w:r>
              <w:t xml:space="preserve">soporte@factus.com.co</w:t>
            </w:r>
          </w:p>
        </w:tc>
      </w:tr>
      <w:tr>
        <w:tc>
          <w:tcPr/>
          <w:p>
            <w:pPr>
              <w:pStyle w:val="Compact"/>
              <w:jc w:val="left"/>
            </w:pPr>
            <w:r>
              <w:t xml:space="preserve">Canales de soporte</w:t>
            </w:r>
          </w:p>
        </w:tc>
        <w:tc>
          <w:tcPr/>
          <w:p>
            <w:pPr>
              <w:pStyle w:val="Compact"/>
              <w:jc w:val="left"/>
            </w:pPr>
            <w:r>
              <w:t xml:space="preserve">Correo electrónico, WhatsApp y teléfono</w:t>
            </w:r>
          </w:p>
        </w:tc>
      </w:tr>
      <w:tr>
        <w:tc>
          <w:tcPr/>
          <w:p>
            <w:pPr>
              <w:pStyle w:val="Compact"/>
              <w:jc w:val="left"/>
            </w:pPr>
            <w:r>
              <w:t xml:space="preserve">Horario de atención</w:t>
            </w:r>
          </w:p>
        </w:tc>
        <w:tc>
          <w:tcPr/>
          <w:p>
            <w:pPr>
              <w:pStyle w:val="Compact"/>
              <w:jc w:val="left"/>
            </w:pPr>
            <w:r>
              <w:t xml:space="preserve">Lunes a viernes, 8:00 a.m. a 6:00 p.m., hora de Colombia</w:t>
            </w:r>
          </w:p>
        </w:tc>
      </w:tr>
    </w:tbl>
    <w:bookmarkEnd w:id="915"/>
    <w:bookmarkStart w:id="916" w:name="tú-el-cliente"/>
    <w:p>
      <w:pPr>
        <w:pStyle w:val="Heading2"/>
      </w:pPr>
      <w:r>
        <w:t xml:space="preserve">Tú, el cliente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Dato</w:t>
            </w:r>
          </w:p>
        </w:tc>
      </w:tr>
      <w:tr>
        <w:tc>
          <w:tcPr/>
          <w:p>
            <w:pPr>
              <w:pStyle w:val="Compact"/>
              <w:jc w:val="left"/>
            </w:pPr>
            <w:r>
              <w:t xml:space="preserve">Razón social o nombre</w:t>
            </w:r>
          </w:p>
        </w:tc>
        <w:tc>
          <w:tcPr/>
          <w:p>
            <w:pPr>
              <w:pStyle w:val="Compact"/>
              <w:jc w:val="left"/>
            </w:pPr>
            <w:r>
              <w:t xml:space="preserve">[se completa desde tu registro]</w:t>
            </w:r>
          </w:p>
        </w:tc>
      </w:tr>
      <w:tr>
        <w:tc>
          <w:tcPr/>
          <w:p>
            <w:pPr>
              <w:pStyle w:val="Compact"/>
              <w:jc w:val="left"/>
            </w:pPr>
            <w:r>
              <w:t xml:space="preserve">NIT o documento de identidad</w:t>
            </w:r>
          </w:p>
        </w:tc>
        <w:tc>
          <w:tcPr/>
          <w:p>
            <w:pPr>
              <w:pStyle w:val="Compact"/>
              <w:jc w:val="left"/>
            </w:pPr>
            <w:r>
              <w:t xml:space="preserve">[se completa desde tu registro]</w:t>
            </w:r>
          </w:p>
        </w:tc>
      </w:tr>
      <w:tr>
        <w:tc>
          <w:tcPr/>
          <w:p>
            <w:pPr>
              <w:pStyle w:val="Compact"/>
              <w:jc w:val="left"/>
            </w:pPr>
            <w:r>
              <w:t xml:space="preserve">Dígito de verificación</w:t>
            </w:r>
          </w:p>
        </w:tc>
        <w:tc>
          <w:tcPr/>
          <w:p>
            <w:pPr>
              <w:pStyle w:val="Compact"/>
              <w:jc w:val="left"/>
            </w:pPr>
            <w:r>
              <w:t xml:space="preserve">[se completa desde tu registro]</w:t>
            </w:r>
          </w:p>
        </w:tc>
      </w:tr>
      <w:tr>
        <w:tc>
          <w:tcPr/>
          <w:p>
            <w:pPr>
              <w:pStyle w:val="Compact"/>
              <w:jc w:val="left"/>
            </w:pPr>
            <w:r>
              <w:t xml:space="preserve">Representante legal</w:t>
            </w:r>
          </w:p>
        </w:tc>
        <w:tc>
          <w:tcPr/>
          <w:p>
            <w:pPr>
              <w:pStyle w:val="Compact"/>
              <w:jc w:val="left"/>
            </w:pPr>
            <w:r>
              <w:t xml:space="preserve">[se completa desde tu registro]</w:t>
            </w:r>
          </w:p>
        </w:tc>
      </w:tr>
      <w:tr>
        <w:tc>
          <w:tcPr/>
          <w:p>
            <w:pPr>
              <w:pStyle w:val="Compact"/>
              <w:jc w:val="left"/>
            </w:pPr>
            <w:r>
              <w:t xml:space="preserve">Documento del representante legal</w:t>
            </w:r>
          </w:p>
        </w:tc>
        <w:tc>
          <w:tcPr/>
          <w:p>
            <w:pPr>
              <w:pStyle w:val="Compact"/>
              <w:jc w:val="left"/>
            </w:pPr>
            <w:r>
              <w:t xml:space="preserve">[se completa desde tu registro]</w:t>
            </w:r>
          </w:p>
        </w:tc>
      </w:tr>
      <w:tr>
        <w:tc>
          <w:tcPr/>
          <w:p>
            <w:pPr>
              <w:pStyle w:val="Compact"/>
              <w:jc w:val="left"/>
            </w:pPr>
            <w:r>
              <w:t xml:space="preserve">Correo de notificaciones</w:t>
            </w:r>
          </w:p>
        </w:tc>
        <w:tc>
          <w:tcPr/>
          <w:p>
            <w:pPr>
              <w:pStyle w:val="Compact"/>
              <w:jc w:val="left"/>
            </w:pPr>
            <w:r>
              <w:t xml:space="preserve">[se completa desde tu registro]</w:t>
            </w:r>
          </w:p>
        </w:tc>
      </w:tr>
      <w:tr>
        <w:tc>
          <w:tcPr/>
          <w:p>
            <w:pPr>
              <w:pStyle w:val="Compact"/>
              <w:jc w:val="left"/>
            </w:pPr>
            <w:r>
              <w:t xml:space="preserve">Teléfono</w:t>
            </w:r>
          </w:p>
        </w:tc>
        <w:tc>
          <w:tcPr/>
          <w:p>
            <w:pPr>
              <w:pStyle w:val="Compact"/>
              <w:jc w:val="left"/>
            </w:pPr>
            <w:r>
              <w:t xml:space="preserve">[se completa desde tu registro]</w:t>
            </w:r>
          </w:p>
        </w:tc>
      </w:tr>
      <w:tr>
        <w:tc>
          <w:tcPr/>
          <w:p>
            <w:pPr>
              <w:pStyle w:val="Compact"/>
              <w:jc w:val="left"/>
            </w:pPr>
            <w:r>
              <w:t xml:space="preserve">Dirección y ciudad</w:t>
            </w:r>
          </w:p>
        </w:tc>
        <w:tc>
          <w:tcPr/>
          <w:p>
            <w:pPr>
              <w:pStyle w:val="Compact"/>
              <w:jc w:val="left"/>
            </w:pPr>
            <w:r>
              <w:t xml:space="preserve">[se completa desde tu registro]</w:t>
            </w:r>
          </w:p>
        </w:tc>
      </w:tr>
      <w:tr>
        <w:tc>
          <w:tcPr/>
          <w:p>
            <w:pPr>
              <w:pStyle w:val="Compact"/>
              <w:jc w:val="left"/>
            </w:pPr>
            <w:r>
              <w:t xml:space="preserve">Paquete contratado</w:t>
            </w:r>
          </w:p>
        </w:tc>
        <w:tc>
          <w:tcPr/>
          <w:p>
            <w:pPr>
              <w:pStyle w:val="Compact"/>
              <w:jc w:val="left"/>
            </w:pPr>
            <w:r>
              <w:t xml:space="preserve">[se completa desde tu registro]</w:t>
            </w:r>
          </w:p>
        </w:tc>
      </w:tr>
      <w:tr>
        <w:tc>
          <w:tcPr/>
          <w:p>
            <w:pPr>
              <w:pStyle w:val="Compact"/>
              <w:jc w:val="left"/>
            </w:pPr>
            <w:r>
              <w:t xml:space="preserve">Período contratado</w:t>
            </w:r>
          </w:p>
        </w:tc>
        <w:tc>
          <w:tcPr/>
          <w:p>
            <w:pPr>
              <w:pStyle w:val="Compact"/>
              <w:jc w:val="left"/>
            </w:pPr>
            <w:r>
              <w:t xml:space="preserve">[se completa desde tu registro]</w:t>
            </w:r>
          </w:p>
        </w:tc>
      </w:tr>
      <w:tr>
        <w:tc>
          <w:tcPr/>
          <w:p>
            <w:pPr>
              <w:pStyle w:val="Compact"/>
              <w:jc w:val="left"/>
            </w:pPr>
            <w:r>
              <w:t xml:space="preserve">Contratación directa o por medio de un distribuidor</w:t>
            </w:r>
          </w:p>
        </w:tc>
        <w:tc>
          <w:tcPr/>
          <w:p>
            <w:pPr>
              <w:pStyle w:val="Compact"/>
              <w:jc w:val="left"/>
            </w:pPr>
            <w:r>
              <w:t xml:space="preserve">[se completa desde tu registro]</w:t>
            </w:r>
          </w:p>
        </w:tc>
      </w:tr>
      <w:tr>
        <w:tc>
          <w:tcPr/>
          <w:p>
            <w:pPr>
              <w:pStyle w:val="Compact"/>
              <w:jc w:val="left"/>
            </w:pPr>
            <w:r>
              <w:t xml:space="preserve">Fecha de aceptación</w:t>
            </w:r>
          </w:p>
        </w:tc>
        <w:tc>
          <w:tcPr/>
          <w:p>
            <w:pPr>
              <w:pStyle w:val="Compact"/>
              <w:jc w:val="left"/>
            </w:pPr>
            <w:r>
              <w:t xml:space="preserve">[se completa al aceptar]</w:t>
            </w:r>
          </w:p>
        </w:tc>
      </w:tr>
    </w:tbl>
    <w:p>
      <w:pPr>
        <w:pStyle w:val="BodyText"/>
      </w:pPr>
      <w:r>
        <w:t xml:space="preserve">La plataforma llena tu tabla con los datos de tu registro antes de mostrarte el texto para aceptarlo, y los ves en pantalla para que los verifiques. Los campos de Factus entre corchetes se completan antes de publicar este documento. El texto que se somete a tu aceptación no tiene espacios en blanco, como exige el artículo 37, numeral 3, de la Ley 1480 de 2011.</w:t>
      </w:r>
    </w:p>
    <w:p>
      <w:pPr>
        <w:pStyle w:val="BodyText"/>
      </w:pPr>
      <w:r>
        <w:t xml:space="preserve">Factus y tú quedan vinculados por este contrato de prestación de servicios tecnológicos de facturación electrónica, que se rige por las cláusulas siguientes.</w:t>
      </w:r>
    </w:p>
    <w:p>
      <w:r>
        <w:pict>
          <v:rect style="width:0;height:1.5pt" o:hralign="center" o:hrstd="t" o:hr="t"/>
        </w:pict>
      </w:r>
    </w:p>
    <w:bookmarkEnd w:id="916"/>
    <w:bookmarkEnd w:id="917"/>
    <w:bookmarkStart w:id="918" w:name="qué-es-este-contrato"/>
    <w:p>
      <w:pPr>
        <w:pStyle w:val="Heading1"/>
      </w:pPr>
      <w:r>
        <w:t xml:space="preserve">1. Qué es este contrato</w:t>
      </w:r>
    </w:p>
    <w:p>
      <w:pPr>
        <w:pStyle w:val="FirstParagraph"/>
      </w:pPr>
      <w:r>
        <w:t xml:space="preserve">1.1 Es un contrato de adhesión, en los términos del artículo 5, numeral 4, de la Ley 1480 de 2011. Nosotros redactamos las cláusulas antes de ofrecértelas, tú no puedes modificarlas, y lo que puedes hacer es aceptarlas o rechazarlas completas.</w:t>
      </w:r>
    </w:p>
    <w:p>
      <w:pPr>
        <w:pStyle w:val="BodyText"/>
      </w:pPr>
      <w:r>
        <w:t xml:space="preserve">1.2 La aceptación recae sobre todo el texto, incluidos los parágrafos, el Anexo I y el Anexo II. No es posible aceptar cláusulas sueltas ni agregar reservas o contrapropuestas. Si nos envías una manifestación para modificar, excluir o condicionar una cláusula, no tiene efecto mientras no la aceptemos por escrito, y el contrato rige completo si aceptaste conforme al Anexo I.</w:t>
      </w:r>
    </w:p>
    <w:p>
      <w:pPr>
        <w:pStyle w:val="BodyText"/>
      </w:pPr>
      <w:r>
        <w:t xml:space="preserve">1.3 Puedes rechazar este contrato. Rechazarlo no te genera ninguna obligación ni sanción. El único efecto es que no se crea el vínculo y no te habilitamos el acceso a la plataforma.</w:t>
      </w:r>
    </w:p>
    <w:p>
      <w:pPr>
        <w:pStyle w:val="BodyText"/>
      </w:pPr>
      <w:r>
        <w:t xml:space="preserve">1.4 Nos corresponde dejar prueba de tu aceptación, conforme a los artículos 39 y 48 de la Ley 1480 de 2011. Lo hacemos con el mecanismo del Anexo I y te enviamos constancia escrita dentro de las 24 horas siguientes.</w:t>
      </w:r>
    </w:p>
    <w:p>
      <w:pPr>
        <w:pStyle w:val="BodyText"/>
      </w:pPr>
      <w:r>
        <w:t xml:space="preserve">1.5 Como redactamos el texto sin tu intervención, este contrato queda sujeto a las reglas de la Ley 1480 de 2011 sobre condiciones negociales generales y sobre cláusulas abusivas (capítulos II y III del título VII). Aceptamos que las consecuencias de ineficacia que esas normas prevén operan de pleno derecho.</w:t>
      </w:r>
    </w:p>
    <w:p>
      <w:pPr>
        <w:pStyle w:val="BodyText"/>
      </w:pPr>
      <w:r>
        <w:t xml:space="preserve">1.6 Si alguna condición particular se negocia contigo de manera individual, el resto del texto sigue siendo de adhesión y esta cláusula sigue aplicando, conforme al artículo 40 de la Ley 1480 de 2011.</w:t>
      </w:r>
    </w:p>
    <w:p>
      <w:pPr>
        <w:pStyle w:val="BodyText"/>
      </w:pPr>
      <w:r>
        <w:t xml:space="preserve">1.7 No podemos modificar este contrato por nuestra cuenta ni dejar de cumplir nuestras obligaciones, conforme al artículo 38 de la Ley 1480 de 2011. La cláusula 25 explica cómo te proponemos una nueva versión y qué puedes hacer si no la aceptas.</w:t>
      </w:r>
    </w:p>
    <w:bookmarkEnd w:id="918"/>
    <w:bookmarkStart w:id="919" w:name="cómo-te-informamos-antes-de-que-aceptes"/>
    <w:p>
      <w:pPr>
        <w:pStyle w:val="Heading1"/>
      </w:pPr>
      <w:r>
        <w:t xml:space="preserve">2. Cómo te informamos antes de que aceptes</w:t>
      </w:r>
    </w:p>
    <w:p>
      <w:pPr>
        <w:pStyle w:val="FirstParagraph"/>
      </w:pPr>
      <w:r>
        <w:t xml:space="preserve">2.1 Antes de que aceptes, te informamos la existencia, los efectos y el alcance de este contrato por estos medios:</w:t>
      </w:r>
    </w:p>
    <w:p>
      <w:pPr>
        <w:pStyle w:val="BodyText"/>
      </w:pPr>
      <w:r>
        <w:t xml:space="preserve">2.1.1 El texto completo y vigente está publicado de forma permanente y gratuita en www.factus.com.co, en una dirección estable, y se puede leer sin registrarse.</w:t>
      </w:r>
    </w:p>
    <w:p>
      <w:pPr>
        <w:pStyle w:val="BodyText"/>
      </w:pPr>
      <w:r>
        <w:t xml:space="preserve">2.1.2 La plataforma te muestra el texto completo, y no un resumen ni un enlace suelto, en la misma pantalla en la que te pide aceptarlo.</w:t>
      </w:r>
    </w:p>
    <w:p>
      <w:pPr>
        <w:pStyle w:val="BodyText"/>
      </w:pPr>
      <w:r>
        <w:t xml:space="preserve">2.1.3 Puedes descargarlo, imprimirlo y guardarlo en PDF antes de aceptar y en cualquier momento después, desde tu cuenta.</w:t>
      </w:r>
    </w:p>
    <w:p>
      <w:pPr>
        <w:pStyle w:val="BodyText"/>
      </w:pPr>
      <w:r>
        <w:t xml:space="preserve">2.1.4 Dentro de las 24 horas siguientes a la aceptación te enviamos al correo registrado una copia del texto aceptado y la constancia de la operación.</w:t>
      </w:r>
    </w:p>
    <w:p>
      <w:pPr>
        <w:pStyle w:val="BodyText"/>
      </w:pPr>
      <w:r>
        <w:t xml:space="preserve">2.1.5 No te ponemos tiempo límite para leer. Puedes interrumpir el proceso para consultar el texto con quien quieras y retomarlo después.</w:t>
      </w:r>
    </w:p>
    <w:p>
      <w:pPr>
        <w:pStyle w:val="BodyText"/>
      </w:pPr>
      <w:r>
        <w:t xml:space="preserve">2.2 El contrato está en castellano.</w:t>
      </w:r>
    </w:p>
    <w:p>
      <w:pPr>
        <w:pStyle w:val="BodyText"/>
      </w:pPr>
      <w:r>
        <w:t xml:space="preserve">2.3 El texto identifica qué servicios prestamos y cuáles no, los niveles de servicio y cómo se miden, el precio y cómo se ajusta, cuándo podemos suspender o terminar, de qué responde cada parte y cómo reclamar. Los términos de la cláusula 4 tienen un solo significado en todo el documento.</w:t>
      </w:r>
    </w:p>
    <w:p>
      <w:pPr>
        <w:pStyle w:val="BodyText"/>
      </w:pPr>
      <w:r>
        <w:t xml:space="preserve">2.4 El texto se presenta en letra legible a simple vista, de tamaño no inferior al del resto de la plataforma y sin fondos que dificulten la lectura. Las cláusulas que limitan nuestra responsabilidad, las que permiten suspender o terminar y las que te imponen cargas tienen título propio y no están escondidas dentro de cláusulas de otro tema.</w:t>
      </w:r>
    </w:p>
    <w:p>
      <w:pPr>
        <w:pStyle w:val="BodyText"/>
      </w:pPr>
      <w:r>
        <w:t xml:space="preserve">2.5 Si alguna condición general no cumple los requisitos del artículo 37 de la Ley 1480 de 2011, es ineficaz y se tiene por no escrita. Puedes alegarlo en cualquier momento, sin necesidad de una declaración judicial previa.</w:t>
      </w:r>
    </w:p>
    <w:bookmarkEnd w:id="919"/>
    <w:bookmarkStart w:id="920" w:name="protección-frente-a-cláusulas-abusivas"/>
    <w:p>
      <w:pPr>
        <w:pStyle w:val="Heading1"/>
      </w:pPr>
      <w:r>
        <w:t xml:space="preserve">3. Protección frente a cláusulas abusivas</w:t>
      </w:r>
    </w:p>
    <w:p>
      <w:pPr>
        <w:pStyle w:val="FirstParagraph"/>
      </w:pPr>
      <w:r>
        <w:t xml:space="preserve">3.1 Este contrato no debe tener cláusulas abusivas, es decir, cláusulas que produzcan un desequilibrio injustificado en perjuicio del consumidor o que afecten el tiempo, el modo o el lugar en que puede ejercer sus derechos, conforme al artículo 42 de la Ley 1480 de 2011.</w:t>
      </w:r>
    </w:p>
    <w:p>
      <w:pPr>
        <w:pStyle w:val="BodyText"/>
      </w:pPr>
      <w:r>
        <w:t xml:space="preserve">3.2 Si eres consumidor, ninguna cláusula produce efecto en lo que sea contrario al artículo 43 de la Ley 1480 de 2011. Esa ineficacia opera de pleno derecho, sin declaración judicial, y no se subsana con tu aceptación ni con el paso del tiempo.</w:t>
      </w:r>
    </w:p>
    <w:p>
      <w:pPr>
        <w:pStyle w:val="BodyText"/>
      </w:pPr>
      <w:r>
        <w:t xml:space="preserve">3.3 El Anexo II muestra, numeral por numeral del artículo 43, qué cláusula de este contrato trata cada tema. El Anexo II hace parte del contrato.</w:t>
      </w:r>
    </w:p>
    <w:p>
      <w:pPr>
        <w:pStyle w:val="BodyText"/>
      </w:pPr>
      <w:r>
        <w:t xml:space="preserve">3.4 Ninguna de tus declaraciones en este contrato es una renuncia a los derechos que la ley te reconoce. Las declaraciones de la cláusula 7 sirven para acreditar hechos, no para extinguir derechos.</w:t>
      </w:r>
    </w:p>
    <w:p>
      <w:pPr>
        <w:pStyle w:val="BodyText"/>
      </w:pPr>
      <w:r>
        <w:t xml:space="preserve">3.5 Si una cláusula resulta ineficaz o nula, el resto del contrato sigue vigente sin ella, conforme al artículo 44 de la Ley 1480 de 2011.</w:t>
      </w:r>
    </w:p>
    <w:bookmarkEnd w:id="920"/>
    <w:bookmarkStart w:id="921" w:name="palabras-que-usamos"/>
    <w:p>
      <w:pPr>
        <w:pStyle w:val="Heading1"/>
      </w:pPr>
      <w:r>
        <w:t xml:space="preserve">4. Palabras que usamos</w:t>
      </w:r>
    </w:p>
    <w:p>
      <w:pPr>
        <w:pStyle w:val="FirstParagraph"/>
      </w:pPr>
      <w:r>
        <w:t xml:space="preserve">En este contrato, estas palabras tienen el significado que se indica, en singular o en plural:</w:t>
      </w:r>
    </w:p>
    <w:p>
      <w:pPr>
        <w:pStyle w:val="BodyText"/>
      </w:pPr>
      <w:r>
        <w:t xml:space="preserve">4.1</w:t>
      </w:r>
      <w:r>
        <w:t xml:space="preserve"> </w:t>
      </w:r>
      <w:r>
        <w:rPr>
          <w:b/>
          <w:bCs/>
        </w:rPr>
        <w:t xml:space="preserve">Factus</w:t>
      </w:r>
      <w:r>
        <w:t xml:space="preserve"> </w:t>
      </w:r>
      <w:r>
        <w:t xml:space="preserve">o</w:t>
      </w:r>
      <w:r>
        <w:t xml:space="preserve"> </w:t>
      </w:r>
      <w:r>
        <w:rPr>
          <w:b/>
          <w:bCs/>
        </w:rPr>
        <w:t xml:space="preserve">nosotros</w:t>
      </w:r>
      <w:r>
        <w:t xml:space="preserve">: FACTUS S.A.S., sociedad por acciones simplificada identificada con NIT 901.724.254-1, domiciliada en San Gil, Santander, Colombia, habilitada por la DIAN como proveedor tecnológico de facturación electrónica.</w:t>
      </w:r>
    </w:p>
    <w:p>
      <w:pPr>
        <w:pStyle w:val="BodyText"/>
      </w:pPr>
      <w:r>
        <w:t xml:space="preserve">4.2</w:t>
      </w:r>
      <w:r>
        <w:t xml:space="preserve"> </w:t>
      </w:r>
      <w:r>
        <w:rPr>
          <w:b/>
          <w:bCs/>
        </w:rPr>
        <w:t xml:space="preserve">Tú</w:t>
      </w:r>
      <w:r>
        <w:t xml:space="preserve"> </w:t>
      </w:r>
      <w:r>
        <w:t xml:space="preserve">o</w:t>
      </w:r>
      <w:r>
        <w:t xml:space="preserve"> </w:t>
      </w:r>
      <w:r>
        <w:rPr>
          <w:b/>
          <w:bCs/>
        </w:rPr>
        <w:t xml:space="preserve">el cliente</w:t>
      </w:r>
      <w:r>
        <w:t xml:space="preserve">: la persona natural o jurídica identificada en los datos de las partes, que acepta este contrato y usa la plataforma como obligado a facturar o como emisor de documentos electrónicos ante la DIAN.</w:t>
      </w:r>
    </w:p>
    <w:p>
      <w:pPr>
        <w:pStyle w:val="BodyText"/>
      </w:pPr>
      <w:r>
        <w:t xml:space="preserve">4.3</w:t>
      </w:r>
      <w:r>
        <w:t xml:space="preserve"> </w:t>
      </w:r>
      <w:r>
        <w:rPr>
          <w:b/>
          <w:bCs/>
        </w:rPr>
        <w:t xml:space="preserve">Las partes</w:t>
      </w:r>
      <w:r>
        <w:t xml:space="preserve">: Factus y tú.</w:t>
      </w:r>
    </w:p>
    <w:p>
      <w:pPr>
        <w:pStyle w:val="BodyText"/>
      </w:pPr>
      <w:r>
        <w:t xml:space="preserve">4.4</w:t>
      </w:r>
      <w:r>
        <w:t xml:space="preserve"> </w:t>
      </w:r>
      <w:r>
        <w:rPr>
          <w:b/>
          <w:bCs/>
        </w:rPr>
        <w:t xml:space="preserve">Este contrato</w:t>
      </w:r>
      <w:r>
        <w:t xml:space="preserve"> </w:t>
      </w:r>
      <w:r>
        <w:t xml:space="preserve">o</w:t>
      </w:r>
      <w:r>
        <w:t xml:space="preserve"> </w:t>
      </w:r>
      <w:r>
        <w:rPr>
          <w:b/>
          <w:bCs/>
        </w:rPr>
        <w:t xml:space="preserve">estos términos</w:t>
      </w:r>
      <w:r>
        <w:t xml:space="preserve">: el presente documento, con sus parágrafos, el Anexo I y el Anexo II, que tienen el mismo valor que el articulado.</w:t>
      </w:r>
    </w:p>
    <w:p>
      <w:pPr>
        <w:pStyle w:val="BodyText"/>
      </w:pPr>
      <w:r>
        <w:t xml:space="preserve">4.5</w:t>
      </w:r>
      <w:r>
        <w:t xml:space="preserve"> </w:t>
      </w:r>
      <w:r>
        <w:rPr>
          <w:b/>
          <w:bCs/>
        </w:rPr>
        <w:t xml:space="preserve">La plataforma</w:t>
      </w:r>
      <w:r>
        <w:t xml:space="preserve">: la solución tecnológica que desarrollamos y operamos, incluidos el software, las interfaces, las interfaces de programación de aplicaciones, las bases de datos, la documentación técnica y la infraestructura asociada.</w:t>
      </w:r>
    </w:p>
    <w:p>
      <w:pPr>
        <w:pStyle w:val="BodyText"/>
      </w:pPr>
      <w:r>
        <w:t xml:space="preserve">4.6</w:t>
      </w:r>
      <w:r>
        <w:t xml:space="preserve"> </w:t>
      </w:r>
      <w:r>
        <w:rPr>
          <w:b/>
          <w:bCs/>
        </w:rPr>
        <w:t xml:space="preserve">Los servicios</w:t>
      </w:r>
      <w:r>
        <w:t xml:space="preserve">: lo que te prestamos por medio de la plataforma, descrito en la cláusula 8 y limitado en la cláusula 9.</w:t>
      </w:r>
    </w:p>
    <w:p>
      <w:pPr>
        <w:pStyle w:val="BodyText"/>
      </w:pPr>
      <w:r>
        <w:t xml:space="preserve">4.7</w:t>
      </w:r>
      <w:r>
        <w:t xml:space="preserve"> </w:t>
      </w:r>
      <w:r>
        <w:rPr>
          <w:b/>
          <w:bCs/>
        </w:rPr>
        <w:t xml:space="preserve">Los documentos electrónicos</w:t>
      </w:r>
      <w:r>
        <w:t xml:space="preserve">: las facturas electrónicas de venta, notas débito, notas crédito, documentos equivalentes, documentos soporte electrónicos y documentos soporte de pago de nómina electrónica que generas y transmites por medio de la plataforma.</w:t>
      </w:r>
    </w:p>
    <w:p>
      <w:pPr>
        <w:pStyle w:val="BodyText"/>
      </w:pPr>
      <w:r>
        <w:t xml:space="preserve">4.8</w:t>
      </w:r>
      <w:r>
        <w:t xml:space="preserve"> </w:t>
      </w:r>
      <w:r>
        <w:rPr>
          <w:b/>
          <w:bCs/>
        </w:rPr>
        <w:t xml:space="preserve">La DIAN</w:t>
      </w:r>
      <w:r>
        <w:t xml:space="preserve">: la Dirección de Impuestos y Aduanas Nacionales de Colombia.</w:t>
      </w:r>
    </w:p>
    <w:p>
      <w:pPr>
        <w:pStyle w:val="BodyText"/>
      </w:pPr>
      <w:r>
        <w:t xml:space="preserve">4.9</w:t>
      </w:r>
      <w:r>
        <w:t xml:space="preserve"> </w:t>
      </w:r>
      <w:r>
        <w:rPr>
          <w:b/>
          <w:bCs/>
        </w:rPr>
        <w:t xml:space="preserve">El distribuidor</w:t>
      </w:r>
      <w:r>
        <w:t xml:space="preserve">: el tercero autorizado por nosotros para comercializar el acceso a la plataforma. Si contrataste por medio de él, mantiene contigo la relación comercial en los términos del numeral 15.4.</w:t>
      </w:r>
    </w:p>
    <w:p>
      <w:pPr>
        <w:pStyle w:val="BodyText"/>
      </w:pPr>
      <w:r>
        <w:t xml:space="preserve">4.10</w:t>
      </w:r>
      <w:r>
        <w:t xml:space="preserve"> </w:t>
      </w:r>
      <w:r>
        <w:rPr>
          <w:b/>
          <w:bCs/>
        </w:rPr>
        <w:t xml:space="preserve">Los datos personales</w:t>
      </w:r>
      <w:r>
        <w:t xml:space="preserve">: la información de personas naturales identificadas o identificables que incorporas en los documentos electrónicos o que nos suministras para prestar los servicios.</w:t>
      </w:r>
    </w:p>
    <w:p>
      <w:pPr>
        <w:pStyle w:val="BodyText"/>
      </w:pPr>
      <w:r>
        <w:t xml:space="preserve">Los títulos de las cláusulas facilitan la lectura y no amplían ni limitan su contenido.</w:t>
      </w:r>
    </w:p>
    <w:bookmarkEnd w:id="921"/>
    <w:bookmarkStart w:id="922" w:name="si-eres-consumidor-y-si-no-lo-eres"/>
    <w:p>
      <w:pPr>
        <w:pStyle w:val="Heading1"/>
      </w:pPr>
      <w:r>
        <w:t xml:space="preserve">5. Si eres consumidor y si no lo eres</w:t>
      </w:r>
    </w:p>
    <w:p>
      <w:pPr>
        <w:pStyle w:val="FirstParagraph"/>
      </w:pPr>
      <w:r>
        <w:t xml:space="preserve">5.1 La ley decide quién es consumidor. Lo es quien, como destinatario final, adquiere o usa un producto para satisfacer una necesidad propia, privada, familiar o doméstica, y también empresarial cuando no esté ligada intrínsecamente a su actividad económica (artículo 5, numeral 3, de la Ley 1480 de 2011). Esa calidad se determina en cada caso. No se pacta, no se presume y no se renuncia.</w:t>
      </w:r>
    </w:p>
    <w:p>
      <w:pPr>
        <w:pStyle w:val="BodyText"/>
      </w:pPr>
      <w:r>
        <w:t xml:space="preserve">5.2 En muchos casos la facturación electrónica está ligada intrínsecamente a la actividad económica del cliente, que la usa para cumplir su obligación de facturar. En esos casos el cliente no es consumidor, y la relación se rige por las reglas generales de los contratos de adhesión, el Código de Comercio y el Código Civil. Este contrato no afirma ni niega esa calidad frente a ningún cliente en particular.</w:t>
      </w:r>
    </w:p>
    <w:p>
      <w:pPr>
        <w:pStyle w:val="BodyText"/>
      </w:pPr>
      <w:r>
        <w:t xml:space="preserve">5.3 Si eres consumidor, se te aplican de forma imperativa las normas de la Ley 1480 de 2011, que son de orden público. Cualquier cláusula contraria se tiene por no escrita, y las cláusulas del artículo 43 son ineficaces de pleno derecho. Si hay duda sobre el alcance de una cláusula, se interpreta a tu favor (artículo 4 de la misma ley).</w:t>
      </w:r>
    </w:p>
    <w:p>
      <w:pPr>
        <w:pStyle w:val="BodyText"/>
      </w:pPr>
      <w:r>
        <w:t xml:space="preserve">5.4 Si no eres consumidor, la relación se rige por este contrato, el Código de Comercio y el Código Civil. Las cláusulas ambiguas se interpretan en contra nuestra, porque las redactamos, y las que contraríen la buena fe o la naturaleza del contrato no producen el efecto que pretendan darnos.</w:t>
      </w:r>
    </w:p>
    <w:p>
      <w:pPr>
        <w:pStyle w:val="BodyText"/>
      </w:pPr>
      <w:r>
        <w:t xml:space="preserve">5.5 Aunque no seas consumidor, te extendemos por contrato estas protecciones:</w:t>
      </w:r>
    </w:p>
    <w:p>
      <w:pPr>
        <w:pStyle w:val="BodyText"/>
      </w:pPr>
      <w:r>
        <w:t xml:space="preserve">5.5.1 El derecho de retracto de la cláusula 24, en los mismos plazos y condiciones.</w:t>
      </w:r>
    </w:p>
    <w:p>
      <w:pPr>
        <w:pStyle w:val="BodyText"/>
      </w:pPr>
      <w:r>
        <w:t xml:space="preserve">5.5.2 La regla del numeral 19.5.1: nuestro límite de responsabilidad no aplica en casos de dolo o culpa grave.</w:t>
      </w:r>
    </w:p>
    <w:p>
      <w:pPr>
        <w:pStyle w:val="BodyText"/>
      </w:pPr>
      <w:r>
        <w:t xml:space="preserve">5.5.3 El derecho a terminar sin penalidad si no aceptas un cambio a estos términos, conforme a la cláusula 25.</w:t>
      </w:r>
    </w:p>
    <w:p>
      <w:pPr>
        <w:pStyle w:val="BodyText"/>
      </w:pPr>
      <w:r>
        <w:t xml:space="preserve">5.5.4 El derecho a terminar en cualquier momento sin sanción, conforme al numeral 26.1.</w:t>
      </w:r>
    </w:p>
    <w:p>
      <w:pPr>
        <w:pStyle w:val="BodyText"/>
      </w:pPr>
      <w:r>
        <w:t xml:space="preserve">5.6 Estas protecciones se aplican por virtud de este contrato. No te convierten en consumidor para otros efectos ni te habilitan para las acciones que la Ley 1480 de 2011 reserva a quien tiene esa calidad.</w:t>
      </w:r>
    </w:p>
    <w:bookmarkEnd w:id="922"/>
    <w:bookmarkStart w:id="923" w:name="lo-que-declaramos"/>
    <w:p>
      <w:pPr>
        <w:pStyle w:val="Heading1"/>
      </w:pPr>
      <w:r>
        <w:t xml:space="preserve">6. Lo que declaramos</w:t>
      </w:r>
    </w:p>
    <w:p>
      <w:pPr>
        <w:pStyle w:val="FirstParagraph"/>
      </w:pPr>
      <w:r>
        <w:t xml:space="preserve">Factus declara que:</w:t>
      </w:r>
    </w:p>
    <w:p>
      <w:pPr>
        <w:pStyle w:val="BodyText"/>
      </w:pPr>
      <w:r>
        <w:t xml:space="preserve">6.1 Es una sociedad constituida conforme a las leyes de Colombia, y su representante legal tiene facultades para obligarla en este contrato.</w:t>
      </w:r>
    </w:p>
    <w:p>
      <w:pPr>
        <w:pStyle w:val="BodyText"/>
      </w:pPr>
      <w:r>
        <w:t xml:space="preserve">6.2 Está habilitada por la DIAN como proveedor tecnológico, conforme a la Resolución 000165 de 2023 y al acto administrativo de habilitación expedido a su favor, y a la fecha de tu aceptación no tiene restricciones administrativas que afecten la prestación de los servicios.</w:t>
      </w:r>
    </w:p>
    <w:p>
      <w:pPr>
        <w:pStyle w:val="BodyText"/>
      </w:pPr>
      <w:r>
        <w:t xml:space="preserve">6.3 La plataforma cumple las especificaciones técnicas de la DIAN para generar y transmitir los documentos electrónicos, cifra las comunicaciones con protocolo TLS 1.2 o superior y usa mecanismos de autenticación conformes con el Decreto 2364 de 2012.</w:t>
      </w:r>
    </w:p>
    <w:p>
      <w:pPr>
        <w:pStyle w:val="BodyText"/>
      </w:pPr>
      <w:r>
        <w:t xml:space="preserve">6.4 Es la única titular de la propiedad intelectual sobre la plataforma y puede darte la licencia de uso de la cláusula 23.</w:t>
      </w:r>
    </w:p>
    <w:p>
      <w:pPr>
        <w:pStyle w:val="BodyText"/>
      </w:pPr>
      <w:r>
        <w:t xml:space="preserve">6.5 Celebrar este contrato y prestar los servicios no viola la ley colombiana, sus estatutos ni ningún contrato que haya firmado.</w:t>
      </w:r>
    </w:p>
    <w:p>
      <w:pPr>
        <w:pStyle w:val="BodyText"/>
      </w:pPr>
      <w:r>
        <w:t xml:space="preserve">6.6 Redactó este contrato completo, sin tu intervención, y asume las consecuencias legales de hacerlo, en particular que las cláusulas ambiguas se interpretan en su contra y el régimen de cláusulas abusivas de la cláusula 3.</w:t>
      </w:r>
    </w:p>
    <w:bookmarkEnd w:id="923"/>
    <w:bookmarkStart w:id="924" w:name="lo-que-declaras"/>
    <w:p>
      <w:pPr>
        <w:pStyle w:val="Heading1"/>
      </w:pPr>
      <w:r>
        <w:t xml:space="preserve">7. Lo que declaras</w:t>
      </w:r>
    </w:p>
    <w:p>
      <w:pPr>
        <w:pStyle w:val="FirstParagraph"/>
      </w:pPr>
      <w:r>
        <w:t xml:space="preserve">Al aceptar, declaras bajo la gravedad de juramento que:</w:t>
      </w:r>
    </w:p>
    <w:p>
      <w:pPr>
        <w:pStyle w:val="BodyText"/>
      </w:pPr>
      <w:r>
        <w:t xml:space="preserve">7.1 Tienes capacidad legal plena para obligarte. Si eres persona natural, eres mayor de 18 años y no tienes causal de incapacidad según el Código Civil. Si eres persona jurídica, estás constituida y vigente, y quien acepta en tu nombre tiene facultades para obligarte.</w:t>
      </w:r>
    </w:p>
    <w:p>
      <w:pPr>
        <w:pStyle w:val="BodyText"/>
      </w:pPr>
      <w:r>
        <w:t xml:space="preserve">7.2 Conoces el alcance de nuestra intervención, descrito en la cláusula 9, y el régimen de responsabilidad de la cláusula 19.</w:t>
      </w:r>
    </w:p>
    <w:p>
      <w:pPr>
        <w:pStyle w:val="BodyText"/>
      </w:pPr>
      <w:r>
        <w:t xml:space="preserve">7.3 Tuviste a tu disposición, antes de aceptar, el texto completo de este contrato y la documentación técnica de la plataforma, y pudiste descargarlos y guardarlos.</w:t>
      </w:r>
    </w:p>
    <w:p>
      <w:pPr>
        <w:pStyle w:val="BodyText"/>
      </w:pPr>
      <w:r>
        <w:t xml:space="preserve">7.4 Aceptas este contrato para designarnos como tu proveedor tecnológico de generación y transmisión de documentos electrónicos ante la DIAN.</w:t>
      </w:r>
    </w:p>
    <w:p>
      <w:pPr>
        <w:pStyle w:val="BodyText"/>
      </w:pPr>
      <w:r>
        <w:t xml:space="preserve">7.5 La información que nos das, incluida la tributaria, la de identificación, la de terceros y la de tus transacciones, es veraz, completa y actualizada, y la actualizarás cuando cambie.</w:t>
      </w:r>
    </w:p>
    <w:p>
      <w:pPr>
        <w:pStyle w:val="BodyText"/>
      </w:pPr>
      <w:r>
        <w:t xml:space="preserve">7.6 Tu actividad económica es lícita, y las operaciones que documentas en la plataforma son reales, se celebraron efectivamente entre las personas identificadas en los documentos y por los valores y conceptos que allí aparecen.</w:t>
      </w:r>
    </w:p>
    <w:p>
      <w:pPr>
        <w:pStyle w:val="BodyText"/>
      </w:pPr>
      <w:r>
        <w:t xml:space="preserve">7.7 Estás inscrito en el Registro Único Tributario con estado vigente, tu NIT está activo y, cuando la operación lo exige, tienes autorización de numeración de facturación vigente expedida por la DIAN.</w:t>
      </w:r>
    </w:p>
    <w:p>
      <w:pPr>
        <w:pStyle w:val="BodyText"/>
      </w:pPr>
      <w:r>
        <w:t xml:space="preserve">7.8 Los recursos de tu actividad provienen de fuentes lícitas, y no usarás la plataforma para las conductas de los artículos 323, 345, 434A y 434B de la Ley 599 de 2000 ni para ningún otro delito.</w:t>
      </w:r>
    </w:p>
    <w:p>
      <w:pPr>
        <w:pStyle w:val="BodyText"/>
      </w:pPr>
      <w:r>
        <w:t xml:space="preserve">7.9 Tienes autorización previa, expresa e informada de los titulares para incluir sus datos personales en los documentos electrónicos, o el tratamiento está cubierto por una excepción legal al deber de autorización.</w:t>
      </w:r>
    </w:p>
    <w:p>
      <w:pPr>
        <w:pStyle w:val="BodyText"/>
      </w:pPr>
      <w:r>
        <w:rPr>
          <w:b/>
          <w:bCs/>
        </w:rPr>
        <w:t xml:space="preserve">PARÁGRAFO PRIMERO.</w:t>
      </w:r>
      <w:r>
        <w:t xml:space="preserve"> </w:t>
      </w:r>
      <w:r>
        <w:t xml:space="preserve">Contratamos contigo con base en estas declaraciones. Si alguna es falsa, inexacta o deja de ser cierta, podemos suspender los servicios conforme al numeral 26.3, y es causal de terminación conforme al numeral 26.5.</w:t>
      </w:r>
    </w:p>
    <w:p>
      <w:pPr>
        <w:pStyle w:val="BodyText"/>
      </w:pPr>
      <w:r>
        <w:rPr>
          <w:b/>
          <w:bCs/>
        </w:rPr>
        <w:t xml:space="preserve">PARÁGRAFO SEGUNDO.</w:t>
      </w:r>
      <w:r>
        <w:t xml:space="preserve"> </w:t>
      </w:r>
      <w:r>
        <w:t xml:space="preserve">Estas declaraciones acreditan hechos tuyos. No te trasladan obligaciones que la ley nos asigna, no invierten la carga de la prueba en tu contra y no son renuncia a ningún derecho. La declaración 7.3 admite prueba en contrario: si demuestras que el texto no estuvo a tu disposición como lo exige la cláusula 2, esa declaración no produce efecto.</w:t>
      </w:r>
    </w:p>
    <w:bookmarkEnd w:id="924"/>
    <w:bookmarkStart w:id="925" w:name="qué-incluye-el-servicio"/>
    <w:p>
      <w:pPr>
        <w:pStyle w:val="Heading1"/>
      </w:pPr>
      <w:r>
        <w:t xml:space="preserve">8. Qué incluye el servicio</w:t>
      </w:r>
    </w:p>
    <w:p>
      <w:pPr>
        <w:pStyle w:val="FirstParagraph"/>
      </w:pPr>
      <w:r>
        <w:t xml:space="preserve">8.1 Te prestamos los servicios por medio de la plataforma, a cambio del precio pactado conforme a la cláusula 18.</w:t>
      </w:r>
    </w:p>
    <w:p>
      <w:pPr>
        <w:pStyle w:val="BodyText"/>
      </w:pPr>
      <w:r>
        <w:t xml:space="preserve">8.2 Según el paquete que contrates, los servicios incluyen:</w:t>
      </w:r>
    </w:p>
    <w:p>
      <w:pPr>
        <w:pStyle w:val="BodyText"/>
      </w:pPr>
      <w:r>
        <w:t xml:space="preserve">8.2.1</w:t>
      </w:r>
      <w:r>
        <w:t xml:space="preserve"> </w:t>
      </w:r>
      <w:r>
        <w:rPr>
          <w:b/>
          <w:bCs/>
        </w:rPr>
        <w:t xml:space="preserve">Emisión y transmisión de documentos tributarios electrónicos:</w:t>
      </w:r>
      <w:r>
        <w:t xml:space="preserve"> </w:t>
      </w:r>
      <w:r>
        <w:t xml:space="preserve">generación, validación técnica de la estructura y transmisión a la DIAN de facturas electrónicas de venta, notas débito, notas crédito y documentos soporte electrónicos, conforme a la Resolución 000165 de 2023 y a las normas que la modifiquen, adicionen o sustituyan.</w:t>
      </w:r>
    </w:p>
    <w:p>
      <w:pPr>
        <w:pStyle w:val="BodyText"/>
      </w:pPr>
      <w:r>
        <w:t xml:space="preserve">8.2.2</w:t>
      </w:r>
      <w:r>
        <w:t xml:space="preserve"> </w:t>
      </w:r>
      <w:r>
        <w:rPr>
          <w:b/>
          <w:bCs/>
        </w:rPr>
        <w:t xml:space="preserve">Nómina electrónica:</w:t>
      </w:r>
      <w:r>
        <w:t xml:space="preserve"> </w:t>
      </w:r>
      <w:r>
        <w:t xml:space="preserve">generación y transmisión del documento soporte de pago de nómina electrónica y de sus notas de ajuste, conforme a la Resolución 000013 de 2021 de la DIAN y a las normas que la modifiquen, adicionen o sustituyan, cuando tu paquete lo incluya.</w:t>
      </w:r>
    </w:p>
    <w:p>
      <w:pPr>
        <w:pStyle w:val="BodyText"/>
      </w:pPr>
      <w:r>
        <w:t xml:space="preserve">8.2.3</w:t>
      </w:r>
      <w:r>
        <w:t xml:space="preserve"> </w:t>
      </w:r>
      <w:r>
        <w:rPr>
          <w:b/>
          <w:bCs/>
        </w:rPr>
        <w:t xml:space="preserve">Consulta de eventos en RADIAN:</w:t>
      </w:r>
      <w:r>
        <w:t xml:space="preserve"> </w:t>
      </w:r>
      <w:r>
        <w:t xml:space="preserve">consulta de los eventos de recepción, acuse de recibo, aceptación y rechazo que el adquirente registre en el sistema RADIAN de la DIAN.</w:t>
      </w:r>
    </w:p>
    <w:p>
      <w:pPr>
        <w:pStyle w:val="BodyText"/>
      </w:pPr>
      <w:r>
        <w:t xml:space="preserve">8.2.4</w:t>
      </w:r>
      <w:r>
        <w:t xml:space="preserve"> </w:t>
      </w:r>
      <w:r>
        <w:rPr>
          <w:b/>
          <w:bCs/>
        </w:rPr>
        <w:t xml:space="preserve">Reportes de transmisión:</w:t>
      </w:r>
      <w:r>
        <w:t xml:space="preserve"> </w:t>
      </w:r>
      <w:r>
        <w:t xml:space="preserve">consulta y descarga de comprobantes de transmisión, estados de los documentos, detalle técnico de la respuesta de la DIAN y trazabilidad de lo que emites.</w:t>
      </w:r>
    </w:p>
    <w:p>
      <w:pPr>
        <w:pStyle w:val="BodyText"/>
      </w:pPr>
      <w:r>
        <w:t xml:space="preserve">8.2.5</w:t>
      </w:r>
      <w:r>
        <w:t xml:space="preserve"> </w:t>
      </w:r>
      <w:r>
        <w:rPr>
          <w:b/>
          <w:bCs/>
        </w:rPr>
        <w:t xml:space="preserve">Ambiente de pruebas:</w:t>
      </w:r>
      <w:r>
        <w:t xml:space="preserve"> </w:t>
      </w:r>
      <w:r>
        <w:t xml:space="preserve">un entorno separado del de producción, con datos de demostración, para probar integraciones y flujos antes de operar.</w:t>
      </w:r>
    </w:p>
    <w:p>
      <w:pPr>
        <w:pStyle w:val="BodyText"/>
      </w:pPr>
      <w:r>
        <w:t xml:space="preserve">8.3 Puedes contratar una de estas modalidades, que queda identificada en los datos de las partes: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Modalidad</w:t>
            </w:r>
          </w:p>
        </w:tc>
        <w:tc>
          <w:tcPr/>
          <w:p>
            <w:pPr>
              <w:pStyle w:val="Compact"/>
              <w:jc w:val="left"/>
            </w:pPr>
            <w:r>
              <w:t xml:space="preserve">Qué incluye</w:t>
            </w:r>
          </w:p>
        </w:tc>
      </w:tr>
      <w:tr>
        <w:tc>
          <w:tcPr/>
          <w:p>
            <w:pPr>
              <w:pStyle w:val="Compact"/>
              <w:jc w:val="left"/>
            </w:pPr>
            <w:r>
              <w:t xml:space="preserve">Paquete de facturación</w:t>
            </w:r>
          </w:p>
        </w:tc>
        <w:tc>
          <w:tcPr/>
          <w:p>
            <w:pPr>
              <w:pStyle w:val="Compact"/>
              <w:jc w:val="left"/>
            </w:pPr>
            <w:r>
              <w:t xml:space="preserve">Facturación electrónica, documentos soporte electrónicos y consulta de eventos RADIAN</w:t>
            </w:r>
          </w:p>
        </w:tc>
      </w:tr>
      <w:tr>
        <w:tc>
          <w:tcPr/>
          <w:p>
            <w:pPr>
              <w:pStyle w:val="Compact"/>
              <w:jc w:val="left"/>
            </w:pPr>
            <w:r>
              <w:t xml:space="preserve">Paquete de nómina</w:t>
            </w:r>
          </w:p>
        </w:tc>
        <w:tc>
          <w:tcPr/>
          <w:p>
            <w:pPr>
              <w:pStyle w:val="Compact"/>
              <w:jc w:val="left"/>
            </w:pPr>
            <w:r>
              <w:t xml:space="preserve">Documento soporte de pago de nómina electrónica y documentos soporte electrónicos</w:t>
            </w:r>
          </w:p>
        </w:tc>
      </w:tr>
      <w:tr>
        <w:tc>
          <w:tcPr/>
          <w:p>
            <w:pPr>
              <w:pStyle w:val="Compact"/>
              <w:jc w:val="left"/>
            </w:pPr>
            <w:r>
              <w:t xml:space="preserve">Bolsa multifacturador</w:t>
            </w:r>
          </w:p>
        </w:tc>
        <w:tc>
          <w:tcPr/>
          <w:p>
            <w:pPr>
              <w:pStyle w:val="Compact"/>
              <w:jc w:val="left"/>
            </w:pPr>
            <w:r>
              <w:t xml:space="preserve">Todos los servicios en una sola bolsa. Requiere un certificado digital por cada NIT adicional que se habilite</w:t>
            </w:r>
          </w:p>
        </w:tc>
      </w:tr>
    </w:tbl>
    <w:p>
      <w:pPr>
        <w:pStyle w:val="BodyText"/>
      </w:pPr>
      <w:r>
        <w:t xml:space="preserve">8.4 No están incluidos, y si los ofrecemos se contratan y facturan aparte:</w:t>
      </w:r>
    </w:p>
    <w:p>
      <w:pPr>
        <w:pStyle w:val="BodyText"/>
      </w:pPr>
      <w:r>
        <w:t xml:space="preserve">8.4.1 Los certificados digitales adicionales al primero incluido en el paquete, cuando el paquete lo incluya.</w:t>
      </w:r>
    </w:p>
    <w:p>
      <w:pPr>
        <w:pStyle w:val="BodyText"/>
      </w:pPr>
      <w:r>
        <w:t xml:space="preserve">8.4.2 La asesoría tributaria, contable o jurídica de cualquier tipo.</w:t>
      </w:r>
    </w:p>
    <w:p>
      <w:pPr>
        <w:pStyle w:val="BodyText"/>
      </w:pPr>
      <w:r>
        <w:t xml:space="preserve">8.4.3 El desarrollo de integraciones a la medida de tus sistemas.</w:t>
      </w:r>
    </w:p>
    <w:p>
      <w:pPr>
        <w:pStyle w:val="BodyText"/>
      </w:pPr>
      <w:r>
        <w:t xml:space="preserve">8.4.4 La capacitación a la medida, la consultoría técnica y la recuperación de datos que se hayan borrado por causa tuya.</w:t>
      </w:r>
    </w:p>
    <w:p>
      <w:pPr>
        <w:pStyle w:val="BodyText"/>
      </w:pPr>
      <w:r>
        <w:t xml:space="preserve">8.4.5 El soporte comercial, cuando contrataste por medio de un distribuidor, conforme al numeral 15.4.</w:t>
      </w:r>
    </w:p>
    <w:p>
      <w:pPr>
        <w:pStyle w:val="BodyText"/>
      </w:pPr>
      <w:r>
        <w:t xml:space="preserve">8.5 Antes de que aceptes te informamos el paquete, su precio, su periodicidad y su duración mínima, en la orden de servicio, la cotización o la pantalla de contratación, y quedan en los datos de las partes.</w:t>
      </w:r>
    </w:p>
    <w:bookmarkEnd w:id="925"/>
    <w:bookmarkStart w:id="926" w:name="lo-que-no-hacemos"/>
    <w:p>
      <w:pPr>
        <w:pStyle w:val="Heading1"/>
      </w:pPr>
      <w:r>
        <w:t xml:space="preserve">9. Lo que no hacemos</w:t>
      </w:r>
    </w:p>
    <w:p>
      <w:pPr>
        <w:pStyle w:val="FirstParagraph"/>
      </w:pPr>
      <w:r>
        <w:t xml:space="preserve">9.1 Somos un proveedor de infraestructura y servicios tecnológicos. Nuestra obligación sobre la disponibilidad de la plataforma es de medio, conforme a los niveles de servicio de la cláusula 14. Nuestra obligación sobre la transmisión técnica de los documentos a la DIAN es de resultado, en los términos del numeral 19.1.3.</w:t>
      </w:r>
    </w:p>
    <w:p>
      <w:pPr>
        <w:pStyle w:val="BodyText"/>
      </w:pPr>
      <w:r>
        <w:t xml:space="preserve">9.2 No somos ni actuamos como:</w:t>
      </w:r>
    </w:p>
    <w:p>
      <w:pPr>
        <w:pStyle w:val="BodyText"/>
      </w:pPr>
      <w:r>
        <w:t xml:space="preserve">9.2.1 Tu contador público, revisor fiscal, asesor tributario ni gestor tributario.</w:t>
      </w:r>
    </w:p>
    <w:p>
      <w:pPr>
        <w:pStyle w:val="BodyText"/>
      </w:pPr>
      <w:r>
        <w:t xml:space="preserve">9.2.2 Tu abogado ni tu intérprete de las normas tributarias que te aplican.</w:t>
      </w:r>
    </w:p>
    <w:p>
      <w:pPr>
        <w:pStyle w:val="BodyText"/>
      </w:pPr>
      <w:r>
        <w:t xml:space="preserve">9.2.3 Auditor, validador o certificador de que el contenido de tus documentos sea exacto, legal o tributariamente correcto.</w:t>
      </w:r>
    </w:p>
    <w:p>
      <w:pPr>
        <w:pStyle w:val="BodyText"/>
      </w:pPr>
      <w:r>
        <w:t xml:space="preserve">9.2.4 Autoridad tributaria. Aceptar, rechazar, devolver o cambiar el estado de un documento es una decisión exclusiva de la DIAN.</w:t>
      </w:r>
    </w:p>
    <w:p>
      <w:pPr>
        <w:pStyle w:val="BodyText"/>
      </w:pPr>
      <w:r>
        <w:t xml:space="preserve">9.2.5 Tu reemplazo en el cumplimiento de tus obligaciones formales y sustanciales ante la DIAN.</w:t>
      </w:r>
    </w:p>
    <w:p>
      <w:pPr>
        <w:pStyle w:val="BodyText"/>
      </w:pPr>
      <w:r>
        <w:t xml:space="preserve">9.3 Transmitimos tus documentos con el contenido que tú cargas o envías por interfaz, sin modificarlo y sin verificar si es veraz o tributariamente correcto. Que la transmisión técnica sea correcta no significa que el contenido esté validado ni garantiza que la DIAN lo acepte.</w:t>
      </w:r>
    </w:p>
    <w:p>
      <w:pPr>
        <w:pStyle w:val="BodyText"/>
      </w:pPr>
      <w:r>
        <w:t xml:space="preserve">9.4 Si tienes dudas sobre tus obligaciones tributarias, consúltalas con un contador público, revisor fiscal o asesor tributario habilitado. Lo que te respondan nuestros canales de soporte no es asesoría tributaria, contable ni jurídica.</w:t>
      </w:r>
    </w:p>
    <w:p>
      <w:pPr>
        <w:pStyle w:val="BodyText"/>
      </w:pPr>
      <w:r>
        <w:t xml:space="preserve">9.5 La ley pone en el obligado a facturar la obligación de expedir la factura y conservar copia, la responsabilidad por su contenido y el cumplimiento de las obligaciones ante la DIAN (artículos 615, 616-1 y 632 del Estatuto Tributario y Resolución 000165 de 2023). Esta cláusula refleja esa distribución. No te traslada obligaciones que la ley nos asigna a nosotros ni nos libera de las del numeral 19.1.</w:t>
      </w:r>
    </w:p>
    <w:bookmarkEnd w:id="926"/>
    <w:bookmarkStart w:id="927" w:name="cómo-aceptas-y-firma-electrónica"/>
    <w:p>
      <w:pPr>
        <w:pStyle w:val="Heading1"/>
      </w:pPr>
      <w:r>
        <w:t xml:space="preserve">10. Cómo aceptas y firma electrónica</w:t>
      </w:r>
    </w:p>
    <w:p>
      <w:pPr>
        <w:pStyle w:val="FirstParagraph"/>
      </w:pPr>
      <w:r>
        <w:t xml:space="preserve">10.1 El contrato se perfecciona cuando, después de ver el texto completo en pantalla, marcas la casilla de aceptación y oprimes el botón</w:t>
      </w:r>
      <w:r>
        <w:t xml:space="preserve"> </w:t>
      </w:r>
      <w:r>
        <w:t xml:space="preserve">“ACEPTO”</w:t>
      </w:r>
      <w:r>
        <w:t xml:space="preserve">, conforme al Anexo I.</w:t>
      </w:r>
    </w:p>
    <w:p>
      <w:pPr>
        <w:pStyle w:val="BodyText"/>
      </w:pPr>
      <w:r>
        <w:t xml:space="preserve">10.2 Usar los servicios después de una aceptación válida confirma que el vínculo sigue vigente. Usar la plataforma no reemplaza la aceptación: no habilitamos el acceso sin el registro de aceptación del Anexo I.</w:t>
      </w:r>
    </w:p>
    <w:p>
      <w:pPr>
        <w:pStyle w:val="BodyText"/>
      </w:pPr>
      <w:r>
        <w:t xml:space="preserve">10.3 Tu aceptación es una manifestación de voluntad libre, informada y consciente, y produce obligaciones exigibles conforme a los artículos 1494, 1502, 1602 y 1603 del Código Civil y 824, 864 y 871 del Código de Comercio.</w:t>
      </w:r>
    </w:p>
    <w:p>
      <w:pPr>
        <w:pStyle w:val="BodyText"/>
      </w:pPr>
      <w:r>
        <w:t xml:space="preserve">10.4 La aceptación se hace con firma electrónica, con plenos efectos jurídicos conforme a la Ley 527 de 1999 y al Decreto 2364 de 2012. Las partes acuerdan que el mecanismo del Anexo I es confiable y apropiado para este contrato (artículo 7 de la Ley 527 de 1999 y artículo 3 del Decreto 2364 de 2012), y que sus registros tienen la fuerza probatoria de los mensajes de datos (artículos 10 y 11 de la Ley 527 de 1999).</w:t>
      </w:r>
    </w:p>
    <w:p>
      <w:pPr>
        <w:pStyle w:val="BodyText"/>
      </w:pPr>
      <w:r>
        <w:t xml:space="preserve">10.5 El registro del Anexo I cumple la carga del artículo 48 de la Ley 1480 de 2011, que nos obliga a dejar prueba de tu aceptación cuando contratamos por medios electrónicos. El resumen criptográfico permite demostrar cuál fue el texto exacto que aceptaste y detectar cualquier alteración posterior.</w:t>
      </w:r>
    </w:p>
    <w:p>
      <w:pPr>
        <w:pStyle w:val="BodyText"/>
      </w:pPr>
      <w:r>
        <w:t xml:space="preserve">10.6 Conservamos el registro de tu aceptación, con fecha y hora, tu identificación, la dirección IP y el resumen criptográfico del texto, durante el término del Anexo I, y lo ponemos a tu disposición y a la de las autoridades que lo pidan.</w:t>
      </w:r>
    </w:p>
    <w:p>
      <w:pPr>
        <w:pStyle w:val="BodyText"/>
      </w:pPr>
      <w:r>
        <w:rPr>
          <w:b/>
          <w:bCs/>
        </w:rPr>
        <w:t xml:space="preserve">PARÁGRAFO.</w:t>
      </w:r>
      <w:r>
        <w:t xml:space="preserve"> </w:t>
      </w:r>
      <w:r>
        <w:t xml:space="preserve">Nos corresponde probar tu aceptación y su contenido con los registros del Anexo I. Si lo hacemos, tú puedes desvirtuarla demostrando que el acceso no fue autorizado. Para eso sirve, entre otros medios, el reporte que hayas hecho conforme al numeral 12.2.3.</w:t>
      </w:r>
    </w:p>
    <w:bookmarkEnd w:id="927"/>
    <w:bookmarkStart w:id="928" w:name="requisitos-para-usar-la-plataforma"/>
    <w:p>
      <w:pPr>
        <w:pStyle w:val="Heading1"/>
      </w:pPr>
      <w:r>
        <w:t xml:space="preserve">11. Requisitos para usar la plataforma</w:t>
      </w:r>
    </w:p>
    <w:p>
      <w:pPr>
        <w:pStyle w:val="FirstParagraph"/>
      </w:pPr>
      <w:r>
        <w:t xml:space="preserve">11.1 Para usar los servicios debes tener, y mantener mientras dure el contrato:</w:t>
      </w:r>
    </w:p>
    <w:p>
      <w:pPr>
        <w:pStyle w:val="BodyText"/>
      </w:pPr>
      <w:r>
        <w:t xml:space="preserve">11.1.1 Capacidad legal plena, en los términos de la declaración 7.1.</w:t>
      </w:r>
    </w:p>
    <w:p>
      <w:pPr>
        <w:pStyle w:val="BodyText"/>
      </w:pPr>
      <w:r>
        <w:t xml:space="preserve">11.1.2 Inscripción vigente en el Registro Único Tributario, sin cancelación ni suspensión.</w:t>
      </w:r>
    </w:p>
    <w:p>
      <w:pPr>
        <w:pStyle w:val="BodyText"/>
      </w:pPr>
      <w:r>
        <w:t xml:space="preserve">11.1.3 NIT válido y activo ante la DIAN.</w:t>
      </w:r>
    </w:p>
    <w:p>
      <w:pPr>
        <w:pStyle w:val="BodyText"/>
      </w:pPr>
      <w:r>
        <w:t xml:space="preserve">11.1.4 Autorización de numeración de facturación vigente, cuando tu modalidad la exija.</w:t>
      </w:r>
    </w:p>
    <w:p>
      <w:pPr>
        <w:pStyle w:val="BodyText"/>
      </w:pPr>
      <w:r>
        <w:t xml:space="preserve">11.2 Podemos pedirte en cualquier momento el RUT, el certificado de existencia y representación legal, el documento de identidad del representante legal, la autorización de numeración o cualquier otro documento que acredite los requisitos del numeral 11.1.</w:t>
      </w:r>
    </w:p>
    <w:p>
      <w:pPr>
        <w:pStyle w:val="BodyText"/>
      </w:pPr>
      <w:r>
        <w:t xml:space="preserve">11.3 Si no respondes dentro de los cinco días hábiles siguientes a la solicitud que te enviemos al correo de notificaciones, o si la información resulta falsa, incompleta o desactualizada, podemos suspender los servicios conforme al numeral 26.3. Si la omisión sigue diez días hábiles más, podemos terminar el contrato conforme al numeral 26.5.</w:t>
      </w:r>
    </w:p>
    <w:p>
      <w:pPr>
        <w:pStyle w:val="BodyText"/>
      </w:pPr>
      <w:r>
        <w:t xml:space="preserve">11.4 Podemos rechazar tu vinculación, suspender el acceso o terminar el contrato cuando:</w:t>
      </w:r>
    </w:p>
    <w:p>
      <w:pPr>
        <w:pStyle w:val="BodyText"/>
      </w:pPr>
      <w:r>
        <w:t xml:space="preserve">11.4.1 No tengas capacidad legal o no cumplas los requisitos del numeral 11.1.</w:t>
      </w:r>
    </w:p>
    <w:p>
      <w:pPr>
        <w:pStyle w:val="BodyText"/>
      </w:pPr>
      <w:r>
        <w:t xml:space="preserve">11.4.2 Hayas dado información falsa al vincularte o en una verificación.</w:t>
      </w:r>
    </w:p>
    <w:p>
      <w:pPr>
        <w:pStyle w:val="BodyText"/>
      </w:pPr>
      <w:r>
        <w:t xml:space="preserve">11.4.3 Uses la plataforma para alguna de las conductas de la declaración 7.8 o de la cláusula 16.</w:t>
      </w:r>
    </w:p>
    <w:p>
      <w:pPr>
        <w:pStyle w:val="BodyText"/>
      </w:pPr>
      <w:r>
        <w:t xml:space="preserve">11.4.4 Seas vinculado a una investigación o proceso, judicial o administrativo, por delitos relacionados con la actividad que documentas en la plataforma, de forma que se comprometa nuestra operación o nuestra habilitación ante la DIAN.</w:t>
      </w:r>
    </w:p>
    <w:p>
      <w:pPr>
        <w:pStyle w:val="BodyText"/>
      </w:pPr>
      <w:r>
        <w:t xml:space="preserve">11.5 Si tomamos una decisión conforme al numeral 11.4, te la comunicamos por escrito a tu correo de notificaciones, con la causal y los hechos que la sustentan. Tienes cinco días hábiles para controvertirla y aportar pruebas, y te respondemos dentro de los cinco días hábiles siguientes. Este procedimiento no aplica al caso del parágrafo segundo de la cláusula 16, en el que la suspensión es inmediata y la contradicción se hace después.</w:t>
      </w:r>
    </w:p>
    <w:p>
      <w:pPr>
        <w:pStyle w:val="BodyText"/>
      </w:pPr>
      <w:r>
        <w:t xml:space="preserve">11.6 La terminación por las causales de esta cláusula no te genera penalidad ni te da derecho a indemnización, y te devolvemos la parte proporcional de lo pagado por el período no prestado. No hay devolución si la causal es información falsa (numeral 11.4.2) o uso ilícito (numeral 11.4.3).</w:t>
      </w:r>
    </w:p>
    <w:p>
      <w:pPr>
        <w:pStyle w:val="BodyText"/>
      </w:pPr>
      <w:r>
        <w:rPr>
          <w:b/>
          <w:bCs/>
        </w:rPr>
        <w:t xml:space="preserve">PARÁGRAFO.</w:t>
      </w:r>
      <w:r>
        <w:t xml:space="preserve"> </w:t>
      </w:r>
      <w:r>
        <w:t xml:space="preserve">Hacemos esta verificación en nuestro interés y para proteger la plataforma. No te libera de tu deber de dar información veraz, no nos obliga a validar la información que nos das y no nos hace responsables por tu actividad.</w:t>
      </w:r>
    </w:p>
    <w:bookmarkEnd w:id="928"/>
    <w:bookmarkStart w:id="929" w:name="tu-cuenta-y-tu-certificado-digital"/>
    <w:p>
      <w:pPr>
        <w:pStyle w:val="Heading1"/>
      </w:pPr>
      <w:r>
        <w:t xml:space="preserve">12. Tu cuenta y tu certificado digital</w:t>
      </w:r>
    </w:p>
    <w:p>
      <w:pPr>
        <w:pStyle w:val="FirstParagraph"/>
      </w:pPr>
      <w:r>
        <w:t xml:space="preserve">12.1 Te entregamos credenciales de acceso personales e intransferibles. Tú las custodias.</w:t>
      </w:r>
    </w:p>
    <w:p>
      <w:pPr>
        <w:pStyle w:val="BodyText"/>
      </w:pPr>
      <w:r>
        <w:t xml:space="preserve">12.2 Para proteger tu cuenta te comprometes a:</w:t>
      </w:r>
    </w:p>
    <w:p>
      <w:pPr>
        <w:pStyle w:val="BodyText"/>
      </w:pPr>
      <w:r>
        <w:t xml:space="preserve">12.2.1 Usar contraseñas de mínimo ocho caracteres que combinen mayúsculas, minúsculas, números y caracteres especiales, y cambiarlas al menos cada 90 días.</w:t>
      </w:r>
    </w:p>
    <w:p>
      <w:pPr>
        <w:pStyle w:val="BodyText"/>
      </w:pPr>
      <w:r>
        <w:t xml:space="preserve">12.2.2 No compartir con terceros tu usuario, tu contraseña, los códigos de doble factor de autenticación ni ningún otro mecanismo de acceso.</w:t>
      </w:r>
    </w:p>
    <w:p>
      <w:pPr>
        <w:pStyle w:val="BodyText"/>
      </w:pPr>
      <w:r>
        <w:t xml:space="preserve">12.2.3 Avisarnos dentro de las 24 horas siguientes a que lo notes si hay un acceso no autorizado, un cambio que no pediste en la configuración o actividad inusual.</w:t>
      </w:r>
    </w:p>
    <w:p>
      <w:pPr>
        <w:pStyle w:val="BodyText"/>
      </w:pPr>
      <w:r>
        <w:t xml:space="preserve">12.2.4 No entrar a la plataforma desde redes públicas o inseguras sin una red privada virtual que cifre la conexión.</w:t>
      </w:r>
    </w:p>
    <w:p>
      <w:pPr>
        <w:pStyle w:val="BodyText"/>
      </w:pPr>
      <w:r>
        <w:t xml:space="preserve">12.2.5 Mantener los dispositivos desde los que entras protegidos con software de seguridad actualizado.</w:t>
      </w:r>
    </w:p>
    <w:p>
      <w:pPr>
        <w:pStyle w:val="BodyText"/>
      </w:pPr>
      <w:r>
        <w:t xml:space="preserve">12.3 Respondes por lo que se haga con tus credenciales, incluidas emisiones, consultas, descargas y configuraciones, cuando lo hagas tú, tus empleados, tus contratistas o terceros a quienes les diste acceso. Nosotros respondemos cuando el acceso no autorizado venga de una falla de seguridad de la plataforma que nos sea imputable.</w:t>
      </w:r>
    </w:p>
    <w:p>
      <w:pPr>
        <w:pStyle w:val="BodyText"/>
      </w:pPr>
      <w:r>
        <w:rPr>
          <w:b/>
          <w:bCs/>
        </w:rPr>
        <w:t xml:space="preserve">PARÁGRAFO.</w:t>
      </w:r>
      <w:r>
        <w:t xml:space="preserve"> </w:t>
      </w:r>
      <w:r>
        <w:t xml:space="preserve">La carga de la prueba se distribuye según las reglas generales y las normas imperativas, y esta cláusula no la invierte en tu contra. Si nos lo pides, te entregamos dentro de los cinco días hábiles siguientes los registros de acceso, dirección IP, dispositivo y trazabilidad de las operaciones cuestionadas, que son la información técnica que permite saber de dónde vino el acceso y que está bajo nuestro control.</w:t>
      </w:r>
    </w:p>
    <w:p>
      <w:pPr>
        <w:pStyle w:val="BodyText"/>
      </w:pPr>
      <w:r>
        <w:t xml:space="preserve">12.4 Tramitar el certificado digital toma entre uno y tres días hábiles, según la entidad de certificación. Lo instalamos en la plataforma dentro de la hora siguiente a recibirlo.</w:t>
      </w:r>
    </w:p>
    <w:p>
      <w:pPr>
        <w:pStyle w:val="BodyText"/>
      </w:pPr>
      <w:r>
        <w:t xml:space="preserve">12.5 Si el certificado vence porque no lo renovaste a tiempo, te cobramos el arancel de reinscripción según la tarifa vigente, que te informamos antes de hacer el trámite. Si vence mientras tramitamos la renovación, no hay cargo adicional.</w:t>
      </w:r>
    </w:p>
    <w:p>
      <w:pPr>
        <w:pStyle w:val="BodyText"/>
      </w:pPr>
      <w:r>
        <w:t xml:space="preserve">12.6 El certificado lo expide la entidad de certificación. No respondemos si esa entidad lo niega, lo demora o lo revoca, salvo que la causa sea un error nuestro en el trámite.</w:t>
      </w:r>
    </w:p>
    <w:p>
      <w:pPr>
        <w:pStyle w:val="BodyText"/>
      </w:pPr>
      <w:r>
        <w:t xml:space="preserve">12.7 El certificado se expide a tu nombre y es tuyo. Nosotros gestionamos la solicitud e instalamos el certificado en la plataforma. Una vez expedido, su custodia y su uso te corresponden, y no respondemos por su pérdida, robo o divulgación, por su uso por personas no autorizadas, por su uso para fines distintos de emitir los documentos electrónicos, ni por las consecuencias tributarias o sancionatorias de ese uso. Si algo compromete la seguridad del certificado, avísanos dentro de las 24 horas siguientes a que lo notes para suspender su uso en la plataforma.</w:t>
      </w:r>
    </w:p>
    <w:bookmarkEnd w:id="929"/>
    <w:bookmarkStart w:id="930" w:name="cambios-técnicos-e-integraciones"/>
    <w:p>
      <w:pPr>
        <w:pStyle w:val="Heading1"/>
      </w:pPr>
      <w:r>
        <w:t xml:space="preserve">13. Cambios técnicos e integraciones</w:t>
      </w:r>
    </w:p>
    <w:p>
      <w:pPr>
        <w:pStyle w:val="FirstParagraph"/>
      </w:pPr>
      <w:r>
        <w:t xml:space="preserve">13.1 Podemos modificar, actualizar y corregir la plataforma para mantener su seguridad, su disponibilidad o su conformidad con la regulación de la DIAN. Te avisamos así: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Tipo de cambio</w:t>
            </w:r>
          </w:p>
        </w:tc>
        <w:tc>
          <w:tcPr/>
          <w:p>
            <w:pPr>
              <w:pStyle w:val="Compact"/>
              <w:jc w:val="left"/>
            </w:pPr>
            <w:r>
              <w:t xml:space="preserve">Aviso</w:t>
            </w:r>
          </w:p>
        </w:tc>
      </w:tr>
      <w:tr>
        <w:tc>
          <w:tcPr/>
          <w:p>
            <w:pPr>
              <w:pStyle w:val="Compact"/>
              <w:jc w:val="left"/>
            </w:pPr>
            <w:r>
              <w:t xml:space="preserve">No altera funcionalidades sustanciales</w:t>
            </w:r>
          </w:p>
        </w:tc>
        <w:tc>
          <w:tcPr/>
          <w:p>
            <w:pPr>
              <w:pStyle w:val="Compact"/>
              <w:jc w:val="left"/>
            </w:pPr>
            <w:r>
              <w:t xml:space="preserve">48 horas antes</w:t>
            </w:r>
          </w:p>
        </w:tc>
      </w:tr>
      <w:tr>
        <w:tc>
          <w:tcPr/>
          <w:p>
            <w:pPr>
              <w:pStyle w:val="Compact"/>
              <w:jc w:val="left"/>
            </w:pPr>
            <w:r>
              <w:t xml:space="preserve">Altera funcionalidades sustanciales o exige ajustar tus integraciones</w:t>
            </w:r>
          </w:p>
        </w:tc>
        <w:tc>
          <w:tcPr/>
          <w:p>
            <w:pPr>
              <w:pStyle w:val="Compact"/>
              <w:jc w:val="left"/>
            </w:pPr>
            <w:r>
              <w:t xml:space="preserve">30 días calendario antes, con la documentación técnica necesaria</w:t>
            </w:r>
          </w:p>
        </w:tc>
      </w:tr>
      <w:tr>
        <w:tc>
          <w:tcPr/>
          <w:p>
            <w:pPr>
              <w:pStyle w:val="Compact"/>
              <w:jc w:val="left"/>
            </w:pPr>
            <w:r>
              <w:t xml:space="preserve">Actualización de seguridad para corregir una vulnerabilidad</w:t>
            </w:r>
          </w:p>
        </w:tc>
        <w:tc>
          <w:tcPr/>
          <w:p>
            <w:pPr>
              <w:pStyle w:val="Compact"/>
              <w:jc w:val="left"/>
            </w:pPr>
            <w:r>
              <w:t xml:space="preserve">Puede aplicarse de inmediato. Te informamos dentro de las 24 horas siguientes</w:t>
            </w:r>
          </w:p>
        </w:tc>
      </w:tr>
    </w:tbl>
    <w:p>
      <w:pPr>
        <w:pStyle w:val="BodyText"/>
      </w:pPr>
      <w:r>
        <w:t xml:space="preserve">13.2 Esta facultad cubre la configuración técnica de la plataforma, no el contenido de este contrato. Si un cambio técnico elimina o reduce una funcionalidad de tu paquete, se rige por la cláusula 25, y puedes terminar sin penalidad y con reembolso proporcional del período no prestado.</w:t>
      </w:r>
    </w:p>
    <w:p>
      <w:pPr>
        <w:pStyle w:val="BodyText"/>
      </w:pPr>
      <w:r>
        <w:t xml:space="preserve">13.3 Si un cambio exige ajustes en tus propios sistemas, hacerlos te corresponde. No hacerlos no es incumplimiento nuestro, siempre que te hayamos avisado con la anticipación y la documentación del numeral 13.1.</w:t>
      </w:r>
    </w:p>
    <w:p>
      <w:pPr>
        <w:pStyle w:val="BodyText"/>
      </w:pPr>
      <w:r>
        <w:t xml:space="preserve">13.4 La documentación técnica que te entregamos describe las funcionalidades disponibles, los métodos de conexión y las condiciones de uso de la interfaz de programación. Esa documentación define el alcance de la integración y hace parte de este contrato.</w:t>
      </w:r>
    </w:p>
    <w:p>
      <w:pPr>
        <w:pStyle w:val="BodyText"/>
      </w:pPr>
      <w:r>
        <w:t xml:space="preserve">13.5 No respondemos por el funcionamiento ni por los resultados de desarrollos o integraciones que tú construyas, directamente o por medio de terceros, por fuera de esa documentación, ni por las fallas que esos desarrollos causen en tu operación. Esta limitación recae sobre lo que tú construyas. Nuestras obligaciones sobre la plataforma se mantienen completas.</w:t>
      </w:r>
    </w:p>
    <w:bookmarkEnd w:id="930"/>
    <w:bookmarkStart w:id="931" w:name="disponibilidad"/>
    <w:p>
      <w:pPr>
        <w:pStyle w:val="Heading1"/>
      </w:pPr>
      <w:r>
        <w:t xml:space="preserve">14. Disponibilidad</w:t>
      </w:r>
    </w:p>
    <w:p>
      <w:pPr>
        <w:pStyle w:val="FirstParagraph"/>
      </w:pPr>
      <w:r>
        <w:t xml:space="preserve">14.1 Nos comprometemos a mantener la plataforma disponible el 99% del horario hábil, que es de lunes a viernes, de 8:00 a.m. a 6:00 p.m., hora de Colombia. En un mes de 210 horas hábiles, eso equivale a un máximo de 2,1 horas de indisponibilidad acumulada dentro de ese horario.</w:t>
      </w:r>
    </w:p>
    <w:p>
      <w:pPr>
        <w:pStyle w:val="BodyText"/>
      </w:pPr>
      <w:r>
        <w:t xml:space="preserve">14.2 Hay indisponibilidad cuando no puedes entrar a la plataforma para emitir, consultar o descargar documentos electrónicos por una causa atribuible a nuestra infraestructura.</w:t>
      </w:r>
    </w:p>
    <w:p>
      <w:pPr>
        <w:pStyle w:val="BodyText"/>
      </w:pPr>
      <w:r>
        <w:t xml:space="preserve">14.3 Los incidentes se clasifican así:</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Prioridad</w:t>
            </w:r>
          </w:p>
        </w:tc>
        <w:tc>
          <w:tcPr/>
          <w:p>
            <w:pPr>
              <w:pStyle w:val="Compact"/>
              <w:jc w:val="left"/>
            </w:pPr>
            <w:r>
              <w:t xml:space="preserve">Qué pasa</w:t>
            </w:r>
          </w:p>
        </w:tc>
        <w:tc>
          <w:tcPr/>
          <w:p>
            <w:pPr>
              <w:pStyle w:val="Compact"/>
              <w:jc w:val="left"/>
            </w:pPr>
            <w:r>
              <w:t xml:space="preserve">Tiempo de respuesta</w:t>
            </w:r>
          </w:p>
        </w:tc>
        <w:tc>
          <w:tcPr/>
          <w:p>
            <w:pPr>
              <w:pStyle w:val="Compact"/>
              <w:jc w:val="left"/>
            </w:pPr>
            <w:r>
              <w:t xml:space="preserve">Tiempo de resolución objetivo</w:t>
            </w:r>
          </w:p>
        </w:tc>
      </w:tr>
      <w:tr>
        <w:tc>
          <w:tcPr/>
          <w:p>
            <w:pPr>
              <w:pStyle w:val="Compact"/>
              <w:jc w:val="left"/>
            </w:pPr>
            <w:r>
              <w:t xml:space="preserve">Crítica (P1)</w:t>
            </w:r>
          </w:p>
        </w:tc>
        <w:tc>
          <w:tcPr/>
          <w:p>
            <w:pPr>
              <w:pStyle w:val="Compact"/>
              <w:jc w:val="left"/>
            </w:pPr>
            <w:r>
              <w:t xml:space="preserve">La plataforma está caída y nadie puede entrar</w:t>
            </w:r>
          </w:p>
        </w:tc>
        <w:tc>
          <w:tcPr/>
          <w:p>
            <w:pPr>
              <w:pStyle w:val="Compact"/>
              <w:jc w:val="left"/>
            </w:pPr>
            <w:r>
              <w:t xml:space="preserve">30 minutos</w:t>
            </w:r>
          </w:p>
        </w:tc>
        <w:tc>
          <w:tcPr/>
          <w:p>
            <w:pPr>
              <w:pStyle w:val="Compact"/>
              <w:jc w:val="left"/>
            </w:pPr>
            <w:r>
              <w:t xml:space="preserve">2 horas hábiles</w:t>
            </w:r>
          </w:p>
        </w:tc>
      </w:tr>
      <w:tr>
        <w:tc>
          <w:tcPr/>
          <w:p>
            <w:pPr>
              <w:pStyle w:val="Compact"/>
              <w:jc w:val="left"/>
            </w:pPr>
            <w:r>
              <w:t xml:space="preserve">Alta (P2)</w:t>
            </w:r>
          </w:p>
        </w:tc>
        <w:tc>
          <w:tcPr/>
          <w:p>
            <w:pPr>
              <w:pStyle w:val="Compact"/>
              <w:jc w:val="left"/>
            </w:pPr>
            <w:r>
              <w:t xml:space="preserve">La emisión o la transmisión están lentas o inestables</w:t>
            </w:r>
          </w:p>
        </w:tc>
        <w:tc>
          <w:tcPr/>
          <w:p>
            <w:pPr>
              <w:pStyle w:val="Compact"/>
              <w:jc w:val="left"/>
            </w:pPr>
            <w:r>
              <w:t xml:space="preserve">2 horas</w:t>
            </w:r>
          </w:p>
        </w:tc>
        <w:tc>
          <w:tcPr/>
          <w:p>
            <w:pPr>
              <w:pStyle w:val="Compact"/>
              <w:jc w:val="left"/>
            </w:pPr>
            <w:r>
              <w:t xml:space="preserve">4 horas hábiles</w:t>
            </w:r>
          </w:p>
        </w:tc>
      </w:tr>
      <w:tr>
        <w:tc>
          <w:tcPr/>
          <w:p>
            <w:pPr>
              <w:pStyle w:val="Compact"/>
              <w:jc w:val="left"/>
            </w:pPr>
            <w:r>
              <w:t xml:space="preserve">Media (P3)</w:t>
            </w:r>
          </w:p>
        </w:tc>
        <w:tc>
          <w:tcPr/>
          <w:p>
            <w:pPr>
              <w:pStyle w:val="Compact"/>
              <w:jc w:val="left"/>
            </w:pPr>
            <w:r>
              <w:t xml:space="preserve">Reportes o consultas no disponibles</w:t>
            </w:r>
          </w:p>
        </w:tc>
        <w:tc>
          <w:tcPr/>
          <w:p>
            <w:pPr>
              <w:pStyle w:val="Compact"/>
              <w:jc w:val="left"/>
            </w:pPr>
            <w:r>
              <w:t xml:space="preserve">4 horas</w:t>
            </w:r>
          </w:p>
        </w:tc>
        <w:tc>
          <w:tcPr/>
          <w:p>
            <w:pPr>
              <w:pStyle w:val="Compact"/>
              <w:jc w:val="left"/>
            </w:pPr>
            <w:r>
              <w:t xml:space="preserve">8 horas hábiles</w:t>
            </w:r>
          </w:p>
        </w:tc>
      </w:tr>
      <w:tr>
        <w:tc>
          <w:tcPr/>
          <w:p>
            <w:pPr>
              <w:pStyle w:val="Compact"/>
              <w:jc w:val="left"/>
            </w:pPr>
            <w:r>
              <w:t xml:space="preserve">Baja (P4)</w:t>
            </w:r>
          </w:p>
        </w:tc>
        <w:tc>
          <w:tcPr/>
          <w:p>
            <w:pPr>
              <w:pStyle w:val="Compact"/>
              <w:jc w:val="left"/>
            </w:pPr>
            <w:r>
              <w:t xml:space="preserve">Dudas, solicitudes de información y mejoras menores</w:t>
            </w:r>
          </w:p>
        </w:tc>
        <w:tc>
          <w:tcPr/>
          <w:p>
            <w:pPr>
              <w:pStyle w:val="Compact"/>
              <w:jc w:val="left"/>
            </w:pPr>
            <w:r>
              <w:t xml:space="preserve">24 horas</w:t>
            </w:r>
          </w:p>
        </w:tc>
        <w:tc>
          <w:tcPr/>
          <w:p>
            <w:pPr>
              <w:pStyle w:val="Compact"/>
              <w:jc w:val="left"/>
            </w:pPr>
            <w:r>
              <w:t xml:space="preserve">2 días hábiles</w:t>
            </w:r>
          </w:p>
        </w:tc>
      </w:tr>
    </w:tbl>
    <w:p>
      <w:pPr>
        <w:pStyle w:val="BodyText"/>
      </w:pPr>
      <w:r>
        <w:t xml:space="preserve">14.4 Los tiempos se cuentan desde que reportas el incidente por los canales de la cláusula 15 y solo corren en horario hábil. Lo que reportes fuera de ese horario, entre las 6:00 p.m. del viernes y las 8:00 a.m. del lunes o en festivos colombianos, lo atendemos el primer día hábil siguiente.</w:t>
      </w:r>
    </w:p>
    <w:p>
      <w:pPr>
        <w:pStyle w:val="BodyText"/>
      </w:pPr>
      <w:r>
        <w:t xml:space="preserve">14.5 No cuentan como indisponibilidad ni como incumplimiento:</w:t>
      </w:r>
    </w:p>
    <w:p>
      <w:pPr>
        <w:pStyle w:val="BodyText"/>
      </w:pPr>
      <w:r>
        <w:t xml:space="preserve">14.5.1 Los sábados, domingos, festivos colombianos y las horas fuera del horario hábil.</w:t>
      </w:r>
    </w:p>
    <w:p>
      <w:pPr>
        <w:pStyle w:val="BodyText"/>
      </w:pPr>
      <w:r>
        <w:t xml:space="preserve">14.5.2 El mantenimiento programado que te avisemos con 48 horas de anticipación, hasta cuatro horas al mes.</w:t>
      </w:r>
    </w:p>
    <w:p>
      <w:pPr>
        <w:pStyle w:val="BodyText"/>
      </w:pPr>
      <w:r>
        <w:t xml:space="preserve">14.5.3 La fuerza mayor o el caso fortuito, en los términos de la cláusula 29.</w:t>
      </w:r>
    </w:p>
    <w:p>
      <w:pPr>
        <w:pStyle w:val="BodyText"/>
      </w:pPr>
      <w:r>
        <w:t xml:space="preserve">14.5.4 Las caídas de servicios de terceros que no controlamos: los sistemas de la DIAN, las entidades de certificación digital, los operadores de telecomunicaciones y tu conexión a internet.</w:t>
      </w:r>
    </w:p>
    <w:p>
      <w:pPr>
        <w:pStyle w:val="BodyText"/>
      </w:pPr>
      <w:r>
        <w:t xml:space="preserve">14.5.5 Los ataques de denegación de servicio contra infraestructura de terceros de la que dependemos.</w:t>
      </w:r>
    </w:p>
    <w:p>
      <w:pPr>
        <w:pStyle w:val="BodyText"/>
      </w:pPr>
      <w:r>
        <w:t xml:space="preserve">14.5.6 El uso de la plataforma en condiciones técnicas distintas de las documentadas, o con integraciones hechas por ti o por terceros a tu encargo.</w:t>
      </w:r>
    </w:p>
    <w:p>
      <w:pPr>
        <w:pStyle w:val="BodyText"/>
      </w:pPr>
      <w:r>
        <w:t xml:space="preserve">14.6 Los registros técnicos de la plataforma son el medio habitual para medir la disponibilidad, y te los entregamos cuando los pidas con ocasión de una reclamación. Esos registros admiten prueba en contrario, y puedes demostrar la indisponibilidad por cualquier medio, como capturas de pantalla, registros de tus sistemas, respuestas de error de la interfaz o conversaciones con soporte.</w:t>
      </w:r>
    </w:p>
    <w:bookmarkEnd w:id="931"/>
    <w:bookmarkStart w:id="932" w:name="soporte"/>
    <w:p>
      <w:pPr>
        <w:pStyle w:val="Heading1"/>
      </w:pPr>
      <w:r>
        <w:t xml:space="preserve">15. Soporte</w:t>
      </w:r>
    </w:p>
    <w:p>
      <w:pPr>
        <w:pStyle w:val="FirstParagraph"/>
      </w:pPr>
      <w:r>
        <w:t xml:space="preserve">15.1 Puedes reportar incidentes y solicitudes a soporte@factus.com.co, por WhatsApp o por teléfono, en horario hábil. Cada reporte recibe un número de radicado con fecha y hora, que te comunicamos para que le hagas seguimiento.</w:t>
      </w:r>
    </w:p>
    <w:p>
      <w:pPr>
        <w:pStyle w:val="BodyText"/>
      </w:pPr>
      <w:r>
        <w:t xml:space="preserve">15.2 En el reporte indica quién eres, qué pasó, a qué hora lo notaste y adjunta la evidencia que tengas. Los tiempos del numeral 14.3 corren desde que recibimos un reporte con esa información. Si falta algo, te lo decimos el mismo día hábil, y los tiempos corren desde que lo completes.</w:t>
      </w:r>
    </w:p>
    <w:p>
      <w:pPr>
        <w:pStyle w:val="BodyText"/>
      </w:pPr>
      <w:r>
        <w:t xml:space="preserve">15.3 Asignamos la prioridad inicial con los criterios de la tabla del numeral 14.3. Si no estás de acuerdo, pide la reclasificación con tus razones y te respondemos por escrito, con las nuestras, dentro del día hábil siguiente. Si seguimos sin coincidir, puedes llevar la diferencia a la reclamación de la cláusula 20 o a los mecanismos de la cláusula 30. La prioridad que asignemos no decide por sí sola si hubo incumplimiento.</w:t>
      </w:r>
    </w:p>
    <w:p>
      <w:pPr>
        <w:pStyle w:val="BodyText"/>
      </w:pPr>
      <w:r>
        <w:t xml:space="preserve">15.4 Si contrataste por medio de un distribuidor, la atención se reparte así: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Tema</w:t>
            </w:r>
          </w:p>
        </w:tc>
        <w:tc>
          <w:tcPr/>
          <w:p>
            <w:pPr>
              <w:pStyle w:val="Compact"/>
              <w:jc w:val="left"/>
            </w:pPr>
            <w:r>
              <w:t xml:space="preserve">A quién acudir</w:t>
            </w:r>
          </w:p>
        </w:tc>
      </w:tr>
      <w:tr>
        <w:tc>
          <w:tcPr/>
          <w:p>
            <w:pPr>
              <w:pStyle w:val="Compact"/>
              <w:jc w:val="left"/>
            </w:pPr>
            <w:r>
              <w:t xml:space="preserve">Comercial: precios, facturación, planes, renovaciones y calidad de la atención</w:t>
            </w:r>
          </w:p>
        </w:tc>
        <w:tc>
          <w:tcPr/>
          <w:p>
            <w:pPr>
              <w:pStyle w:val="Compact"/>
              <w:jc w:val="left"/>
            </w:pPr>
            <w:r>
              <w:t xml:space="preserve">El distribuidor</w:t>
            </w:r>
          </w:p>
        </w:tc>
      </w:tr>
      <w:tr>
        <w:tc>
          <w:tcPr/>
          <w:p>
            <w:pPr>
              <w:pStyle w:val="Compact"/>
              <w:jc w:val="left"/>
            </w:pPr>
            <w:r>
              <w:t xml:space="preserve">Técnico de la plataforma: disponibilidad, errores de transmisión y fallas de acceso</w:t>
            </w:r>
          </w:p>
        </w:tc>
        <w:tc>
          <w:tcPr/>
          <w:p>
            <w:pPr>
              <w:pStyle w:val="Compact"/>
              <w:jc w:val="left"/>
            </w:pPr>
            <w:r>
              <w:t xml:space="preserve">Factus</w:t>
            </w:r>
          </w:p>
        </w:tc>
      </w:tr>
      <w:tr>
        <w:tc>
          <w:tcPr/>
          <w:p>
            <w:pPr>
              <w:pStyle w:val="Compact"/>
              <w:jc w:val="left"/>
            </w:pPr>
            <w:r>
              <w:t xml:space="preserve">Tributario: contenido de los documentos, obligaciones ante la DIAN, cálculos e impuestos</w:t>
            </w:r>
          </w:p>
        </w:tc>
        <w:tc>
          <w:tcPr/>
          <w:p>
            <w:pPr>
              <w:pStyle w:val="Compact"/>
              <w:jc w:val="left"/>
            </w:pPr>
            <w:r>
              <w:t xml:space="preserve">Tu contador o asesor tributario</w:t>
            </w:r>
          </w:p>
        </w:tc>
      </w:tr>
    </w:tbl>
    <w:p>
      <w:pPr>
        <w:pStyle w:val="BodyText"/>
      </w:pPr>
      <w:r>
        <w:rPr>
          <w:b/>
          <w:bCs/>
        </w:rPr>
        <w:t xml:space="preserve">PARÁGRAFO.</w:t>
      </w:r>
      <w:r>
        <w:t xml:space="preserve"> </w:t>
      </w:r>
      <w:r>
        <w:t xml:space="preserve">Esta tabla te indica a quién dirigir cada solicitud y no cambia la responsabilidad que la ley nos impone frente a ti. Respondemos por los temas técnicos de la plataforma y por las obligaciones del numeral 19.1. Si nos envías una solicitud comercial, se la pasamos al distribuidor dentro de los dos días hábiles siguientes y te avisamos.</w:t>
      </w:r>
    </w:p>
    <w:bookmarkEnd w:id="932"/>
    <w:bookmarkStart w:id="933" w:name="tus-compromisos"/>
    <w:p>
      <w:pPr>
        <w:pStyle w:val="Heading1"/>
      </w:pPr>
      <w:r>
        <w:t xml:space="preserve">16. Tus compromisos</w:t>
      </w:r>
    </w:p>
    <w:p>
      <w:pPr>
        <w:pStyle w:val="FirstParagraph"/>
      </w:pPr>
      <w:r>
        <w:t xml:space="preserve">16.1 Te comprometes a:</w:t>
      </w:r>
    </w:p>
    <w:p>
      <w:pPr>
        <w:pStyle w:val="BodyText"/>
      </w:pPr>
      <w:r>
        <w:t xml:space="preserve">16.1.1 Usar la plataforma para generar y transmitir documentos electrónicos de operaciones reales de tu actividad económica.</w:t>
      </w:r>
    </w:p>
    <w:p>
      <w:pPr>
        <w:pStyle w:val="BodyText"/>
      </w:pPr>
      <w:r>
        <w:t xml:space="preserve">16.1.2 Cargar información completa, exacta y actualizada, y revisar los documentos antes de transmitirlos, en los términos de la cláusula 17.</w:t>
      </w:r>
    </w:p>
    <w:p>
      <w:pPr>
        <w:pStyle w:val="BodyText"/>
      </w:pPr>
      <w:r>
        <w:t xml:space="preserve">16.1.3 Cumplir tus obligaciones tributarias formales y sustanciales ante la DIAN, incluidas las declaraciones, los pagos, la solicitud y el cargue de la autorización de numeración y la actualización del RUT.</w:t>
      </w:r>
    </w:p>
    <w:p>
      <w:pPr>
        <w:pStyle w:val="BodyText"/>
      </w:pPr>
      <w:r>
        <w:t xml:space="preserve">16.1.4 Cuidar tus credenciales y avisarnos de cualquier acceso no autorizado dentro de las 24 horas siguientes a que lo notes.</w:t>
      </w:r>
    </w:p>
    <w:p>
      <w:pPr>
        <w:pStyle w:val="BodyText"/>
      </w:pPr>
      <w:r>
        <w:t xml:space="preserve">16.1.5 Mantener actualizados tus datos de contacto y de notificación.</w:t>
      </w:r>
    </w:p>
    <w:p>
      <w:pPr>
        <w:pStyle w:val="BodyText"/>
      </w:pPr>
      <w:r>
        <w:t xml:space="preserve">16.1.6 Pagar el precio pactado, conforme a la cláusula 18.</w:t>
      </w:r>
    </w:p>
    <w:p>
      <w:pPr>
        <w:pStyle w:val="BodyText"/>
      </w:pPr>
      <w:r>
        <w:t xml:space="preserve">16.1.7 Informarnos dentro de los tres días hábiles siguientes cualquier requerimiento de autoridad sobre documentos transmitidos por la plataforma o que pueda afectar la prestación de los servicios.</w:t>
      </w:r>
    </w:p>
    <w:p>
      <w:pPr>
        <w:pStyle w:val="BodyText"/>
      </w:pPr>
      <w:r>
        <w:t xml:space="preserve">16.1.8 Mantenernos indemnes en los términos y con los límites de la cláusula 21.</w:t>
      </w:r>
    </w:p>
    <w:p>
      <w:pPr>
        <w:pStyle w:val="BodyText"/>
      </w:pPr>
      <w:r>
        <w:t xml:space="preserve">16.2 No puedes:</w:t>
      </w:r>
    </w:p>
    <w:p>
      <w:pPr>
        <w:pStyle w:val="BodyText"/>
      </w:pPr>
      <w:r>
        <w:t xml:space="preserve">16.2.1 Entrar o intentar entrar sin autorización a la infraestructura, los servidores, las bases de datos, las aplicaciones o la información de otros usuarios, ni hacer ingeniería inversa, análisis de vulnerabilidades, inyección de código o ataques de denegación de servicio.</w:t>
      </w:r>
    </w:p>
    <w:p>
      <w:pPr>
        <w:pStyle w:val="BodyText"/>
      </w:pPr>
      <w:r>
        <w:t xml:space="preserve">16.2.2 Reproducir, adaptar, traducir, descompilar, crear obras derivadas o distribuir el código fuente, las aplicaciones, las interfaces, las metodologías, las especificaciones técnicas o la documentación de la plataforma.</w:t>
      </w:r>
    </w:p>
    <w:p>
      <w:pPr>
        <w:pStyle w:val="BodyText"/>
      </w:pPr>
      <w:r>
        <w:t xml:space="preserve">16.2.3 Ceder, sublicenciar o arrendar tus credenciales o los servicios, ni permitir su uso a personas distintas de tus dependientes autorizados, salvo que lo autoricemos por escrito.</w:t>
      </w:r>
    </w:p>
    <w:p>
      <w:pPr>
        <w:pStyle w:val="BodyText"/>
      </w:pPr>
      <w:r>
        <w:t xml:space="preserve">16.2.4 Emitir documentos de operaciones inexistentes o simuladas, o con datos que sabes falsos.</w:t>
      </w:r>
    </w:p>
    <w:p>
      <w:pPr>
        <w:pStyle w:val="BodyText"/>
      </w:pPr>
      <w:r>
        <w:t xml:space="preserve">16.2.5 Usar la plataforma para las conductas de los artículos 323, 345, 434A y 434B de la Ley 599 de 2000 o para cualquier otro delito.</w:t>
      </w:r>
    </w:p>
    <w:p>
      <w:pPr>
        <w:pStyle w:val="BodyText"/>
      </w:pPr>
      <w:r>
        <w:t xml:space="preserve">16.2.6 Usar la plataforma para un modelo de negocio o caso de uso distinto del que nos informaste al vincularte, sin avisarnos antes y obtener nuestra aprobación.</w:t>
      </w:r>
    </w:p>
    <w:p>
      <w:pPr>
        <w:pStyle w:val="BodyText"/>
      </w:pPr>
      <w:r>
        <w:rPr>
          <w:b/>
          <w:bCs/>
        </w:rPr>
        <w:t xml:space="preserve">PARÁGRAFO PRIMERO.</w:t>
      </w:r>
      <w:r>
        <w:t xml:space="preserve"> </w:t>
      </w:r>
      <w:r>
        <w:t xml:space="preserve">Si notamos un uso contrario a esta cláusula, te escribimos a tu correo de notificaciones contándote los hechos. Tienes tres días hábiles para suspender la conducta o explicarnos por qué no incurres en ella. Si la conducta sigue y tu explicación no la desvirtúa, podemos terminar el contrato.</w:t>
      </w:r>
    </w:p>
    <w:p>
      <w:pPr>
        <w:pStyle w:val="BodyText"/>
      </w:pPr>
      <w:r>
        <w:rPr>
          <w:b/>
          <w:bCs/>
        </w:rPr>
        <w:t xml:space="preserve">PARÁGRAFO SEGUNDO.</w:t>
      </w:r>
      <w:r>
        <w:t xml:space="preserve"> </w:t>
      </w:r>
      <w:r>
        <w:t xml:space="preserve">Si la conducta puede ser un delito o pone en riesgo inminente la seguridad o la estabilidad de la plataforma, podemos suspender los servicios de inmediato y te enviamos la comunicación con los motivos dentro de las 24 horas siguientes. Tienes 48 horas para controvertir los hechos y aportar pruebas. Si en ese plazo no los desvirtúas, podemos terminar el contrato. Nuestra decisión debe basarse en hechos verificables, y puedes controvertirla por los mecanismos de la cláusula 30.</w:t>
      </w:r>
    </w:p>
    <w:bookmarkEnd w:id="933"/>
    <w:bookmarkStart w:id="934" w:name="el-contenido-de-tus-documentos"/>
    <w:p>
      <w:pPr>
        <w:pStyle w:val="Heading1"/>
      </w:pPr>
      <w:r>
        <w:t xml:space="preserve">17. El contenido de tus documentos</w:t>
      </w:r>
    </w:p>
    <w:p>
      <w:pPr>
        <w:pStyle w:val="FirstParagraph"/>
      </w:pPr>
      <w:r>
        <w:t xml:space="preserve">17.1 Antes de transmitir un documento, verifica por lo menos:</w:t>
      </w:r>
    </w:p>
    <w:p>
      <w:pPr>
        <w:pStyle w:val="BodyText"/>
      </w:pPr>
      <w:r>
        <w:t xml:space="preserve">17.1.1</w:t>
      </w:r>
      <w:r>
        <w:t xml:space="preserve"> </w:t>
      </w:r>
      <w:r>
        <w:rPr>
          <w:b/>
          <w:bCs/>
        </w:rPr>
        <w:t xml:space="preserve">Tus datos:</w:t>
      </w:r>
      <w:r>
        <w:t xml:space="preserve"> </w:t>
      </w:r>
      <w:r>
        <w:t xml:space="preserve">razón social o nombre, NIT o documento y dígito de verificación iguales a los del RUT; dirección fiscal, teléfono y correo registrados; datos y facultades del representante legal.</w:t>
      </w:r>
    </w:p>
    <w:p>
      <w:pPr>
        <w:pStyle w:val="BodyText"/>
      </w:pPr>
      <w:r>
        <w:t xml:space="preserve">17.1.2</w:t>
      </w:r>
      <w:r>
        <w:t xml:space="preserve"> </w:t>
      </w:r>
      <w:r>
        <w:rPr>
          <w:b/>
          <w:bCs/>
        </w:rPr>
        <w:t xml:space="preserve">Los datos de terceros:</w:t>
      </w:r>
      <w:r>
        <w:t xml:space="preserve"> </w:t>
      </w:r>
      <w:r>
        <w:t xml:space="preserve">nombre exacto, NIT o documento válido y dirección del adquirente o del proveedor, y la autorización de los titulares para el tratamiento de sus datos personales o la excepción legal que aplique.</w:t>
      </w:r>
    </w:p>
    <w:p>
      <w:pPr>
        <w:pStyle w:val="BodyText"/>
      </w:pPr>
      <w:r>
        <w:t xml:space="preserve">17.1.3</w:t>
      </w:r>
      <w:r>
        <w:t xml:space="preserve"> </w:t>
      </w:r>
      <w:r>
        <w:rPr>
          <w:b/>
          <w:bCs/>
        </w:rPr>
        <w:t xml:space="preserve">Los valores:</w:t>
      </w:r>
      <w:r>
        <w:t xml:space="preserve"> </w:t>
      </w:r>
      <w:r>
        <w:t xml:space="preserve">bases gravables, impuestos, retenciones y descuentos calculados conforme al Estatuto Tributario y a la reglamentación vigente, sin errores aritméticos ni de clasificación.</w:t>
      </w:r>
    </w:p>
    <w:p>
      <w:pPr>
        <w:pStyle w:val="BodyText"/>
      </w:pPr>
      <w:r>
        <w:t xml:space="preserve">17.1.4</w:t>
      </w:r>
      <w:r>
        <w:t xml:space="preserve"> </w:t>
      </w:r>
      <w:r>
        <w:rPr>
          <w:b/>
          <w:bCs/>
        </w:rPr>
        <w:t xml:space="preserve">Los requisitos formales:</w:t>
      </w:r>
      <w:r>
        <w:t xml:space="preserve"> </w:t>
      </w:r>
      <w:r>
        <w:t xml:space="preserve">numeración dentro del rango autorizado y vigente, sin duplicados, y formato conforme a los estándares técnicos de la DIAN.</w:t>
      </w:r>
    </w:p>
    <w:p>
      <w:pPr>
        <w:pStyle w:val="BodyText"/>
      </w:pPr>
      <w:r>
        <w:t xml:space="preserve">17.2 Garantizas que el contenido de tus documentos es exacto, veraz y conforme con la normativa tributaria, y asumes las consecuencias tributarias, administrativas, civiles y penales de cualquier inexactitud, falsedad o incumplimiento. Esta es la obligación que los artículos 615 y 616-1 del Estatuto Tributario ponen en el obligado a facturar, y no una obligación nuestra que se te traslade.</w:t>
      </w:r>
    </w:p>
    <w:p>
      <w:pPr>
        <w:pStyle w:val="BodyText"/>
      </w:pPr>
      <w:r>
        <w:t xml:space="preserve">17.3 No validamos el contenido antes de transmitirlo, no auditamos su legalidad tributaria, no verificamos las autorizaciones de terceros y no calculamos ni comprobamos valores, impuestos ni retenciones.</w:t>
      </w:r>
    </w:p>
    <w:p>
      <w:pPr>
        <w:pStyle w:val="BodyText"/>
      </w:pPr>
      <w:r>
        <w:t xml:space="preserve">17.4 Si la DIAN rechaza un documento por una causa tuya, la corrección y la nueva transmisión corren por tu cuenta, y no hay devolución del valor del servicio, porque la transmisión que nos correspondía sí se hizo. Si el rechazo se debe a una causa nuestra, la nueva transmisión no tiene costo y conservas las acciones de la cláusula 19.</w:t>
      </w:r>
    </w:p>
    <w:bookmarkEnd w:id="934"/>
    <w:bookmarkStart w:id="935" w:name="precio-y-pagos"/>
    <w:p>
      <w:pPr>
        <w:pStyle w:val="Heading1"/>
      </w:pPr>
      <w:r>
        <w:t xml:space="preserve">18. Precio y pagos</w:t>
      </w:r>
    </w:p>
    <w:p>
      <w:pPr>
        <w:pStyle w:val="FirstParagraph"/>
      </w:pPr>
      <w:r>
        <w:t xml:space="preserve">18.1 Pagas el valor del paquete contratado que aparece en los datos de las partes o en la orden de servicio, cotización o factura que nosotros o el distribuidor te enviamos antes de aceptar. Ese documento hace parte de este contrato.</w:t>
      </w:r>
    </w:p>
    <w:p>
      <w:pPr>
        <w:pStyle w:val="BodyText"/>
      </w:pPr>
      <w:r>
        <w:t xml:space="preserve">18.2 Pagas en la periodicidad y por el medio que indique ese documento. Si no dice nada, el pago es anticipado y mensual.</w:t>
      </w:r>
    </w:p>
    <w:p>
      <w:pPr>
        <w:pStyle w:val="BodyText"/>
      </w:pPr>
      <w:r>
        <w:t xml:space="preserve">18.3 Los valores no incluyen el IVA ni otras cargas legales, que se liquidan y facturan según la normativa vigente.</w:t>
      </w:r>
    </w:p>
    <w:p>
      <w:pPr>
        <w:pStyle w:val="BodyText"/>
      </w:pPr>
      <w:r>
        <w:t xml:space="preserve">18.4 El precio es el del paquete que contrates y no cambia durante todo el período de ese paquete. Publicamos la lista de precios de cada año, y te aplica la vigente en la fecha en que contrates.</w:t>
      </w:r>
    </w:p>
    <w:p>
      <w:pPr>
        <w:pStyle w:val="BodyText"/>
      </w:pPr>
      <w:r>
        <w:t xml:space="preserve">18.5 En cada renovación, el ajuste no supera la variación del Índice de Precios al Consumidor certificada por el DANE para el año calendario anterior, más tres puntos porcentuales. Ese porcentaje es un máximo, no un incremento pactado: podemos aplicar uno menor o no ajustar. Te comunicamos el valor de la renovación 30 días calendario antes de que venza tu período. Si no lo aceptas, puedes terminar conforme al numeral 26.1 antes de que empiece el nuevo período, sin penalidad y sin que se te pueda cobrar el nuevo valor.</w:t>
      </w:r>
    </w:p>
    <w:p>
      <w:pPr>
        <w:pStyle w:val="BodyText"/>
      </w:pPr>
      <w:r>
        <w:t xml:space="preserve">18.6 Cualquier incremento por encima del máximo del numeral 18.5 es un cambio sustancial de este contrato, se rige por la cláusula 25 y no se entiende aceptado por tu silencio.</w:t>
      </w:r>
    </w:p>
    <w:p>
      <w:pPr>
        <w:pStyle w:val="BodyText"/>
      </w:pPr>
      <w:r>
        <w:t xml:space="preserve">18.7 Si te atrasas en el pago, se causan intereses de mora a la tasa máxima permitida por la ley, sin superar el límite legal vigente, desde el día siguiente al vencimiento, conforme al artículo 1608 del Código Civil y al artículo 884 del Código de Comercio.</w:t>
      </w:r>
    </w:p>
    <w:p>
      <w:pPr>
        <w:pStyle w:val="BodyText"/>
      </w:pPr>
      <w:r>
        <w:t xml:space="preserve">18.8 Si contrataste por medio de un distribuidor, el precio, la facturación y el cobro se rigen por tu acuerdo con él, y nosotros no somos acreedores de esa relación. Si el distribuidor nos pide suspenderte por mora, lo hacemos conforme al numeral 26.3, después de avisarte cuál es el período que el distribuidor reporta como adeudado.</w:t>
      </w:r>
    </w:p>
    <w:bookmarkEnd w:id="935"/>
    <w:bookmarkStart w:id="936" w:name="de-qué-respondemos-y-de-qué-no"/>
    <w:p>
      <w:pPr>
        <w:pStyle w:val="Heading1"/>
      </w:pPr>
      <w:r>
        <w:t xml:space="preserve">19. De qué respondemos y de qué no</w:t>
      </w:r>
    </w:p>
    <w:p>
      <w:pPr>
        <w:pStyle w:val="FirstParagraph"/>
      </w:pPr>
      <w:r>
        <w:t xml:space="preserve">19.1 Respondemos por:</w:t>
      </w:r>
    </w:p>
    <w:p>
      <w:pPr>
        <w:pStyle w:val="BodyText"/>
      </w:pPr>
      <w:r>
        <w:t xml:space="preserve">19.1.1 La disponibilidad de la plataforma, conforme a la cláusula 14.</w:t>
      </w:r>
    </w:p>
    <w:p>
      <w:pPr>
        <w:pStyle w:val="BodyText"/>
      </w:pPr>
      <w:r>
        <w:t xml:space="preserve">19.1.2 La integridad y conservación de tus documentos y de los datos que transmites, durante el término del numeral 22.3, frente a pérdida, corrupción o alteración no autorizada que nos sea imputable.</w:t>
      </w:r>
    </w:p>
    <w:p>
      <w:pPr>
        <w:pStyle w:val="BodyText"/>
      </w:pPr>
      <w:r>
        <w:t xml:space="preserve">19.1.3 La transmisión técnica de tus documentos a la DIAN, conforme a los protocolos vigentes y con autenticación mediante certificado digital.</w:t>
      </w:r>
    </w:p>
    <w:p>
      <w:pPr>
        <w:pStyle w:val="BodyText"/>
      </w:pPr>
      <w:r>
        <w:t xml:space="preserve">19.1.4 La generación de comprobantes de transmisión con fecha y hora, identificación de la transacción y estado reportado por la DIAN.</w:t>
      </w:r>
    </w:p>
    <w:p>
      <w:pPr>
        <w:pStyle w:val="BodyText"/>
      </w:pPr>
      <w:r>
        <w:t xml:space="preserve">19.1.5 Mantener las condiciones técnicas de seguridad que exige la DIAN para conservar la habilitación del numeral 6.2.</w:t>
      </w:r>
    </w:p>
    <w:p>
      <w:pPr>
        <w:pStyle w:val="BodyText"/>
      </w:pPr>
      <w:r>
        <w:t xml:space="preserve">19.1.6 Las demás obligaciones que la ley nos asigna como proveedor tecnológico y como encargado del tratamiento de datos personales.</w:t>
      </w:r>
    </w:p>
    <w:p>
      <w:pPr>
        <w:pStyle w:val="BodyText"/>
      </w:pPr>
      <w:r>
        <w:t xml:space="preserve">19.2 Con las salvedades del numeral 19.5, no respondemos por:</w:t>
      </w:r>
    </w:p>
    <w:p>
      <w:pPr>
        <w:pStyle w:val="BodyText"/>
      </w:pPr>
      <w:r>
        <w:t xml:space="preserve">19.2.1 La exactitud, integridad, veracidad, legalidad o corrección tributaria del contenido de tus documentos.</w:t>
      </w:r>
    </w:p>
    <w:p>
      <w:pPr>
        <w:pStyle w:val="BodyText"/>
      </w:pPr>
      <w:r>
        <w:t xml:space="preserve">19.2.2 Las decisiones de la DIAN sobre aceptación, rechazo, devolución o cambio de estado de los documentos.</w:t>
      </w:r>
    </w:p>
    <w:p>
      <w:pPr>
        <w:pStyle w:val="BodyText"/>
      </w:pPr>
      <w:r>
        <w:t xml:space="preserve">19.2.3 El cumplimiento de tus obligaciones tributarias, ni las sanciones, multas, intereses o liquidaciones oficiales que te impongan.</w:t>
      </w:r>
    </w:p>
    <w:p>
      <w:pPr>
        <w:pStyle w:val="BodyText"/>
      </w:pPr>
      <w:r>
        <w:t xml:space="preserve">19.2.4 Los cambios normativos posteriores a tu aceptación que modifiquen formatos, requisitos técnicos o políticas de la DIAN. Adaptaremos la plataforma dentro de los plazos que conceda la norma, y el tiempo de adaptación no es incumplimiento si te lo comunicamos a tiempo.</w:t>
      </w:r>
    </w:p>
    <w:p>
      <w:pPr>
        <w:pStyle w:val="BodyText"/>
      </w:pPr>
      <w:r>
        <w:t xml:space="preserve">19.2.5 Lo que hagan o dejen de hacer terceros: la DIAN, las entidades de certificación digital, los operadores de telecomunicaciones, las entidades financieras y el distribuidor.</w:t>
      </w:r>
    </w:p>
    <w:p>
      <w:pPr>
        <w:pStyle w:val="BodyText"/>
      </w:pPr>
      <w:r>
        <w:t xml:space="preserve">19.2.6 La fuerza mayor o el caso fortuito, en los términos de la cláusula 29.</w:t>
      </w:r>
    </w:p>
    <w:p>
      <w:pPr>
        <w:pStyle w:val="BodyText"/>
      </w:pPr>
      <w:r>
        <w:t xml:space="preserve">19.2.7 El lucro cesante, la pérdida de ingresos, clientes u oportunidades, el daño reputacional y, en general, los perjuicios indirectos o consecuenciales.</w:t>
      </w:r>
    </w:p>
    <w:p>
      <w:pPr>
        <w:pStyle w:val="BodyText"/>
      </w:pPr>
      <w:r>
        <w:t xml:space="preserve">19.2.8 Las reclamaciones de terceros contra ti basadas en el contenido de tus documentos.</w:t>
      </w:r>
    </w:p>
    <w:p>
      <w:pPr>
        <w:pStyle w:val="BodyText"/>
      </w:pPr>
      <w:r>
        <w:t xml:space="preserve">19.3 La plataforma se presta con las funcionalidades que tiene al momento de tu aceptación, descritas en la documentación técnica. Nos obligamos a identificar y corregir defectos en los tiempos del numeral 14.3. Desarrollar mejoras o funcionalidades nuevas es decisión nuestra, no una obligación del contrato. Esto no excluye la garantía legal de idoneidad y calidad del artículo 7 de la Ley 1480 de 2011 si eres consumidor.</w:t>
      </w:r>
    </w:p>
    <w:p>
      <w:pPr>
        <w:pStyle w:val="BodyText"/>
      </w:pPr>
      <w:r>
        <w:t xml:space="preserve">19.4 Si se demuestra un incumplimiento nuestro y el daño directo que causó, la indemnización a nuestro cargo tiene como límite el valor de un mes del servicio que contrataste, y la suma de todas las indemnizaciones de un mismo año de vigencia no puede superar ese monto.</w:t>
      </w:r>
    </w:p>
    <w:p>
      <w:pPr>
        <w:pStyle w:val="BodyText"/>
      </w:pPr>
      <w:r>
        <w:t xml:space="preserve">19.5 El límite del numeral 19.4 y las exclusiones del numeral 19.2 no aplican en estos casos:</w:t>
      </w:r>
    </w:p>
    <w:p>
      <w:pPr>
        <w:pStyle w:val="BodyText"/>
      </w:pPr>
      <w:r>
        <w:t xml:space="preserve">19.5.1 Dolo o culpa grave de nuestra parte. La ley no permite pactar por anticipado el perdón del dolo (artículos 63 y 1522 del Código Civil). Esta regla te aplica por ley si eres consumidor y por el numeral 5.5.2 si no lo eres.</w:t>
      </w:r>
    </w:p>
    <w:p>
      <w:pPr>
        <w:pStyle w:val="BodyText"/>
      </w:pPr>
      <w:r>
        <w:t xml:space="preserve">19.5.2 Si eres consumidor, frente a las obligaciones que la ley nos impone, incluidas las del numeral 19.1.6, la garantía legal y los deberes de información. El artículo 43, numeral 1, de la Ley 1480 de 2011 declara ineficaz la cláusula que limite esa responsabilidad. En ese ámbito respondemos según el régimen legal, sin tope contractual y sin las exclusiones del numeral 19.2.</w:t>
      </w:r>
    </w:p>
    <w:p>
      <w:pPr>
        <w:pStyle w:val="BodyText"/>
      </w:pPr>
      <w:r>
        <w:t xml:space="preserve">19.5.3 La pérdida o alteración de tus documentos por causa nuestra cuando no haya copia recuperable. En ese caso respondemos por el daño directo demostrado sin el tope del numeral 19.4.</w:t>
      </w:r>
    </w:p>
    <w:p>
      <w:pPr>
        <w:pStyle w:val="BodyText"/>
      </w:pPr>
      <w:r>
        <w:t xml:space="preserve">19.6 El límite del numeral 19.4 aplica si no eres consumidor. Si eres consumidor, aplica solo a las obligaciones que asumimos por contrato y que la ley no nos impone.</w:t>
      </w:r>
    </w:p>
    <w:p>
      <w:pPr>
        <w:pStyle w:val="BodyText"/>
      </w:pPr>
      <w:r>
        <w:t xml:space="preserve">19.7 Las cláusulas 9, 12, 17 y 21 reflejan las obligaciones que la ley tributaria pone en el obligado a facturar y las de custodia que tiene el titular de las credenciales. Ninguna te traslada a ti ni a un tercero una responsabilidad nuestra, ni te atribuye consecuencias de hechos ajenos a tu conducta.</w:t>
      </w:r>
    </w:p>
    <w:bookmarkEnd w:id="936"/>
    <w:bookmarkStart w:id="937" w:name="reclamaciones-por-disponibilidad"/>
    <w:p>
      <w:pPr>
        <w:pStyle w:val="Heading1"/>
      </w:pPr>
      <w:r>
        <w:t xml:space="preserve">20. Reclamaciones por disponibilidad</w:t>
      </w:r>
    </w:p>
    <w:p>
      <w:pPr>
        <w:pStyle w:val="FirstParagraph"/>
      </w:pPr>
      <w:r>
        <w:t xml:space="preserve">20.1 Si no cumplimos la disponibilidad, puedes reclamar dentro de los 30 días calendario siguientes al cierre del mes en que ocurrió, escribiendo a nuestro correo de notificaciones con las fechas, las horas y la evidencia del incidente.</w:t>
      </w:r>
    </w:p>
    <w:p>
      <w:pPr>
        <w:pStyle w:val="BodyText"/>
      </w:pPr>
      <w:r>
        <w:t xml:space="preserve">20.2 Te respondemos por escrito y con motivos dentro de los diez días hábiles siguientes, comparando tu reclamación con los registros técnicos de la plataforma, que te entregamos junto con la respuesta. Esos registros son un medio de prueba y admiten prueba en contrario. Nuestra respuesta no cierra la discusión: si no estás de acuerdo, puedes acudir a los mecanismos de la cláusula 30 y, si eres consumidor, a la acción de protección al consumidor ante la Superintendencia de Industria y Comercio.</w:t>
      </w:r>
    </w:p>
    <w:p>
      <w:pPr>
        <w:pStyle w:val="BodyText"/>
      </w:pPr>
      <w:r>
        <w:t xml:space="preserve">20.3 Si se demuestra una disponibilidad inferior a la del numeral 14.1, te descontamos del valor del mes siguiente: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Disponibilidad real en el mes</w:t>
            </w:r>
          </w:p>
        </w:tc>
        <w:tc>
          <w:tcPr/>
          <w:p>
            <w:pPr>
              <w:pStyle w:val="Compact"/>
              <w:jc w:val="left"/>
            </w:pPr>
            <w:r>
              <w:t xml:space="preserve">Descuento sobre el valor mensual</w:t>
            </w:r>
          </w:p>
        </w:tc>
      </w:tr>
      <w:tr>
        <w:tc>
          <w:tcPr/>
          <w:p>
            <w:pPr>
              <w:pStyle w:val="Compact"/>
              <w:jc w:val="left"/>
            </w:pPr>
            <w:r>
              <w:t xml:space="preserve">99% o más</w:t>
            </w:r>
          </w:p>
        </w:tc>
        <w:tc>
          <w:tcPr/>
          <w:p>
            <w:pPr>
              <w:pStyle w:val="Compact"/>
              <w:jc w:val="left"/>
            </w:pPr>
            <w:r>
              <w:t xml:space="preserve">Sin descuento</w:t>
            </w:r>
          </w:p>
        </w:tc>
      </w:tr>
      <w:tr>
        <w:tc>
          <w:tcPr/>
          <w:p>
            <w:pPr>
              <w:pStyle w:val="Compact"/>
              <w:jc w:val="left"/>
            </w:pPr>
            <w:r>
              <w:t xml:space="preserve">Entre 97% y 98,99%</w:t>
            </w:r>
          </w:p>
        </w:tc>
        <w:tc>
          <w:tcPr/>
          <w:p>
            <w:pPr>
              <w:pStyle w:val="Compact"/>
              <w:jc w:val="left"/>
            </w:pPr>
            <w:r>
              <w:t xml:space="preserve">10%</w:t>
            </w:r>
          </w:p>
        </w:tc>
      </w:tr>
      <w:tr>
        <w:tc>
          <w:tcPr/>
          <w:p>
            <w:pPr>
              <w:pStyle w:val="Compact"/>
              <w:jc w:val="left"/>
            </w:pPr>
            <w:r>
              <w:t xml:space="preserve">Entre 95% y 96,99%</w:t>
            </w:r>
          </w:p>
        </w:tc>
        <w:tc>
          <w:tcPr/>
          <w:p>
            <w:pPr>
              <w:pStyle w:val="Compact"/>
              <w:jc w:val="left"/>
            </w:pPr>
            <w:r>
              <w:t xml:space="preserve">20%</w:t>
            </w:r>
          </w:p>
        </w:tc>
      </w:tr>
      <w:tr>
        <w:tc>
          <w:tcPr/>
          <w:p>
            <w:pPr>
              <w:pStyle w:val="Compact"/>
              <w:jc w:val="left"/>
            </w:pPr>
            <w:r>
              <w:t xml:space="preserve">Menos de 95%</w:t>
            </w:r>
          </w:p>
        </w:tc>
        <w:tc>
          <w:tcPr/>
          <w:p>
            <w:pPr>
              <w:pStyle w:val="Compact"/>
              <w:jc w:val="left"/>
            </w:pPr>
            <w:r>
              <w:t xml:space="preserve">30%</w:t>
            </w:r>
          </w:p>
        </w:tc>
      </w:tr>
    </w:tbl>
    <w:p>
      <w:pPr>
        <w:pStyle w:val="BodyText"/>
      </w:pPr>
      <w:r>
        <w:t xml:space="preserve">20.4 Si el contrato termina antes de que podamos aplicar el descuento, te lo pagamos en dinero dentro de los 15 días calendario siguientes a la terminación.</w:t>
      </w:r>
    </w:p>
    <w:p>
      <w:pPr>
        <w:pStyle w:val="BodyText"/>
      </w:pPr>
      <w:r>
        <w:rPr>
          <w:b/>
          <w:bCs/>
        </w:rPr>
        <w:t xml:space="preserve">PARÁGRAFO.</w:t>
      </w:r>
      <w:r>
        <w:t xml:space="preserve"> </w:t>
      </w:r>
      <w:r>
        <w:t xml:space="preserve">El descuento es la compensación pactada por incumplir la disponibilidad y se abona a la indemnización del numeral 19.4. No reemplaza ni excluye las acciones legales que tengas por el daño que supere el descuento, ni tu derecho a terminar conforme al numeral 26.4.</w:t>
      </w:r>
    </w:p>
    <w:bookmarkEnd w:id="937"/>
    <w:bookmarkStart w:id="938" w:name="indemnidad"/>
    <w:p>
      <w:pPr>
        <w:pStyle w:val="Heading1"/>
      </w:pPr>
      <w:r>
        <w:t xml:space="preserve">21. Indemnidad</w:t>
      </w:r>
    </w:p>
    <w:p>
      <w:pPr>
        <w:pStyle w:val="FirstParagraph"/>
      </w:pPr>
      <w:r>
        <w:t xml:space="preserve">21.1 Nos mantendrás indemnes, junto con nuestros socios, administradores, empleados y contratistas, frente a reclamaciones, demandas, investigaciones, requerimientos, sanciones, multas o condenas de terceros o de autoridades administrativas o judiciales, incluidas la DIAN y la Superintendencia de Industria y Comercio, cuando la causa sea un hecho tuyo:</w:t>
      </w:r>
    </w:p>
    <w:p>
      <w:pPr>
        <w:pStyle w:val="BodyText"/>
      </w:pPr>
      <w:r>
        <w:t xml:space="preserve">21.1.1 El contenido de los documentos que generaste o transmitiste por la plataforma.</w:t>
      </w:r>
    </w:p>
    <w:p>
      <w:pPr>
        <w:pStyle w:val="BodyText"/>
      </w:pPr>
      <w:r>
        <w:t xml:space="preserve">21.1.2 El incumplimiento de tus obligaciones tributarias o la inexactitud de la información que nos diste.</w:t>
      </w:r>
    </w:p>
    <w:p>
      <w:pPr>
        <w:pStyle w:val="BodyText"/>
      </w:pPr>
      <w:r>
        <w:t xml:space="preserve">21.1.3 La inclusión de datos personales de terceros sin autorización o sin una excepción legal, o el incumplimiento de tus deberes como responsable del tratamiento.</w:t>
      </w:r>
    </w:p>
    <w:p>
      <w:pPr>
        <w:pStyle w:val="BodyText"/>
      </w:pPr>
      <w:r>
        <w:t xml:space="preserve">21.1.4 El uso de la plataforma contrario a la cláusula 16, o por alguien que entró con tus credenciales por una causa atribuible a ti.</w:t>
      </w:r>
    </w:p>
    <w:p>
      <w:pPr>
        <w:pStyle w:val="BodyText"/>
      </w:pPr>
      <w:r>
        <w:t xml:space="preserve">21.1.5 La falsedad de alguna de tus declaraciones de la cláusula 7.</w:t>
      </w:r>
    </w:p>
    <w:p>
      <w:pPr>
        <w:pStyle w:val="BodyText"/>
      </w:pPr>
      <w:r>
        <w:t xml:space="preserve">21.2 La indemnidad no cubre, y no asumes, las consecuencias de hechos nuestros, las obligaciones que la ley nos asigna ni las sanciones que nos impongan por nuestra propia conducta. Si la causa es compartida, la indemnidad se reduce en la proporción que corresponda a nuestra conducta.</w:t>
      </w:r>
    </w:p>
    <w:p>
      <w:pPr>
        <w:pStyle w:val="BodyText"/>
      </w:pPr>
      <w:r>
        <w:t xml:space="preserve">21.3 La indemnidad cubre el valor de la condena, sanción o multa, los intereses, las costas y los costos razonables de defensa, incluidos honorarios de abogados, peritos y auxiliares, desde que se notifica el reclamo hasta que termina.</w:t>
      </w:r>
    </w:p>
    <w:p>
      <w:pPr>
        <w:pStyle w:val="BodyText"/>
      </w:pPr>
      <w:r>
        <w:t xml:space="preserve">21.4 Te informaremos el reclamo dentro de los diez días hábiles siguientes a que nos lo notifiquen y te dejaremos participar en la defensa. Si no te informamos a tiempo, la indemnidad se reduce en la medida del perjuicio que esa demora te haya causado.</w:t>
      </w:r>
    </w:p>
    <w:p>
      <w:pPr>
        <w:pStyle w:val="BodyText"/>
      </w:pPr>
      <w:r>
        <w:t xml:space="preserve">21.5 Nosotros te mantendremos indemne frente a reclamaciones de terceros que aleguen que la plataforma infringe sus derechos de propiedad intelectual, incluidos los costos razonables de defensa, siempre que hayas usado la plataforma conforme a este contrato y nos notifiques el reclamo dentro de los diez días hábiles siguientes a que te lo notifiquen.</w:t>
      </w:r>
    </w:p>
    <w:bookmarkEnd w:id="938"/>
    <w:bookmarkStart w:id="939" w:name="datos-personales"/>
    <w:p>
      <w:pPr>
        <w:pStyle w:val="Heading1"/>
      </w:pPr>
      <w:r>
        <w:t xml:space="preserve">22. Datos personales</w:t>
      </w:r>
    </w:p>
    <w:p>
      <w:pPr>
        <w:pStyle w:val="FirstParagraph"/>
      </w:pPr>
      <w:r>
        <w:t xml:space="preserve">22.1 Tratamos tu información tributaria (NIT, razón social, dirección fiscal), tus datos de contacto y los datos personales de terceros que incluyes en los documentos electrónicos.</w:t>
      </w:r>
    </w:p>
    <w:p>
      <w:pPr>
        <w:pStyle w:val="BodyText"/>
      </w:pPr>
      <w:r>
        <w:t xml:space="preserve">22.2 El tratamiento se rige por la Ley 1581 de 2012, el Decreto 1377 de 2013 y las normas que los modifiquen o sustituyan, bajo la vigilancia de la Superintendencia de Industria y Comercio. Tratamos los datos solo para generar y transmitir los documentos electrónicos ante la DIAN, operar, dar soporte y proteger la plataforma, facturar y cobrar, y cumplir obligaciones legales y requerimientos de autoridad.</w:t>
      </w:r>
    </w:p>
    <w:p>
      <w:pPr>
        <w:pStyle w:val="BodyText"/>
      </w:pPr>
      <w:r>
        <w:t xml:space="preserve">22.3 Conservamos los documentos electrónicos y sus datos durante cinco años, en atención al deber de conservación del artículo 632 del Estatuto Tributario y a la reglamentación de la DIAN. Después los suprimimos con un procedimiento seguro. La terminación del contrato no interrumpe ese plazo.</w:t>
      </w:r>
    </w:p>
    <w:p>
      <w:pPr>
        <w:pStyle w:val="BodyText"/>
      </w:pPr>
      <w:r>
        <w:t xml:space="preserve">22.4 Tú eres responsable del tratamiento de los datos personales que incluyes en los documentos electrónicos, y nosotros somos encargados de esos datos. Somos responsables de tus datos de contacto y de la información que recogemos directamente para nuestra relación contigo. Esta distribución es la que establece la Ley 1581 de 2012 según quién decide sobre el tratamiento, y las partes no pueden cambiarla para evitar sus deberes.</w:t>
      </w:r>
    </w:p>
    <w:p>
      <w:pPr>
        <w:pStyle w:val="BodyText"/>
      </w:pPr>
      <w:r>
        <w:t xml:space="preserve">22.5 Como responsable, te comprometes a obtener de los titulares la autorización previa, expresa e informada para el tratamiento y para transmitirnos sus datos, a conservar la evidencia de esas autorizaciones y mostrarla cuando nosotros o una autoridad la pidamos, y a atender las consultas y reclamos que te hagan los titulares.</w:t>
      </w:r>
    </w:p>
    <w:p>
      <w:pPr>
        <w:pStyle w:val="BodyText"/>
      </w:pPr>
      <w:r>
        <w:t xml:space="preserve">22.6 Los titulares ejercen sus derechos de conocimiento, acceso, actualización, rectificación y supresión ante ti. Si nos llega una solicitud, te la pasamos dentro de los dos días hábiles siguientes, y tú la atiendes en los plazos legales.</w:t>
      </w:r>
    </w:p>
    <w:p>
      <w:pPr>
        <w:pStyle w:val="BodyText"/>
      </w:pPr>
      <w:r>
        <w:rPr>
          <w:b/>
          <w:bCs/>
        </w:rPr>
        <w:t xml:space="preserve">PARÁGRAFO.</w:t>
      </w:r>
      <w:r>
        <w:t xml:space="preserve"> </w:t>
      </w:r>
      <w:r>
        <w:t xml:space="preserve">Los datos contenidos en documentos ya transmitidos no se pueden suprimir mientras exista el deber legal de conservarlos, conforme al artículo 9 del Decreto 1377 de 2013.</w:t>
      </w:r>
    </w:p>
    <w:p>
      <w:pPr>
        <w:pStyle w:val="BodyText"/>
      </w:pPr>
      <w:r>
        <w:t xml:space="preserve">22.7 Tenemos medidas técnicas, humanas y administrativas para proteger la información contra pérdida, consulta, uso o acceso no autorizado. Si ocurre un incidente de seguridad que afecte datos personales, te lo informaremos a ti y a la Superintendencia de Industria y Comercio en los plazos legales.</w:t>
      </w:r>
    </w:p>
    <w:p>
      <w:pPr>
        <w:pStyle w:val="BodyText"/>
      </w:pPr>
      <w:r>
        <w:t xml:space="preserve">22.8 Aceptas que contratemos terceros para alojar y procesar la información, en Colombia o en el exterior, con obligaciones de confidencialidad y seguridad equivalentes a las de esta cláusula. Respondemos por lo que esos terceros hagan con el tratamiento que les encargamos.</w:t>
      </w:r>
    </w:p>
    <w:bookmarkEnd w:id="939"/>
    <w:bookmarkStart w:id="940" w:name="confidencialidad-y-propiedad-intelectual"/>
    <w:p>
      <w:pPr>
        <w:pStyle w:val="Heading1"/>
      </w:pPr>
      <w:r>
        <w:t xml:space="preserve">23. Confidencialidad y propiedad intelectual</w:t>
      </w:r>
    </w:p>
    <w:p>
      <w:pPr>
        <w:pStyle w:val="FirstParagraph"/>
      </w:pPr>
      <w:r>
        <w:t xml:space="preserve">23.1 Es confidencial la información que las partes se entreguen o conozcan por este contrato, incluidos los términos económicos, el contenido de tus documentos y la información técnica de la plataforma.</w:t>
      </w:r>
    </w:p>
    <w:p>
      <w:pPr>
        <w:pStyle w:val="BodyText"/>
      </w:pPr>
      <w:r>
        <w:t xml:space="preserve">23.2 No divulgaremos tu información confidencial a terceros, no la venderemos y no la usaremos para nada distinto de prestarte los servicios. Dentro de Factus, solo accede a ella el personal que la necesita para operar y dar soporte a la plataforma.</w:t>
      </w:r>
    </w:p>
    <w:p>
      <w:pPr>
        <w:pStyle w:val="BodyText"/>
      </w:pPr>
      <w:r>
        <w:t xml:space="preserve">23.3 El deber de reserva no aplica a la información que ya sea pública sin culpa de quien la recibió, ni cuando haya que revelarla por orden de autoridad judicial o administrativa, por requerimiento de la DIAN o para proteger la seguridad de la plataforma. En esos casos, la parte requerida le avisa a la otra, salvo que la ley lo prohíba.</w:t>
      </w:r>
    </w:p>
    <w:p>
      <w:pPr>
        <w:pStyle w:val="BodyText"/>
      </w:pPr>
      <w:r>
        <w:t xml:space="preserve">23.4 La confidencialidad dura hasta dos años después de terminado el contrato, sin perjuicio de plazos mayores que la ley imponga para información con reserva legal.</w:t>
      </w:r>
    </w:p>
    <w:p>
      <w:pPr>
        <w:pStyle w:val="BodyText"/>
      </w:pPr>
      <w:r>
        <w:t xml:space="preserve">23.5 La plataforma, su código fuente, sus interfaces, su arquitectura, sus bases de datos, su documentación, las marcas y los signos distintivos de Factus son y seguirán siendo nuestros. Te damos una licencia de uso no exclusiva, intransferible y limitada a la vigencia del contrato, solo para los fines de la cláusula 8. La licencia termina con el contrato o por las causales de suspensión y terminación de la cláusula 26, y no por decisión discrecional nuestra.</w:t>
      </w:r>
    </w:p>
    <w:p>
      <w:pPr>
        <w:pStyle w:val="BodyText"/>
      </w:pPr>
      <w:r>
        <w:t xml:space="preserve">23.6 Los datos y documentos que cargas son tuyos. La licencia que nos das sobre ellos se limita a lo necesario para prestarte los servicios y cumplir las obligaciones legales de conservación.</w:t>
      </w:r>
    </w:p>
    <w:bookmarkEnd w:id="940"/>
    <w:bookmarkStart w:id="941" w:name="derecho-de-retracto"/>
    <w:p>
      <w:pPr>
        <w:pStyle w:val="Heading1"/>
      </w:pPr>
      <w:r>
        <w:t xml:space="preserve">24. Derecho de retracto</w:t>
      </w:r>
    </w:p>
    <w:p>
      <w:pPr>
        <w:pStyle w:val="FirstParagraph"/>
      </w:pPr>
      <w:r>
        <w:t xml:space="preserve">24.1 Puedes retractarte dentro de los cinco días hábiles siguientes a la aceptación, conforme al artículo 47 de la Ley 1480 de 2011. Como se trata de un servicio, el plazo se cuenta desde que se celebra el contrato.</w:t>
      </w:r>
    </w:p>
    <w:p>
      <w:pPr>
        <w:pStyle w:val="BodyText"/>
      </w:pPr>
      <w:r>
        <w:t xml:space="preserve">24.2 El retracto no procede si la prestación ya empezó con tu acuerdo, que es la excepción del numeral 1 del artículo 47 de la Ley 1480 de 2011. La prestación empieza cuando emites y transmites a la DIAN al menos un documento en el ambiente de producción. Entrar a la plataforma, configurar la cuenta y operar en el ambiente de pruebas no cuentan como inicio y no te quitan el derecho.</w:t>
      </w:r>
    </w:p>
    <w:p>
      <w:pPr>
        <w:pStyle w:val="BodyText"/>
      </w:pPr>
      <w:r>
        <w:t xml:space="preserve">24.3 Antes de tu primera emisión en producción, la plataforma te advierte en pantalla que esa emisión da inicio a la prestación y termina tu derecho de retracto.</w:t>
      </w:r>
    </w:p>
    <w:p>
      <w:pPr>
        <w:pStyle w:val="BodyText"/>
      </w:pPr>
      <w:r>
        <w:t xml:space="preserve">24.4 Para retractarte:</w:t>
      </w:r>
    </w:p>
    <w:p>
      <w:pPr>
        <w:pStyle w:val="BodyText"/>
      </w:pPr>
      <w:r>
        <w:t xml:space="preserve">24.4.1 Escríbenos a nuestro correo de notificaciones o radica la solicitud desde tu cuenta, indicando que te retractas, tu nombre o razón social, tu NIT y el medio de pago al que quieres que te devolvamos el dinero.</w:t>
      </w:r>
    </w:p>
    <w:p>
      <w:pPr>
        <w:pStyle w:val="BodyText"/>
      </w:pPr>
      <w:r>
        <w:t xml:space="preserve">24.4.2 Te confirmamos que la recibimos dentro del día hábil siguiente y te explicamos las opciones de devolución que tienes.</w:t>
      </w:r>
    </w:p>
    <w:p>
      <w:pPr>
        <w:pStyle w:val="BodyText"/>
      </w:pPr>
      <w:r>
        <w:t xml:space="preserve">24.4.3 Te devolvemos lo pagado dentro de los 15 días calendario siguientes al retracto, contados desde que nos des los datos completos y correctos para la devolución. La devolución se hace al mismo medio de pago que usaste o al que prefieras.</w:t>
      </w:r>
    </w:p>
    <w:p>
      <w:pPr>
        <w:pStyle w:val="BodyText"/>
      </w:pPr>
      <w:r>
        <w:t xml:space="preserve">24.4.4 La devolución es total. No hacemos descuentos ni retenciones de ningún tipo.</w:t>
      </w:r>
    </w:p>
    <w:p>
      <w:pPr>
        <w:pStyle w:val="BodyText"/>
      </w:pPr>
      <w:r>
        <w:t xml:space="preserve">24.5 El plazo de 15 días calendario corresponde al inciso final del artículo 47 de la Ley 1480 de 2011, modificado por el artículo 3 de la Ley 2439 de 2024, y se aplica a todas las modalidades de contratación de ese artículo conforme a la Sentencia C-192 de 2026 de la Corte Constitucional. Todos los que intervienen en la devolución, incluida la entidad financiera, deben cumplir ese plazo.</w:t>
      </w:r>
    </w:p>
    <w:p>
      <w:pPr>
        <w:pStyle w:val="BodyText"/>
      </w:pPr>
      <w:r>
        <w:rPr>
          <w:b/>
          <w:bCs/>
        </w:rPr>
        <w:t xml:space="preserve">PARÁGRAFO PRIMERO.</w:t>
      </w:r>
      <w:r>
        <w:t xml:space="preserve"> </w:t>
      </w:r>
      <w:r>
        <w:t xml:space="preserve">El retracto es un derecho del consumidor en los términos del artículo 5, numeral 3, de la Ley 1480 de 2011. Si no eres consumidor, te lo extendemos por contrato en las mismas condiciones, conforme al numeral 5.5.1.</w:t>
      </w:r>
    </w:p>
    <w:p>
      <w:pPr>
        <w:pStyle w:val="BodyText"/>
      </w:pPr>
      <w:r>
        <w:rPr>
          <w:b/>
          <w:bCs/>
        </w:rPr>
        <w:t xml:space="preserve">PARÁGRAFO SEGUNDO.</w:t>
      </w:r>
      <w:r>
        <w:t xml:space="preserve"> </w:t>
      </w:r>
      <w:r>
        <w:t xml:space="preserve">Si contrataste por medio de un distribuidor, puedes retractarte ante él o ante nosotros. Si nos lo pides a nosotros, le pasamos la solicitud al distribuidor dentro del día hábil siguiente y desactivamos tu acceso. La devolución la hace quien recibió el pago, dentro del plazo del numeral 24.4.3.</w:t>
      </w:r>
    </w:p>
    <w:bookmarkEnd w:id="941"/>
    <w:bookmarkStart w:id="942" w:name="cambios-a-estos-términos"/>
    <w:p>
      <w:pPr>
        <w:pStyle w:val="Heading1"/>
      </w:pPr>
      <w:r>
        <w:t xml:space="preserve">25. Cambios a estos términos</w:t>
      </w:r>
    </w:p>
    <w:p>
      <w:pPr>
        <w:pStyle w:val="FirstParagraph"/>
      </w:pPr>
      <w:r>
        <w:t xml:space="preserve">25.1 No podemos cambiar este contrato por nuestra cuenta ni dejar de cumplir nuestras obligaciones (artículo 38 de la Ley 1480 de 2011). Esta cláusula explica cómo te proponemos una nueva versión y cómo decides si sigues con ella o terminas sin penalidad.</w:t>
      </w:r>
    </w:p>
    <w:p>
      <w:pPr>
        <w:pStyle w:val="BodyText"/>
      </w:pPr>
      <w:r>
        <w:t xml:space="preserve">25.2 Podemos proponerte cambios para adaptar el contrato a cambios normativos, a exigencias técnicas de la DIAN o a cambios en la operación de la plataforma.</w:t>
      </w:r>
    </w:p>
    <w:p>
      <w:pPr>
        <w:pStyle w:val="BodyText"/>
      </w:pPr>
      <w:r>
        <w:t xml:space="preserve">25.3 Te enviamos cada cambio a tu correo de notificaciones 30 días calendario antes de la fecha propuesta para que empiece a regir. La comunicación dice qué cláusulas cambian, transcribe la redacción anterior y la nueva, explica qué efecto práctico tiene el cambio y te recuerda que puedes no aceptarlo y terminar sin penalidad. Publicar el cambio en la plataforma no reemplaza esta comunicación.</w:t>
      </w:r>
    </w:p>
    <w:p>
      <w:pPr>
        <w:pStyle w:val="BodyText"/>
      </w:pPr>
      <w:r>
        <w:t xml:space="preserve">25.4 Necesitan tu aceptación expresa los cambios que suban el precio por encima del máximo del numeral 18.5, te impongan nuevas obligaciones o costos, reduzcan los servicios o los niveles de servicio, o modifiquen el régimen de responsabilidad o el de terminación. Tu silencio no es aceptación de ninguno de ellos. Si no los aceptas expresamente, el contrato sigue rigiendo en su versión vigente hasta el final del período en curso y termina a su vencimiento, sin penalidad ni indemnización para ninguna de las partes.</w:t>
      </w:r>
    </w:p>
    <w:p>
      <w:pPr>
        <w:pStyle w:val="BodyText"/>
      </w:pPr>
      <w:r>
        <w:t xml:space="preserve">25.5 Los demás cambios, como actualizar canales de contacto, direcciones o nombres técnicos, o corregir errores materiales, rigen desde la fecha indicada en la comunicación. Si no los aceptas, puedes terminar sin penalidad.</w:t>
      </w:r>
    </w:p>
    <w:p>
      <w:pPr>
        <w:pStyle w:val="BodyText"/>
      </w:pPr>
      <w:r>
        <w:t xml:space="preserve">25.6 Si una norma cambia de forma obligatoria el contenido de los servicios o los requisitos técnicos, el cambio rige desde que la norma entra en vigor. Te lo comunicamos tan pronto como podamos, indicando la norma que lo impone, y no lo presentamos como una decisión nuestra.</w:t>
      </w:r>
    </w:p>
    <w:p>
      <w:pPr>
        <w:pStyle w:val="BodyText"/>
      </w:pPr>
      <w:r>
        <w:t xml:space="preserve">25.7 Si no aceptas un cambio, puedes terminar el contrato en cualquier momento antes de que empiece a regir, sin preaviso, sin penalidad y con reembolso proporcional de lo pagado por el período no prestado. El reembolso se paga dentro de los 15 días calendario siguientes a la terminación.</w:t>
      </w:r>
    </w:p>
    <w:p>
      <w:pPr>
        <w:pStyle w:val="BodyText"/>
      </w:pPr>
      <w:r>
        <w:t xml:space="preserve">25.8 Guardamos y mantenemos accesible en la plataforma cada versión de estos términos, con su fecha de vigencia, durante los cinco años del numeral 22.3. Puedes consultar en cualquier momento la versión que aceptaste.</w:t>
      </w:r>
    </w:p>
    <w:bookmarkEnd w:id="942"/>
    <w:bookmarkStart w:id="943" w:name="Xda907620417b30256ccf33c6da9a2c1ad130c4f"/>
    <w:p>
      <w:pPr>
        <w:pStyle w:val="Heading1"/>
      </w:pPr>
      <w:r>
        <w:t xml:space="preserve">26. Duración, renovación, suspensión y terminación</w:t>
      </w:r>
    </w:p>
    <w:p>
      <w:pPr>
        <w:pStyle w:val="FirstParagraph"/>
      </w:pPr>
      <w:r>
        <w:t xml:space="preserve">26.1 Puedes terminar el contrato cuando quieras, sin dar razones, sin penalidad y sin sanción por terminación anticipada. Hazlo por el mismo medio por el que aceptaste, desde tu cuenta en la plataforma o por correo a nuestro correo de notificaciones. No te pedimos requisitos ni trámites mayores que los que te pedimos para vincularte, y te confirmamos que recibimos tu solicitud dentro del día hábil siguiente.</w:t>
      </w:r>
    </w:p>
    <w:p>
      <w:pPr>
        <w:pStyle w:val="BodyText"/>
      </w:pPr>
      <w:r>
        <w:t xml:space="preserve">26.1.1 Desactivamos el acceso en la fecha que indiques o, si no indicas ninguna, dentro de los tres días hábiles siguientes.</w:t>
      </w:r>
    </w:p>
    <w:p>
      <w:pPr>
        <w:pStyle w:val="BodyText"/>
      </w:pPr>
      <w:r>
        <w:t xml:space="preserve">26.1.2 Te devolvemos la parte proporcional de lo pagado por el período no prestado a la fecha de desactivación, dentro de los 15 días calendario siguientes. Lo que ya se prestó no se devuelve.</w:t>
      </w:r>
    </w:p>
    <w:p>
      <w:pPr>
        <w:pStyle w:val="BodyText"/>
      </w:pPr>
      <w:r>
        <w:t xml:space="preserve">26.2 El contrato dura el período contratado que aparece en los datos de las partes y se renueva automáticamente por períodos iguales, salvo que alguna de las partes diga lo contrario.</w:t>
      </w:r>
    </w:p>
    <w:p>
      <w:pPr>
        <w:pStyle w:val="BodyText"/>
      </w:pPr>
      <w:r>
        <w:t xml:space="preserve">26.2.1 Te avisamos de cada renovación y de su valor 30 días calendario antes de que venza el período en curso.</w:t>
      </w:r>
    </w:p>
    <w:p>
      <w:pPr>
        <w:pStyle w:val="BodyText"/>
      </w:pPr>
      <w:r>
        <w:t xml:space="preserve">26.2.2 La renovación automática no te impide terminar en cualquier momento conforme al numeral 26.1, en el período inicial o en cualquier renovación, y no genera sanción por terminación anticipada.</w:t>
      </w:r>
    </w:p>
    <w:p>
      <w:pPr>
        <w:pStyle w:val="BodyText"/>
      </w:pPr>
      <w:r>
        <w:t xml:space="preserve">26.2.3 No hay cláusula de permanencia mínima. No condicionamos la contratación ni el precio a que permanezcas un tiempo mínimo.</w:t>
      </w:r>
    </w:p>
    <w:p>
      <w:pPr>
        <w:pStyle w:val="BodyText"/>
      </w:pPr>
      <w:r>
        <w:t xml:space="preserve">26.3 Podemos suspender tu acceso, después de enviarte una comunicación con los motivos a tu correo de notificaciones, cuando:</w:t>
      </w:r>
    </w:p>
    <w:p>
      <w:pPr>
        <w:pStyle w:val="BodyText"/>
      </w:pPr>
      <w:r>
        <w:t xml:space="preserve">26.3.1 Tengas una mora de más de cinco días calendario, si contrataste directamente con nosotros, o cuando el distribuidor acredite esa mora, si contrataste por medio de él.</w:t>
      </w:r>
    </w:p>
    <w:p>
      <w:pPr>
        <w:pStyle w:val="BodyText"/>
      </w:pPr>
      <w:r>
        <w:t xml:space="preserve">26.3.2 Se presente alguno de los casos de los numerales 11.3 u 11.4.</w:t>
      </w:r>
    </w:p>
    <w:p>
      <w:pPr>
        <w:pStyle w:val="BodyText"/>
      </w:pPr>
      <w:r>
        <w:t xml:space="preserve">26.3.3 Se presente el caso del parágrafo segundo de la cláusula 16. Ahí la suspensión es inmediata y la comunicación se envía dentro de las 24 horas siguientes.</w:t>
      </w:r>
    </w:p>
    <w:p>
      <w:pPr>
        <w:pStyle w:val="BodyText"/>
      </w:pPr>
      <w:r>
        <w:t xml:space="preserve">Levantamos la suspensión dentro del día hábil siguiente a que desaparezca su causa. Si la causa es tuya, el servicio se sigue causando durante la suspensión. Si la causa es nuestra o los hechos se desvirtúan, no se causa nada por el período suspendido y te abonamos el valor correspondiente.</w:t>
      </w:r>
    </w:p>
    <w:p>
      <w:pPr>
        <w:pStyle w:val="BodyText"/>
      </w:pPr>
      <w:r>
        <w:t xml:space="preserve">26.4 Puedes terminar el contrato sin preaviso ni penalidad, con reembolso proporcional del período no prestado, cuando:</w:t>
      </w:r>
    </w:p>
    <w:p>
      <w:pPr>
        <w:pStyle w:val="BodyText"/>
      </w:pPr>
      <w:r>
        <w:t xml:space="preserve">26.4.1 La indisponibilidad atribuible a nosotros supere 20 días hábiles, seguidos o no, en un mismo período de tres meses.</w:t>
      </w:r>
    </w:p>
    <w:p>
      <w:pPr>
        <w:pStyle w:val="BodyText"/>
      </w:pPr>
      <w:r>
        <w:t xml:space="preserve">26.4.2 Se pierdan tus documentos o datos por una causa nuestra y no haya copia recuperable.</w:t>
      </w:r>
    </w:p>
    <w:p>
      <w:pPr>
        <w:pStyle w:val="BodyText"/>
      </w:pPr>
      <w:r>
        <w:t xml:space="preserve">26.4.3 Perdamos la habilitación del numeral 6.2.</w:t>
      </w:r>
    </w:p>
    <w:p>
      <w:pPr>
        <w:pStyle w:val="BodyText"/>
      </w:pPr>
      <w:r>
        <w:rPr>
          <w:b/>
          <w:bCs/>
        </w:rPr>
        <w:t xml:space="preserve">PARÁGRAFO.</w:t>
      </w:r>
      <w:r>
        <w:t xml:space="preserve"> </w:t>
      </w:r>
      <w:r>
        <w:t xml:space="preserve">Estos casos son causales de terminación inmediata pactadas, pero no son los únicos. No limitan tu derecho a pedir la resolución del contrato por nuestro incumplimiento (artículo 1546 del Código Civil y artículo 870 del Código de Comercio), a no cumplir mientras nosotros no cumplamos, ni a ejercer las acciones del Estatuto del Consumidor. Ninguna cláusula te obliga a seguir en el contrato si nosotros no cumplimos.</w:t>
      </w:r>
    </w:p>
    <w:p>
      <w:pPr>
        <w:pStyle w:val="BodyText"/>
      </w:pPr>
      <w:r>
        <w:t xml:space="preserve">26.5 Podemos terminar el contrato:</w:t>
      </w:r>
    </w:p>
    <w:p>
      <w:pPr>
        <w:pStyle w:val="BodyText"/>
      </w:pPr>
      <w:r>
        <w:t xml:space="preserve">26.5.1 Si la mora en el pago supera 60 días calendario.</w:t>
      </w:r>
    </w:p>
    <w:p>
      <w:pPr>
        <w:pStyle w:val="BodyText"/>
      </w:pPr>
      <w:r>
        <w:t xml:space="preserve">26.5.2 Si se presenta alguno de los casos de los numerales 11.4 o 16.2, o del parágrafo primero de la cláusula 7, después de agotar el procedimiento de contradicción del numeral 11.5 o del parágrafo primero de la cláusula 16, según corresponda.</w:t>
      </w:r>
    </w:p>
    <w:p>
      <w:pPr>
        <w:pStyle w:val="BodyText"/>
      </w:pPr>
      <w:r>
        <w:t xml:space="preserve">26.5.3 Si incumples otra obligación que no tenga un procedimiento especial, después de requerirte por escrito a tu correo de notificaciones y darte 20 días calendario para corregirlo.</w:t>
      </w:r>
    </w:p>
    <w:p>
      <w:pPr>
        <w:pStyle w:val="BodyText"/>
      </w:pPr>
      <w:r>
        <w:t xml:space="preserve">26.6 El contrato termina, o los servicios se suspenden, cuando lo ordene la DIAN u otra autoridad competente, desde la fecha que indique la orden. En ese caso te devolvemos la parte proporcional del período no prestado, salvo que la orden se deba a un hecho tuyo.</w:t>
      </w:r>
    </w:p>
    <w:p>
      <w:pPr>
        <w:pStyle w:val="BodyText"/>
      </w:pPr>
      <w:r>
        <w:t xml:space="preserve">26.7 Cuando el contrato termina:</w:t>
      </w:r>
    </w:p>
    <w:p>
      <w:pPr>
        <w:pStyle w:val="BodyText"/>
      </w:pPr>
      <w:r>
        <w:t xml:space="preserve">26.7.1 Pierdes el acceso a la plataforma.</w:t>
      </w:r>
    </w:p>
    <w:p>
      <w:pPr>
        <w:pStyle w:val="BodyText"/>
      </w:pPr>
      <w:r>
        <w:t xml:space="preserve">26.7.2 Los documentos ya transmitidos siguen en los sistemas de la DIAN y no se borran.</w:t>
      </w:r>
    </w:p>
    <w:p>
      <w:pPr>
        <w:pStyle w:val="BodyText"/>
      </w:pPr>
      <w:r>
        <w:t xml:space="preserve">26.7.3 Puedes pedirnos copia de tus documentos y datos dentro de los 30 días calendario siguientes, y te la entregamos en un formato electrónico estándar, sin costo, dentro de los diez días hábiles siguientes a tu solicitud. Después de ese plazo, la información queda bajo el régimen de conservación del numeral 22.3 y es accesible por requerimiento de autoridad o por solicitud tuya con motivos.</w:t>
      </w:r>
    </w:p>
    <w:p>
      <w:pPr>
        <w:pStyle w:val="BodyText"/>
      </w:pPr>
      <w:r>
        <w:t xml:space="preserve">26.7.4 Se vuelven exigibles las sumas causadas y no pagadas hasta el último día de servicio, y los reembolsos que te correspondan según esta cláusula.</w:t>
      </w:r>
    </w:p>
    <w:p>
      <w:pPr>
        <w:pStyle w:val="BodyText"/>
      </w:pPr>
      <w:r>
        <w:t xml:space="preserve">26.8 Siguen vigentes después de la terminación los numerales 17.2 y 17.4, las cláusulas 19, 21, 22, 23, 30 y 31, y las demás que por su naturaleza deban producir efectos después.</w:t>
      </w:r>
    </w:p>
    <w:bookmarkEnd w:id="943"/>
    <w:bookmarkStart w:id="944" w:name="cesión"/>
    <w:p>
      <w:pPr>
        <w:pStyle w:val="Heading1"/>
      </w:pPr>
      <w:r>
        <w:t xml:space="preserve">27. Cesión</w:t>
      </w:r>
    </w:p>
    <w:p>
      <w:pPr>
        <w:pStyle w:val="FirstParagraph"/>
      </w:pPr>
      <w:r>
        <w:t xml:space="preserve">27.1 No puedes ceder tu posición en el contrato ni los derechos que se derivan de él sin nuestra autorización previa y escrita. Solo podemos negarla por una causa razonable relacionada con los requisitos de la cláusula 11.</w:t>
      </w:r>
    </w:p>
    <w:p>
      <w:pPr>
        <w:pStyle w:val="BodyText"/>
      </w:pPr>
      <w:r>
        <w:t xml:space="preserve">27.2 Podemos ceder nuestra posición a una sociedad matriz, filial o subordinada, o a quien adquiera toda nuestra operación o una parte sustancial de ella, siempre que el cesionario tenga habilitación vigente ante la DIAN y asuma este contrato sin cambios. Te avisamos la cesión con 30 días calendario de anticipación, y si no la aceptas puedes terminar sin penalidad y con reembolso proporcional.</w:t>
      </w:r>
    </w:p>
    <w:bookmarkEnd w:id="944"/>
    <w:bookmarkStart w:id="945" w:name="notificaciones"/>
    <w:p>
      <w:pPr>
        <w:pStyle w:val="Heading1"/>
      </w:pPr>
      <w:r>
        <w:t xml:space="preserve">28. Notificaciones</w:t>
      </w:r>
    </w:p>
    <w:p>
      <w:pPr>
        <w:pStyle w:val="FirstParagraph"/>
      </w:pPr>
      <w:r>
        <w:t xml:space="preserve">28.1 Nos comunicamos por correo electrónico a las direcciones registradas en los datos de las partes. Las comunicaciones se entienden recibidas el día hábil siguiente al envío, salvo prueba de que la entrega falló.</w:t>
      </w:r>
    </w:p>
    <w:p>
      <w:pPr>
        <w:pStyle w:val="BodyText"/>
      </w:pPr>
      <w:r>
        <w:t xml:space="preserve">28.2 Debes mantener actualizado tu correo de notificaciones. La comunicación enviada a la última dirección registrada produce efectos aunque no la leas, siempre que conservemos la constancia de envío y no hayamos recibido aviso de entrega fallida.</w:t>
      </w:r>
    </w:p>
    <w:p>
      <w:pPr>
        <w:pStyle w:val="BodyText"/>
      </w:pPr>
      <w:r>
        <w:t xml:space="preserve">28.3 Si no hay un correo vigente, las comunicaciones se envían a la dirección física que aparezca en el certificado de existencia y representación legal o en el RUT de quien deba recibirlas.</w:t>
      </w:r>
    </w:p>
    <w:bookmarkEnd w:id="945"/>
    <w:bookmarkStart w:id="946" w:name="fuerza-mayor-y-caso-fortuito"/>
    <w:p>
      <w:pPr>
        <w:pStyle w:val="Heading1"/>
      </w:pPr>
      <w:r>
        <w:t xml:space="preserve">29. Fuerza mayor y caso fortuito</w:t>
      </w:r>
    </w:p>
    <w:p>
      <w:pPr>
        <w:pStyle w:val="FirstParagraph"/>
      </w:pPr>
      <w:r>
        <w:t xml:space="preserve">29.1 Ninguna de las partes responde por el incumplimiento causado por fuerza mayor o caso fortuito, entendidos como el hecho imprevisible e irresistible ajeno a su control (artículo 64 del Código Civil).</w:t>
      </w:r>
    </w:p>
    <w:p>
      <w:pPr>
        <w:pStyle w:val="BodyText"/>
      </w:pPr>
      <w:r>
        <w:t xml:space="preserve">29.2 Pueden serlo, entre otros, los desastres naturales, los conflictos armados, las conmociones civiles, las epidemias declaradas por la autoridad, los actos terroristas, los cortes prolongados de energía o de telecomunicaciones en la zona de la infraestructura, la caída de los sistemas de la DIAN y los actos de autoridad que impidan operar.</w:t>
      </w:r>
    </w:p>
    <w:p>
      <w:pPr>
        <w:pStyle w:val="BodyText"/>
      </w:pPr>
      <w:r>
        <w:t xml:space="preserve">29.3 La parte afectada le avisa a la otra lo ocurrido y su impacto tan pronto como pueda, toma medidas razonables para reducir el daño y retoma el cumplimiento cuando el impedimento termine. Avisar tarde no convierte el hecho en imputable, pero la parte afectada responde por el perjuicio que la demora haya causado.</w:t>
      </w:r>
    </w:p>
    <w:p>
      <w:pPr>
        <w:pStyle w:val="BodyText"/>
      </w:pPr>
      <w:r>
        <w:t xml:space="preserve">29.4 Si el impedimento dura más de 30 días calendario, cualquiera de las partes puede terminar el contrato sin indemnización, avisando por escrito, y te devolvemos la parte proporcional del período no prestado.</w:t>
      </w:r>
    </w:p>
    <w:p>
      <w:pPr>
        <w:pStyle w:val="BodyText"/>
      </w:pPr>
      <w:r>
        <w:t xml:space="preserve">29.5 Si hay controversia, quien califica si un hecho es fuerza mayor o caso fortuito es la autoridad competente, no nosotros.</w:t>
      </w:r>
    </w:p>
    <w:bookmarkEnd w:id="946"/>
    <w:bookmarkStart w:id="947" w:name="cómo-resolvemos-desacuerdos"/>
    <w:p>
      <w:pPr>
        <w:pStyle w:val="Heading1"/>
      </w:pPr>
      <w:r>
        <w:t xml:space="preserve">30. Cómo resolvemos desacuerdos</w:t>
      </w:r>
    </w:p>
    <w:p>
      <w:pPr>
        <w:pStyle w:val="FirstParagraph"/>
      </w:pPr>
      <w:r>
        <w:t xml:space="preserve">30.1</w:t>
      </w:r>
      <w:r>
        <w:t xml:space="preserve"> </w:t>
      </w:r>
      <w:r>
        <w:rPr>
          <w:b/>
          <w:bCs/>
        </w:rPr>
        <w:t xml:space="preserve">Arreglo directo.</w:t>
      </w:r>
      <w:r>
        <w:t xml:space="preserve"> </w:t>
      </w:r>
      <w:r>
        <w:t xml:space="preserve">Quien tenga el desacuerdo se lo comunica por escrito a la otra parte dentro de los diez días calendario siguientes al hecho que lo origina. Las partes tienen diez días calendario más para resolverlo directamente.</w:t>
      </w:r>
    </w:p>
    <w:p>
      <w:pPr>
        <w:pStyle w:val="BodyText"/>
      </w:pPr>
      <w:r>
        <w:t xml:space="preserve">30.2</w:t>
      </w:r>
      <w:r>
        <w:t xml:space="preserve"> </w:t>
      </w:r>
      <w:r>
        <w:rPr>
          <w:b/>
          <w:bCs/>
        </w:rPr>
        <w:t xml:space="preserve">Conciliación.</w:t>
      </w:r>
      <w:r>
        <w:t xml:space="preserve"> </w:t>
      </w:r>
      <w:r>
        <w:t xml:space="preserve">Si no hay arreglo directo, cualquiera de las partes puede pedir una audiencia de conciliación ante el centro de conciliación de la cámara de comercio de tu domicilio. El conciliador se designa dentro de los cinco días hábiles siguientes a la solicitud y el trámite no dura más de 20 días hábiles.</w:t>
      </w:r>
    </w:p>
    <w:p>
      <w:pPr>
        <w:pStyle w:val="BodyText"/>
      </w:pPr>
      <w:r>
        <w:t xml:space="preserve">30.3</w:t>
      </w:r>
      <w:r>
        <w:t xml:space="preserve"> </w:t>
      </w:r>
      <w:r>
        <w:rPr>
          <w:b/>
          <w:bCs/>
        </w:rPr>
        <w:t xml:space="preserve">Jueces.</w:t>
      </w:r>
      <w:r>
        <w:t xml:space="preserve"> </w:t>
      </w:r>
      <w:r>
        <w:t xml:space="preserve">Si no hay acuerdo después de esas etapas, el desacuerdo se lleva a los jueces civiles de tu domicilio. Las partes excluyen el arbitraje.</w:t>
      </w:r>
    </w:p>
    <w:p>
      <w:pPr>
        <w:pStyle w:val="BodyText"/>
      </w:pPr>
      <w:r>
        <w:rPr>
          <w:b/>
          <w:bCs/>
        </w:rPr>
        <w:t xml:space="preserve">PARÁGRAFO PRIMERO.</w:t>
      </w:r>
      <w:r>
        <w:t xml:space="preserve"> </w:t>
      </w:r>
      <w:r>
        <w:t xml:space="preserve">Si eres consumidor, el arreglo directo y la conciliación no son obligatorios para ti: puedes acudir en cualquier momento y directamente a la acción de protección al consumidor ante la Superintendencia de Industria y Comercio o ante el juez competente. Estas etapas tampoco impiden a las partes pedir medidas cautelares ni iniciar el cobro ejecutivo de obligaciones claras, expresas y exigibles.</w:t>
      </w:r>
    </w:p>
    <w:p>
      <w:pPr>
        <w:pStyle w:val="BodyText"/>
      </w:pPr>
      <w:r>
        <w:rPr>
          <w:b/>
          <w:bCs/>
        </w:rPr>
        <w:t xml:space="preserve">PARÁGRAFO SEGUNDO.</w:t>
      </w:r>
      <w:r>
        <w:t xml:space="preserve"> </w:t>
      </w:r>
      <w:r>
        <w:t xml:space="preserve">El arreglo directo no suspende los plazos de prescripción ni de caducidad de la ley.</w:t>
      </w:r>
    </w:p>
    <w:p>
      <w:pPr>
        <w:pStyle w:val="BodyText"/>
      </w:pPr>
      <w:r>
        <w:rPr>
          <w:b/>
          <w:bCs/>
        </w:rPr>
        <w:t xml:space="preserve">PARÁGRAFO TERCERO.</w:t>
      </w:r>
      <w:r>
        <w:t xml:space="preserve"> </w:t>
      </w:r>
      <w:r>
        <w:t xml:space="preserve">La Superintendencia de Industria y Comercio es la autoridad competente para las reclamaciones sobre cláusulas abusivas y protección al consumidor, y para ese trámite no necesitas abogado.</w:t>
      </w:r>
    </w:p>
    <w:bookmarkEnd w:id="947"/>
    <w:bookmarkStart w:id="948" w:name="reglas-generales"/>
    <w:p>
      <w:pPr>
        <w:pStyle w:val="Heading1"/>
      </w:pPr>
      <w:r>
        <w:t xml:space="preserve">31. Reglas generales</w:t>
      </w:r>
    </w:p>
    <w:p>
      <w:pPr>
        <w:pStyle w:val="FirstParagraph"/>
      </w:pPr>
      <w:r>
        <w:t xml:space="preserve">31.1</w:t>
      </w:r>
      <w:r>
        <w:t xml:space="preserve"> </w:t>
      </w:r>
      <w:r>
        <w:rPr>
          <w:b/>
          <w:bCs/>
        </w:rPr>
        <w:t xml:space="preserve">Acuerdo completo.</w:t>
      </w:r>
      <w:r>
        <w:t xml:space="preserve"> </w:t>
      </w:r>
      <w:r>
        <w:t xml:space="preserve">Este contrato, sus anexos y el documento que fija el precio conforme al numeral 18.1 contienen todo el acuerdo entre las partes sobre su objeto y reemplazan cualquier acuerdo verbal o escrito anterior. La información que te dimos antes de contratar sobre las características y condiciones de los servicios también nos obliga, conforme al artículo 23 de la Ley 1480 de 2011.</w:t>
      </w:r>
    </w:p>
    <w:p>
      <w:pPr>
        <w:pStyle w:val="BodyText"/>
      </w:pPr>
      <w:r>
        <w:t xml:space="preserve">31.2</w:t>
      </w:r>
      <w:r>
        <w:t xml:space="preserve"> </w:t>
      </w:r>
      <w:r>
        <w:rPr>
          <w:b/>
          <w:bCs/>
        </w:rPr>
        <w:t xml:space="preserve">Qué prevalece.</w:t>
      </w:r>
      <w:r>
        <w:t xml:space="preserve"> </w:t>
      </w:r>
      <w:r>
        <w:t xml:space="preserve">Si el articulado y los anexos se contradicen, prevalece el articulado. Si este contrato y tu acuerdo con el distribuidor se contradicen, este contrato prevalece en lo relativo al uso de la plataforma y a nuestras obligaciones, y el acuerdo con el distribuidor rige la relación económica entre ustedes. Si eres consumidor, la contradicción se resuelve de la forma más favorable a ti.</w:t>
      </w:r>
    </w:p>
    <w:p>
      <w:pPr>
        <w:pStyle w:val="BodyText"/>
      </w:pPr>
      <w:r>
        <w:t xml:space="preserve">31.3</w:t>
      </w:r>
      <w:r>
        <w:t xml:space="preserve"> </w:t>
      </w:r>
      <w:r>
        <w:rPr>
          <w:b/>
          <w:bCs/>
        </w:rPr>
        <w:t xml:space="preserve">Divisibilidad.</w:t>
      </w:r>
      <w:r>
        <w:t xml:space="preserve"> </w:t>
      </w:r>
      <w:r>
        <w:t xml:space="preserve">Si una cláusula es ineficaz, nula o inoponible, las demás siguen vigentes (artículo 44 de la Ley 1480 de 2011). Las partes reemplazarán la cláusula afectada por otra que se acerque a su finalidad dentro de lo que permita la ley.</w:t>
      </w:r>
    </w:p>
    <w:p>
      <w:pPr>
        <w:pStyle w:val="BodyText"/>
      </w:pPr>
      <w:r>
        <w:t xml:space="preserve">31.4</w:t>
      </w:r>
      <w:r>
        <w:t xml:space="preserve"> </w:t>
      </w:r>
      <w:r>
        <w:rPr>
          <w:b/>
          <w:bCs/>
        </w:rPr>
        <w:t xml:space="preserve">No renuncia.</w:t>
      </w:r>
      <w:r>
        <w:t xml:space="preserve"> </w:t>
      </w:r>
      <w:r>
        <w:t xml:space="preserve">Que una parte tolere, demore o no ejerza un derecho no significa que renuncie a él ni cambia lo pactado.</w:t>
      </w:r>
    </w:p>
    <w:p>
      <w:pPr>
        <w:pStyle w:val="BodyText"/>
      </w:pPr>
      <w:r>
        <w:t xml:space="preserve">31.5</w:t>
      </w:r>
      <w:r>
        <w:t xml:space="preserve"> </w:t>
      </w:r>
      <w:r>
        <w:rPr>
          <w:b/>
          <w:bCs/>
        </w:rPr>
        <w:t xml:space="preserve">Plazos.</w:t>
      </w:r>
      <w:r>
        <w:t xml:space="preserve"> </w:t>
      </w:r>
      <w:r>
        <w:t xml:space="preserve">Los plazos se cuentan en días calendario, salvo que se diga</w:t>
      </w:r>
      <w:r>
        <w:t xml:space="preserve"> </w:t>
      </w:r>
      <w:r>
        <w:t xml:space="preserve">“días hábiles”</w:t>
      </w:r>
      <w:r>
        <w:t xml:space="preserve">, que excluyen sábados, domingos y festivos colombianos. Si un plazo vence en día no hábil, se corre al siguiente día hábil.</w:t>
      </w:r>
    </w:p>
    <w:p>
      <w:pPr>
        <w:pStyle w:val="BodyText"/>
      </w:pPr>
      <w:r>
        <w:t xml:space="preserve">31.6</w:t>
      </w:r>
      <w:r>
        <w:t xml:space="preserve"> </w:t>
      </w:r>
      <w:r>
        <w:rPr>
          <w:b/>
          <w:bCs/>
        </w:rPr>
        <w:t xml:space="preserve">Independencia.</w:t>
      </w:r>
      <w:r>
        <w:t xml:space="preserve"> </w:t>
      </w:r>
      <w:r>
        <w:t xml:space="preserve">Este contrato no crea relación laboral, societaria, de agencia, de mandato ni de asociación entre las partes. Prestamos los servicios con nuestros propios medios y con autonomía técnica y administrativa.</w:t>
      </w:r>
    </w:p>
    <w:p>
      <w:pPr>
        <w:pStyle w:val="BodyText"/>
      </w:pPr>
      <w:r>
        <w:t xml:space="preserve">31.7</w:t>
      </w:r>
      <w:r>
        <w:t xml:space="preserve"> </w:t>
      </w:r>
      <w:r>
        <w:rPr>
          <w:b/>
          <w:bCs/>
        </w:rPr>
        <w:t xml:space="preserve">Idioma.</w:t>
      </w:r>
      <w:r>
        <w:t xml:space="preserve"> </w:t>
      </w:r>
      <w:r>
        <w:t xml:space="preserve">El contrato está en español. Cualquier traducción es solo para facilitar la lectura, y en caso de diferencia prevalece el texto en español.</w:t>
      </w:r>
    </w:p>
    <w:p>
      <w:pPr>
        <w:pStyle w:val="BodyText"/>
      </w:pPr>
      <w:r>
        <w:t xml:space="preserve">31.8</w:t>
      </w:r>
      <w:r>
        <w:t xml:space="preserve"> </w:t>
      </w:r>
      <w:r>
        <w:rPr>
          <w:b/>
          <w:bCs/>
        </w:rPr>
        <w:t xml:space="preserve">Interpretación.</w:t>
      </w:r>
      <w:r>
        <w:t xml:space="preserve"> </w:t>
      </w:r>
      <w:r>
        <w:t xml:space="preserve">Las cláusulas ambiguas se interpretan en contra de Factus, que las redactó, conforme al artículo 1624 del Código Civil y a la naturaleza de adhesión de la cláusula 1.</w:t>
      </w:r>
    </w:p>
    <w:p>
      <w:pPr>
        <w:pStyle w:val="BodyText"/>
      </w:pPr>
      <w:r>
        <w:t xml:space="preserve">31.9</w:t>
      </w:r>
      <w:r>
        <w:t xml:space="preserve"> </w:t>
      </w:r>
      <w:r>
        <w:rPr>
          <w:b/>
          <w:bCs/>
        </w:rPr>
        <w:t xml:space="preserve">Ley aplicable.</w:t>
      </w:r>
      <w:r>
        <w:t xml:space="preserve"> </w:t>
      </w:r>
      <w:r>
        <w:t xml:space="preserve">Este contrato se rige por las leyes de la República de Colombia.</w:t>
      </w:r>
    </w:p>
    <w:bookmarkEnd w:id="948"/>
    <w:bookmarkStart w:id="949" w:name="aceptación"/>
    <w:p>
      <w:pPr>
        <w:pStyle w:val="Heading1"/>
      </w:pPr>
      <w:r>
        <w:t xml:space="preserve">32. Aceptación</w:t>
      </w:r>
    </w:p>
    <w:p>
      <w:pPr>
        <w:pStyle w:val="FirstParagraph"/>
      </w:pPr>
      <w:r>
        <w:t xml:space="preserve">Al marcar la casilla de aceptación y oprimir</w:t>
      </w:r>
      <w:r>
        <w:t xml:space="preserve"> </w:t>
      </w:r>
      <w:r>
        <w:t xml:space="preserve">“ACEPTO”</w:t>
      </w:r>
      <w:r>
        <w:t xml:space="preserve">, declaras que tuviste a tu disposición el texto completo de este contrato, que lo aceptas completo como contrato de adhesión y que conoces:</w:t>
      </w:r>
    </w:p>
    <w:p>
      <w:pPr>
        <w:pStyle w:val="Compact"/>
        <w:numPr>
          <w:ilvl w:val="0"/>
          <w:numId w:val="1001"/>
        </w:numPr>
      </w:pPr>
      <w:r>
        <w:t xml:space="preserve">El alcance de nuestra intervención, descrito en la cláusula 9.</w:t>
      </w:r>
    </w:p>
    <w:p>
      <w:pPr>
        <w:pStyle w:val="Compact"/>
        <w:numPr>
          <w:ilvl w:val="0"/>
          <w:numId w:val="1001"/>
        </w:numPr>
      </w:pPr>
      <w:r>
        <w:t xml:space="preserve">El régimen de responsabilidad de la cláusula 19 y los casos en que sus límites no aplican.</w:t>
      </w:r>
    </w:p>
    <w:p>
      <w:pPr>
        <w:pStyle w:val="Compact"/>
        <w:numPr>
          <w:ilvl w:val="0"/>
          <w:numId w:val="1001"/>
        </w:numPr>
      </w:pPr>
      <w:r>
        <w:t xml:space="preserve">La indemnidad de la cláusula 21 y su límite.</w:t>
      </w:r>
    </w:p>
    <w:p>
      <w:pPr>
        <w:pStyle w:val="Compact"/>
        <w:numPr>
          <w:ilvl w:val="0"/>
          <w:numId w:val="1001"/>
        </w:numPr>
      </w:pPr>
      <w:r>
        <w:t xml:space="preserve">Tu responsabilidad por el contenido de los documentos que emitas y por tus obligaciones tributarias ante la DIAN.</w:t>
      </w:r>
    </w:p>
    <w:p>
      <w:pPr>
        <w:pStyle w:val="Compact"/>
        <w:numPr>
          <w:ilvl w:val="0"/>
          <w:numId w:val="1001"/>
        </w:numPr>
      </w:pPr>
      <w:r>
        <w:t xml:space="preserve">Tu derecho de retracto de la cláusula 24 y tu derecho a terminar en cualquier momento conforme al numeral 26.1.</w:t>
      </w:r>
    </w:p>
    <w:p>
      <w:pPr>
        <w:pStyle w:val="Compact"/>
        <w:numPr>
          <w:ilvl w:val="0"/>
          <w:numId w:val="1001"/>
        </w:numPr>
      </w:pPr>
      <w:r>
        <w:t xml:space="preserve">Que ninguna cláusula de este contrato produce efecto en lo que sea contrario a los artículos 37, 42 y 43 de la Ley 1480 de 2011.</w:t>
      </w:r>
    </w:p>
    <w:p>
      <w:r>
        <w:pict>
          <v:rect style="width:0;height:1.5pt" o:hralign="center" o:hrstd="t" o:hr="t"/>
        </w:pict>
      </w:r>
    </w:p>
    <w:bookmarkEnd w:id="949"/>
    <w:bookmarkStart w:id="954" w:name="X493c580e26be68939981c58c630c6f520a9bd8a"/>
    <w:p>
      <w:pPr>
        <w:pStyle w:val="Heading1"/>
      </w:pPr>
      <w:r>
        <w:t xml:space="preserve">Anexo I. Procedimiento de aceptación por firma electrónica</w:t>
      </w:r>
    </w:p>
    <w:p>
      <w:pPr>
        <w:pStyle w:val="FirstParagraph"/>
      </w:pPr>
      <w:r>
        <w:t xml:space="preserve">Este anexo hace parte del contrato y desarrolla la firma electrónica de la cláusula 10, conforme a la Ley 527 de 1999 y al Decreto 2364 de 2012. Con él cumplimos la carga de prueba que los artículos 39 y 48 de la Ley 1480 de 2011 nos imponen en los contratos de adhesión celebrados por medios electrónicos.</w:t>
      </w:r>
    </w:p>
    <w:bookmarkStart w:id="950" w:name="i.1-pasos"/>
    <w:p>
      <w:pPr>
        <w:pStyle w:val="Heading2"/>
      </w:pPr>
      <w:r>
        <w:t xml:space="preserve">I.1 Pasos</w:t>
      </w:r>
    </w:p>
    <w:p>
      <w:pPr>
        <w:pStyle w:val="Compact"/>
        <w:numPr>
          <w:ilvl w:val="0"/>
          <w:numId w:val="1002"/>
        </w:numPr>
      </w:pPr>
      <w:r>
        <w:rPr>
          <w:b/>
          <w:bCs/>
        </w:rPr>
        <w:t xml:space="preserve">Autenticación.</w:t>
      </w:r>
      <w:r>
        <w:t xml:space="preserve"> </w:t>
      </w:r>
      <w:r>
        <w:t xml:space="preserve">Ingresas tus credenciales en la plataforma.</w:t>
      </w:r>
    </w:p>
    <w:p>
      <w:pPr>
        <w:pStyle w:val="Compact"/>
        <w:numPr>
          <w:ilvl w:val="0"/>
          <w:numId w:val="1002"/>
        </w:numPr>
      </w:pPr>
      <w:r>
        <w:rPr>
          <w:b/>
          <w:bCs/>
        </w:rPr>
        <w:t xml:space="preserve">Presentación.</w:t>
      </w:r>
      <w:r>
        <w:t xml:space="preserve"> </w:t>
      </w:r>
      <w:r>
        <w:t xml:space="preserve">La plataforma te muestra el texto completo de este contrato, legible, descargable e imprimible, con tus datos ya incluidos y sin espacios en blanco, junto con esta casilla:</w:t>
      </w:r>
      <w:r>
        <w:t xml:space="preserve"> </w:t>
      </w:r>
      <w:r>
        <w:t xml:space="preserve">“Acepto en bloque los Términos y Condiciones de FACTUS S.A.S., que son un contrato de adhesión redactado por FACTUS, y declaro que los he tenido a mi disposición en su integridad, que comprendo mis obligaciones, el alcance de la responsabilidad de FACTUS y mi responsabilidad exclusiva por el contenido de los documentos electrónicos que emita.”</w:t>
      </w:r>
    </w:p>
    <w:p>
      <w:pPr>
        <w:pStyle w:val="Compact"/>
        <w:numPr>
          <w:ilvl w:val="0"/>
          <w:numId w:val="1002"/>
        </w:numPr>
      </w:pPr>
      <w:r>
        <w:rPr>
          <w:b/>
          <w:bCs/>
        </w:rPr>
        <w:t xml:space="preserve">Manifestación.</w:t>
      </w:r>
      <w:r>
        <w:t xml:space="preserve"> </w:t>
      </w:r>
      <w:r>
        <w:t xml:space="preserve">Marcas la casilla y oprimes</w:t>
      </w:r>
      <w:r>
        <w:t xml:space="preserve"> </w:t>
      </w:r>
      <w:r>
        <w:t xml:space="preserve">“ACEPTO”</w:t>
      </w:r>
      <w:r>
        <w:t xml:space="preserve">. La casilla no viene marcada.</w:t>
      </w:r>
    </w:p>
    <w:p>
      <w:pPr>
        <w:pStyle w:val="Compact"/>
        <w:numPr>
          <w:ilvl w:val="0"/>
          <w:numId w:val="1002"/>
        </w:numPr>
      </w:pPr>
      <w:r>
        <w:rPr>
          <w:b/>
          <w:bCs/>
        </w:rPr>
        <w:t xml:space="preserve">Registro.</w:t>
      </w:r>
      <w:r>
        <w:t xml:space="preserve"> </w:t>
      </w:r>
      <w:r>
        <w:t xml:space="preserve">La plataforma registra de forma automática e inalterable: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Elemento</w:t>
            </w:r>
          </w:p>
        </w:tc>
        <w:tc>
          <w:tcPr/>
          <w:p>
            <w:pPr>
              <w:pStyle w:val="Compact"/>
              <w:jc w:val="left"/>
            </w:pPr>
            <w:r>
              <w:t xml:space="preserve">Contenido</w:t>
            </w:r>
          </w:p>
        </w:tc>
      </w:tr>
      <w:tr>
        <w:tc>
          <w:tcPr/>
          <w:p>
            <w:pPr>
              <w:pStyle w:val="Compact"/>
              <w:jc w:val="left"/>
            </w:pPr>
            <w:r>
              <w:t xml:space="preserve">Fecha y hora</w:t>
            </w:r>
          </w:p>
        </w:tc>
        <w:tc>
          <w:tcPr/>
          <w:p>
            <w:pPr>
              <w:pStyle w:val="Compact"/>
              <w:jc w:val="left"/>
            </w:pPr>
            <w:r>
              <w:t xml:space="preserve">Marca de tiempo en hora universal coordinada (UTC) del momento de la aceptación</w:t>
            </w:r>
          </w:p>
        </w:tc>
      </w:tr>
      <w:tr>
        <w:tc>
          <w:tcPr/>
          <w:p>
            <w:pPr>
              <w:pStyle w:val="Compact"/>
              <w:jc w:val="left"/>
            </w:pPr>
            <w:r>
              <w:t xml:space="preserve">Identificación</w:t>
            </w:r>
          </w:p>
        </w:tc>
        <w:tc>
          <w:tcPr/>
          <w:p>
            <w:pPr>
              <w:pStyle w:val="Compact"/>
              <w:jc w:val="left"/>
            </w:pPr>
            <w:r>
              <w:t xml:space="preserve">Usuario, NIT o documento de identidad asociado a la cuenta</w:t>
            </w:r>
          </w:p>
        </w:tc>
      </w:tr>
      <w:tr>
        <w:tc>
          <w:tcPr/>
          <w:p>
            <w:pPr>
              <w:pStyle w:val="Compact"/>
              <w:jc w:val="left"/>
            </w:pPr>
            <w:r>
              <w:t xml:space="preserve">Origen</w:t>
            </w:r>
          </w:p>
        </w:tc>
        <w:tc>
          <w:tcPr/>
          <w:p>
            <w:pPr>
              <w:pStyle w:val="Compact"/>
              <w:jc w:val="left"/>
            </w:pPr>
            <w:r>
              <w:t xml:space="preserve">Dirección IP desde la que se envió la aceptación</w:t>
            </w:r>
          </w:p>
        </w:tc>
      </w:tr>
      <w:tr>
        <w:tc>
          <w:tcPr/>
          <w:p>
            <w:pPr>
              <w:pStyle w:val="Compact"/>
              <w:jc w:val="left"/>
            </w:pPr>
            <w:r>
              <w:t xml:space="preserve">Integridad</w:t>
            </w:r>
          </w:p>
        </w:tc>
        <w:tc>
          <w:tcPr/>
          <w:p>
            <w:pPr>
              <w:pStyle w:val="Compact"/>
              <w:jc w:val="left"/>
            </w:pPr>
            <w:r>
              <w:t xml:space="preserve">Resumen criptográfico (SHA-256 o superior) del texto aceptado</w:t>
            </w:r>
          </w:p>
        </w:tc>
      </w:tr>
      <w:tr>
        <w:tc>
          <w:tcPr/>
          <w:p>
            <w:pPr>
              <w:pStyle w:val="Compact"/>
              <w:jc w:val="left"/>
            </w:pPr>
            <w:r>
              <w:t xml:space="preserve">Versión</w:t>
            </w:r>
          </w:p>
        </w:tc>
        <w:tc>
          <w:tcPr/>
          <w:p>
            <w:pPr>
              <w:pStyle w:val="Compact"/>
              <w:jc w:val="left"/>
            </w:pPr>
            <w:r>
              <w:t xml:space="preserve">Identificador de la versión de los términos que se mostró en pantalla</w:t>
            </w:r>
          </w:p>
        </w:tc>
      </w:tr>
      <w:tr>
        <w:tc>
          <w:tcPr/>
          <w:p>
            <w:pPr>
              <w:pStyle w:val="Compact"/>
              <w:jc w:val="left"/>
            </w:pPr>
            <w:r>
              <w:t xml:space="preserve">Trazabilidad</w:t>
            </w:r>
          </w:p>
        </w:tc>
        <w:tc>
          <w:tcPr/>
          <w:p>
            <w:pPr>
              <w:pStyle w:val="Compact"/>
              <w:jc w:val="left"/>
            </w:pPr>
            <w:r>
              <w:t xml:space="preserve">Registro en la bitácora de auditoría con la descripción</w:t>
            </w:r>
            <w:r>
              <w:t xml:space="preserve"> </w:t>
            </w:r>
            <w:r>
              <w:t xml:space="preserve">“Aceptación de Términos y Condiciones”</w:t>
            </w:r>
            <w:r>
              <w:t xml:space="preserve"> </w:t>
            </w:r>
            <w:r>
              <w:t xml:space="preserve">y los datos anteriores</w:t>
            </w:r>
          </w:p>
        </w:tc>
      </w:tr>
    </w:tbl>
    <w:p>
      <w:pPr>
        <w:pStyle w:val="Compact"/>
        <w:numPr>
          <w:ilvl w:val="0"/>
          <w:numId w:val="1003"/>
        </w:numPr>
      </w:pPr>
      <w:r>
        <w:rPr>
          <w:b/>
          <w:bCs/>
        </w:rPr>
        <w:t xml:space="preserve">Confirmación.</w:t>
      </w:r>
      <w:r>
        <w:t xml:space="preserve"> </w:t>
      </w:r>
      <w:r>
        <w:t xml:space="preserve">Dentro de las 24 horas siguientes te enviamos al correo registrado una copia en PDF del texto aceptado, el enlace al registro de aceptación en la plataforma, y la fecha, la hora, la dirección IP y el resumen criptográfico de la operación. Con este envío cumplimos el deber de entregarte constancia escrita del artículo 39 de la Ley 1480 de 2011.</w:t>
      </w:r>
    </w:p>
    <w:bookmarkEnd w:id="950"/>
    <w:bookmarkStart w:id="951" w:name="i.2-confiabilidad-del-mecanismo"/>
    <w:p>
      <w:pPr>
        <w:pStyle w:val="Heading2"/>
      </w:pPr>
      <w:r>
        <w:t xml:space="preserve">I.2 Confiabilidad del mecanismo</w:t>
      </w:r>
    </w:p>
    <w:p>
      <w:pPr>
        <w:pStyle w:val="FirstParagraph"/>
      </w:pPr>
      <w:r>
        <w:t xml:space="preserve">Las partes acuerdan que este mecanismo es confiable y apropiado para este contrato, en los términos del artículo 7 de la Ley 527 de 1999 y de los artículos 3 y 4 del Decreto 2364 de 2012, porque permite identificarte, vincular tu aceptación al texto aceptado y detectar cualquier alteración posterior comparando el resumen criptográfico.</w:t>
      </w:r>
    </w:p>
    <w:bookmarkEnd w:id="951"/>
    <w:bookmarkStart w:id="952" w:name="i.3-qué-prueba-el-registro"/>
    <w:p>
      <w:pPr>
        <w:pStyle w:val="Heading2"/>
      </w:pPr>
      <w:r>
        <w:t xml:space="preserve">I.3 Qué prueba el registro</w:t>
      </w:r>
    </w:p>
    <w:p>
      <w:pPr>
        <w:pStyle w:val="FirstParagraph"/>
      </w:pPr>
      <w:r>
        <w:t xml:space="preserve">El registro tiene el valor probatorio de los mensajes de datos (artículos 10 y 11 de la Ley 527 de 1999) y prueba que aceptaste, en qué fecha y hora, y cuál fue el texto exacto que aceptaste. Aportar ese registro nos corresponde a nosotros, conforme al parágrafo de la cláusula 10.</w:t>
      </w:r>
    </w:p>
    <w:bookmarkEnd w:id="952"/>
    <w:bookmarkStart w:id="953" w:name="i.4-conservación-y-acceso"/>
    <w:p>
      <w:pPr>
        <w:pStyle w:val="Heading2"/>
      </w:pPr>
      <w:r>
        <w:t xml:space="preserve">I.4 Conservación y acceso</w:t>
      </w:r>
    </w:p>
    <w:p>
      <w:pPr>
        <w:pStyle w:val="FirstParagraph"/>
      </w:pPr>
      <w:r>
        <w:t xml:space="preserve">Conservamos el registro de aceptación y el texto aceptado durante cinco años desde la aceptación, y los mantenemos disponibles en tu cuenta durante ese tiempo. Puedes descargarlos, imprimirlos y guardarlos en cualquier momento, sin costo.</w:t>
      </w:r>
    </w:p>
    <w:p>
      <w:r>
        <w:pict>
          <v:rect style="width:0;height:1.5pt" o:hralign="center" o:hrstd="t" o:hr="t"/>
        </w:pict>
      </w:r>
    </w:p>
    <w:bookmarkEnd w:id="953"/>
    <w:bookmarkEnd w:id="954"/>
    <w:bookmarkStart w:id="955" w:name="Xf1fd1bbac6273c796db1e752b9f4a2b436f31d7"/>
    <w:p>
      <w:pPr>
        <w:pStyle w:val="Heading1"/>
      </w:pPr>
      <w:r>
        <w:t xml:space="preserve">Anexo II. Correspondencia con el artículo 43 de la Ley 1480 de 2011</w:t>
      </w:r>
    </w:p>
    <w:p>
      <w:pPr>
        <w:pStyle w:val="FirstParagraph"/>
      </w:pPr>
      <w:r>
        <w:t xml:space="preserve">Este anexo hace parte del contrato. Para cada numeral del artículo 43 de la Ley 1480 de 2011, que enumera las cláusulas ineficaces de pleno derecho, indica qué cláusulas de este contrato tratan el tema.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Numeral</w:t>
            </w:r>
          </w:p>
        </w:tc>
        <w:tc>
          <w:tcPr/>
          <w:p>
            <w:pPr>
              <w:pStyle w:val="Compact"/>
              <w:jc w:val="left"/>
            </w:pPr>
            <w:r>
              <w:t xml:space="preserve">Qué prohíbe</w:t>
            </w:r>
          </w:p>
        </w:tc>
        <w:tc>
          <w:tcPr/>
          <w:p>
            <w:pPr>
              <w:pStyle w:val="Compact"/>
              <w:jc w:val="left"/>
            </w:pPr>
            <w:r>
              <w:t xml:space="preserve">Cláusulas de este contrato</w:t>
            </w:r>
          </w:p>
        </w:tc>
      </w:tr>
      <w:tr>
        <w:tc>
          <w:tcPr/>
          <w:p>
            <w:pPr>
              <w:pStyle w:val="Compact"/>
              <w:jc w:val="left"/>
            </w:pPr>
            <w:r>
              <w:t xml:space="preserve">1</w:t>
            </w:r>
          </w:p>
        </w:tc>
        <w:tc>
          <w:tcPr/>
          <w:p>
            <w:pPr>
              <w:pStyle w:val="Compact"/>
              <w:jc w:val="left"/>
            </w:pPr>
            <w:r>
              <w:t xml:space="preserve">Limitar la responsabilidad del proveedor por las obligaciones que la ley le impone</w:t>
            </w:r>
          </w:p>
        </w:tc>
        <w:tc>
          <w:tcPr/>
          <w:p>
            <w:pPr>
              <w:pStyle w:val="Compact"/>
              <w:jc w:val="left"/>
            </w:pPr>
            <w:r>
              <w:t xml:space="preserve">19.5.2 y 19.6</w:t>
            </w:r>
          </w:p>
        </w:tc>
      </w:tr>
      <w:tr>
        <w:tc>
          <w:tcPr/>
          <w:p>
            <w:pPr>
              <w:pStyle w:val="Compact"/>
              <w:jc w:val="left"/>
            </w:pPr>
            <w:r>
              <w:t xml:space="preserve">2</w:t>
            </w:r>
          </w:p>
        </w:tc>
        <w:tc>
          <w:tcPr/>
          <w:p>
            <w:pPr>
              <w:pStyle w:val="Compact"/>
              <w:jc w:val="left"/>
            </w:pPr>
            <w:r>
              <w:t xml:space="preserve">Que el consumidor renuncie a los derechos que la ley le da</w:t>
            </w:r>
          </w:p>
        </w:tc>
        <w:tc>
          <w:tcPr/>
          <w:p>
            <w:pPr>
              <w:pStyle w:val="Compact"/>
              <w:jc w:val="left"/>
            </w:pPr>
            <w:r>
              <w:t xml:space="preserve">3.4, 5.1 y parágrafo segundo de la cláusula 7</w:t>
            </w:r>
          </w:p>
        </w:tc>
      </w:tr>
      <w:tr>
        <w:tc>
          <w:tcPr/>
          <w:p>
            <w:pPr>
              <w:pStyle w:val="Compact"/>
              <w:jc w:val="left"/>
            </w:pPr>
            <w:r>
              <w:t xml:space="preserve">3</w:t>
            </w:r>
          </w:p>
        </w:tc>
        <w:tc>
          <w:tcPr/>
          <w:p>
            <w:pPr>
              <w:pStyle w:val="Compact"/>
              <w:jc w:val="left"/>
            </w:pPr>
            <w:r>
              <w:t xml:space="preserve">Invertir la carga de la prueba en perjuicio del consumidor</w:t>
            </w:r>
          </w:p>
        </w:tc>
        <w:tc>
          <w:tcPr/>
          <w:p>
            <w:pPr>
              <w:pStyle w:val="Compact"/>
              <w:jc w:val="left"/>
            </w:pPr>
            <w:r>
              <w:t xml:space="preserve">Parágrafo de la cláusula 10, parágrafo de la cláusula 12, 14.6 y 20.2</w:t>
            </w:r>
          </w:p>
        </w:tc>
      </w:tr>
      <w:tr>
        <w:tc>
          <w:tcPr/>
          <w:p>
            <w:pPr>
              <w:pStyle w:val="Compact"/>
              <w:jc w:val="left"/>
            </w:pPr>
            <w:r>
              <w:t xml:space="preserve">4</w:t>
            </w:r>
          </w:p>
        </w:tc>
        <w:tc>
          <w:tcPr/>
          <w:p>
            <w:pPr>
              <w:pStyle w:val="Compact"/>
              <w:jc w:val="left"/>
            </w:pPr>
            <w:r>
              <w:t xml:space="preserve">Trasladar al consumidor o a un tercero la responsabilidad del proveedor</w:t>
            </w:r>
          </w:p>
        </w:tc>
        <w:tc>
          <w:tcPr/>
          <w:p>
            <w:pPr>
              <w:pStyle w:val="Compact"/>
              <w:jc w:val="left"/>
            </w:pPr>
            <w:r>
              <w:t xml:space="preserve">9.5, 17.2, 19.7 y 21.2</w:t>
            </w:r>
          </w:p>
        </w:tc>
      </w:tr>
      <w:tr>
        <w:tc>
          <w:tcPr/>
          <w:p>
            <w:pPr>
              <w:pStyle w:val="Compact"/>
              <w:jc w:val="left"/>
            </w:pPr>
            <w:r>
              <w:t xml:space="preserve">5</w:t>
            </w:r>
          </w:p>
        </w:tc>
        <w:tc>
          <w:tcPr/>
          <w:p>
            <w:pPr>
              <w:pStyle w:val="Compact"/>
              <w:jc w:val="left"/>
            </w:pPr>
            <w:r>
              <w:t xml:space="preserve">Que el proveedor no devuelva lo pagado si no ejecuta el objeto en todo o en parte</w:t>
            </w:r>
          </w:p>
        </w:tc>
        <w:tc>
          <w:tcPr/>
          <w:p>
            <w:pPr>
              <w:pStyle w:val="Compact"/>
              <w:jc w:val="left"/>
            </w:pPr>
            <w:r>
              <w:t xml:space="preserve">11.6, 13.2, 25.7, 26.1.2, 26.4, 26.6 y 29.4</w:t>
            </w:r>
          </w:p>
        </w:tc>
      </w:tr>
      <w:tr>
        <w:tc>
          <w:tcPr/>
          <w:p>
            <w:pPr>
              <w:pStyle w:val="Compact"/>
              <w:jc w:val="left"/>
            </w:pPr>
            <w:r>
              <w:t xml:space="preserve">6</w:t>
            </w:r>
          </w:p>
        </w:tc>
        <w:tc>
          <w:tcPr/>
          <w:p>
            <w:pPr>
              <w:pStyle w:val="Compact"/>
              <w:jc w:val="left"/>
            </w:pPr>
            <w:r>
              <w:t xml:space="preserve">Mantener vinculado al consumidor aunque el proveedor no cumpla</w:t>
            </w:r>
          </w:p>
        </w:tc>
        <w:tc>
          <w:tcPr/>
          <w:p>
            <w:pPr>
              <w:pStyle w:val="Compact"/>
              <w:jc w:val="left"/>
            </w:pPr>
            <w:r>
              <w:t xml:space="preserve">26.4 y su parágrafo</w:t>
            </w:r>
          </w:p>
        </w:tc>
      </w:tr>
      <w:tr>
        <w:tc>
          <w:tcPr/>
          <w:p>
            <w:pPr>
              <w:pStyle w:val="Compact"/>
              <w:jc w:val="left"/>
            </w:pPr>
            <w:r>
              <w:t xml:space="preserve">7</w:t>
            </w:r>
          </w:p>
        </w:tc>
        <w:tc>
          <w:tcPr/>
          <w:p>
            <w:pPr>
              <w:pStyle w:val="Compact"/>
              <w:jc w:val="left"/>
            </w:pPr>
            <w:r>
              <w:t xml:space="preserve">Que el proveedor decida por su cuenta si el contrato se cumplió</w:t>
            </w:r>
          </w:p>
        </w:tc>
        <w:tc>
          <w:tcPr/>
          <w:p>
            <w:pPr>
              <w:pStyle w:val="Compact"/>
              <w:jc w:val="left"/>
            </w:pPr>
            <w:r>
              <w:t xml:space="preserve">14.6, 15.3, 20.2 y 29.5</w:t>
            </w:r>
          </w:p>
        </w:tc>
      </w:tr>
      <w:tr>
        <w:tc>
          <w:tcPr/>
          <w:p>
            <w:pPr>
              <w:pStyle w:val="Compact"/>
              <w:jc w:val="left"/>
            </w:pPr>
            <w:r>
              <w:t xml:space="preserve">8</w:t>
            </w:r>
          </w:p>
        </w:tc>
        <w:tc>
          <w:tcPr/>
          <w:p>
            <w:pPr>
              <w:pStyle w:val="Compact"/>
              <w:jc w:val="left"/>
            </w:pPr>
            <w:r>
              <w:t xml:space="preserve">Impedir al consumidor resolver el contrato cuando procede excepcionar el incumplimiento del proveedor</w:t>
            </w:r>
          </w:p>
        </w:tc>
        <w:tc>
          <w:tcPr/>
          <w:p>
            <w:pPr>
              <w:pStyle w:val="Compact"/>
              <w:jc w:val="left"/>
            </w:pPr>
            <w:r>
              <w:t xml:space="preserve">Parágrafo del numeral 26.4</w:t>
            </w:r>
          </w:p>
        </w:tc>
      </w:tr>
      <w:tr>
        <w:tc>
          <w:tcPr/>
          <w:p>
            <w:pPr>
              <w:pStyle w:val="Compact"/>
              <w:jc w:val="left"/>
            </w:pPr>
            <w:r>
              <w:t xml:space="preserve">9</w:t>
            </w:r>
          </w:p>
        </w:tc>
        <w:tc>
          <w:tcPr/>
          <w:p>
            <w:pPr>
              <w:pStyle w:val="Compact"/>
              <w:jc w:val="left"/>
            </w:pPr>
            <w:r>
              <w:t xml:space="preserve">Presumir una manifestación de voluntad del consumidor de la que se deriven pagos u obligaciones</w:t>
            </w:r>
          </w:p>
        </w:tc>
        <w:tc>
          <w:tcPr/>
          <w:p>
            <w:pPr>
              <w:pStyle w:val="Compact"/>
              <w:jc w:val="left"/>
            </w:pPr>
            <w:r>
              <w:t xml:space="preserve">10.2, 18.6 y 25.4</w:t>
            </w:r>
          </w:p>
        </w:tc>
      </w:tr>
      <w:tr>
        <w:tc>
          <w:tcPr/>
          <w:p>
            <w:pPr>
              <w:pStyle w:val="Compact"/>
              <w:jc w:val="left"/>
            </w:pPr>
            <w:r>
              <w:t xml:space="preserve">10</w:t>
            </w:r>
          </w:p>
        </w:tc>
        <w:tc>
          <w:tcPr/>
          <w:p>
            <w:pPr>
              <w:pStyle w:val="Compact"/>
              <w:jc w:val="left"/>
            </w:pPr>
            <w:r>
              <w:t xml:space="preserve">Cobrar intereses no autorizados por la ley</w:t>
            </w:r>
          </w:p>
        </w:tc>
        <w:tc>
          <w:tcPr/>
          <w:p>
            <w:pPr>
              <w:pStyle w:val="Compact"/>
              <w:jc w:val="left"/>
            </w:pPr>
            <w:r>
              <w:t xml:space="preserve">18.7</w:t>
            </w:r>
          </w:p>
        </w:tc>
      </w:tr>
      <w:tr>
        <w:tc>
          <w:tcPr/>
          <w:p>
            <w:pPr>
              <w:pStyle w:val="Compact"/>
              <w:jc w:val="left"/>
            </w:pPr>
            <w:r>
              <w:t xml:space="preserve">11</w:t>
            </w:r>
          </w:p>
        </w:tc>
        <w:tc>
          <w:tcPr/>
          <w:p>
            <w:pPr>
              <w:pStyle w:val="Compact"/>
              <w:jc w:val="left"/>
            </w:pPr>
            <w:r>
              <w:t xml:space="preserve">Exigir para terminar más requisitos que los pedidos para celebrar el contrato</w:t>
            </w:r>
          </w:p>
        </w:tc>
        <w:tc>
          <w:tcPr/>
          <w:p>
            <w:pPr>
              <w:pStyle w:val="Compact"/>
              <w:jc w:val="left"/>
            </w:pPr>
            <w:r>
              <w:t xml:space="preserve">26.1</w:t>
            </w:r>
          </w:p>
        </w:tc>
      </w:tr>
      <w:tr>
        <w:tc>
          <w:tcPr/>
          <w:p>
            <w:pPr>
              <w:pStyle w:val="Compact"/>
              <w:jc w:val="left"/>
            </w:pPr>
            <w:r>
              <w:t xml:space="preserve">12</w:t>
            </w:r>
          </w:p>
        </w:tc>
        <w:tc>
          <w:tcPr/>
          <w:p>
            <w:pPr>
              <w:pStyle w:val="Compact"/>
              <w:jc w:val="left"/>
            </w:pPr>
            <w:r>
              <w:t xml:space="preserve">Obligar al consumidor a acudir al arbitraje</w:t>
            </w:r>
          </w:p>
        </w:tc>
        <w:tc>
          <w:tcPr/>
          <w:p>
            <w:pPr>
              <w:pStyle w:val="Compact"/>
              <w:jc w:val="left"/>
            </w:pPr>
            <w:r>
              <w:t xml:space="preserve">30.3 y parágrafo primero de la cláusula 30</w:t>
            </w:r>
          </w:p>
        </w:tc>
      </w:tr>
      <w:tr>
        <w:tc>
          <w:tcPr/>
          <w:p>
            <w:pPr>
              <w:pStyle w:val="Compact"/>
              <w:jc w:val="left"/>
            </w:pPr>
            <w:r>
              <w:t xml:space="preserve">13</w:t>
            </w:r>
          </w:p>
        </w:tc>
        <w:tc>
          <w:tcPr/>
          <w:p>
            <w:pPr>
              <w:pStyle w:val="Compact"/>
              <w:jc w:val="left"/>
            </w:pPr>
            <w:r>
              <w:t xml:space="preserve">Restringir la facultad de hacer efectivas las garantías directamente ante el productor o proveedor en arrendamiento financiero o de bienes muebles</w:t>
            </w:r>
          </w:p>
        </w:tc>
        <w:tc>
          <w:tcPr/>
          <w:p>
            <w:pPr>
              <w:pStyle w:val="Compact"/>
              <w:jc w:val="left"/>
            </w:pPr>
            <w:r>
              <w:t xml:space="preserve">No aplica: este contrato no es de arrendamiento. La garantía legal se conserva conforme al numeral 19.3</w:t>
            </w:r>
          </w:p>
        </w:tc>
      </w:tr>
      <w:tr>
        <w:tc>
          <w:tcPr/>
          <w:p>
            <w:pPr>
              <w:pStyle w:val="Compact"/>
              <w:jc w:val="left"/>
            </w:pPr>
            <w:r>
              <w:t xml:space="preserve">14</w:t>
            </w:r>
          </w:p>
        </w:tc>
        <w:tc>
          <w:tcPr/>
          <w:p>
            <w:pPr>
              <w:pStyle w:val="Compact"/>
              <w:jc w:val="left"/>
            </w:pPr>
            <w:r>
              <w:t xml:space="preserve">Renovación automática que impida terminar en cualquier momento o que sancione la terminación anticipada</w:t>
            </w:r>
          </w:p>
        </w:tc>
        <w:tc>
          <w:tcPr/>
          <w:p>
            <w:pPr>
              <w:pStyle w:val="Compact"/>
              <w:jc w:val="left"/>
            </w:pPr>
            <w:r>
              <w:t xml:space="preserve">26.2.2 y 26.2.3</w:t>
            </w:r>
          </w:p>
        </w:tc>
      </w:tr>
    </w:tbl>
    <w:bookmarkEnd w:id="955"/>
    <w:sectPr>
      <w:headerReference r:id="rId901" w:type="default"/>
      <w:footerReference r:id="rId902" w:type="defaul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E2E6EB"/>
      </w:pBdr>
      <w:spacing w:before="0" w:after="0"/>
      <w:jc w:val="center"/>
    </w:pPr>
    <w:r>
      <w:rPr>
        <w:rFonts w:asciiTheme="majorHAnsi" w:hAnsiTheme="majorHAnsi"/>
        <w:color w:val="6B6F7A"/>
        <w:sz w:val="16"/>
      </w:rPr>
      <w:t xml:space="preserve">Página </w:t>
    </w:r>
    <w:r>
      <w:rPr>
        <w:rFonts w:asciiTheme="majorHAnsi" w:hAnsiTheme="majorHAnsi"/>
        <w:color w:val="6B6F7A"/>
        <w:sz w:val="16"/>
      </w:rPr>
      <w:fldChar w:fldCharType="begin"/>
    </w:r>
    <w:r>
      <w:instrText>PAGE</w:instrText>
    </w:r>
    <w:r>
      <w:fldChar w:fldCharType="end"/>
    </w:r>
    <w:r>
      <w:rPr>
        <w:rFonts w:asciiTheme="majorHAnsi" w:hAnsiTheme="majorHAnsi"/>
        <w:color w:val="6B6F7A"/>
        <w:sz w:val="16"/>
      </w:rPr>
      <w:t xml:space="preserve"> de </w:t>
    </w:r>
    <w:r>
      <w:rPr>
        <w:rFonts w:asciiTheme="majorHAnsi" w:hAnsiTheme="majorHAnsi"/>
        <w:color w:val="6B6F7A"/>
        <w:sz w:val="16"/>
      </w:rP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6" w:color="E2E6EB"/>
      </w:pBdr>
      <w:spacing w:after="0"/>
      <w:jc w:val="left"/>
    </w:pPr>
    <w:r>
      <w:drawing>
        <wp:inline distT="0" distB="0" distL="0" distR="0">
          <wp:extent cx="613410" cy="118872"/>
          <wp:effectExtent l="0" t="0" r="0" b="0"/>
          <wp:docPr id="101" name="Bedrock Abogados"/>
          <wp:cNvGraphicFramePr>
            <a:graphicFrameLocks noChangeAspect="1"/>
          </wp:cNvGraphicFramePr>
          <a:graphic>
            <a:graphicData uri="http://schemas.openxmlformats.org/drawingml/2006/picture">
              <pic:pic>
                <pic:nvPicPr>
                  <pic:cNvPr id="101" name="Bedrock Abogados"/>
                  <pic:cNvPicPr/>
                </pic:nvPicPr>
                <pic:blipFill>
                  <a:blip r:embed="rIdLogo1"/>
                  <a:stretch>
                    <a:fillRect/>
                  </a:stretch>
                </pic:blipFill>
                <pic:spPr>
                  <a:xfrm>
                    <a:off x="0" y="0"/>
                    <a:ext cx="613410" cy="118872"/>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160" w:line="312"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b/>
      <w:color w:val="1B1D36"/>
      <w:sz w:val="42"/>
      <w:szCs w:val="4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b/>
      <w:color w:val="224D6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heme="majorHAnsi" w:cstheme="majorBidi" w:eastAsiaTheme="majorEastAsia" w:hAnsiTheme="majorHAnsi"/>
      <w:b/>
      <w:color w:val="224D6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yebrow" w:type="paragraph">
    <w:name w:val="Eyebrow"/>
    <w:basedOn w:val="Normal"/>
    <w:qFormat/>
    <w:pPr>
      <w:spacing w:after="60" w:before="0"/>
      <w:jc w:val="left"/>
    </w:pPr>
    <w:rPr>
      <w:rFonts w:asciiTheme="majorHAnsi" w:hAnsiTheme="majorHAnsi"/>
      <w:b/>
      <w:caps/>
      <w:color w:val="224D6E"/>
      <w:spacing w:val="60"/>
      <w:sz w:val="17"/>
      <w:szCs w:val="17"/>
    </w:rPr>
  </w:style>
  <w:style w:customStyle="1" w:styleId="PortadaTitulo" w:type="paragraph">
    <w:name w:val="Portada Titulo"/>
    <w:basedOn w:val="Normal"/>
    <w:qFormat/>
    <w:pPr>
      <w:spacing w:after="200" w:before="120" w:line="288" w:lineRule="auto"/>
      <w:jc w:val="left"/>
    </w:pPr>
    <w:rPr>
      <w:rFonts w:asciiTheme="majorHAnsi" w:hAnsiTheme="majorHAnsi"/>
      <w:b/>
      <w:color w:val="1B1D36"/>
      <w:sz w:val="54"/>
      <w:szCs w:val="54"/>
    </w:rPr>
  </w:style>
  <w:style w:customStyle="1" w:styleId="Lede" w:type="paragraph">
    <w:name w:val="Lede"/>
    <w:basedOn w:val="Normal"/>
    <w:qFormat/>
    <w:pPr>
      <w:spacing w:after="320" w:before="0"/>
      <w:jc w:val="left"/>
    </w:pPr>
    <w:rPr>
      <w:color w:val="000000"/>
      <w:sz w:val="24"/>
      <w:szCs w:val="24"/>
    </w:rPr>
  </w:style>
  <w:style w:customStyle="1" w:styleId="LineaAcento" w:type="paragraph">
    <w:name w:val="Linea Acento"/>
    <w:basedOn w:val="Normal"/>
    <w:qFormat/>
    <w:pPr>
      <w:pBdr>
        <w:bottom w:color="E9CDA5" w:space="0" w:sz="18" w:val="single"/>
      </w:pBdr>
      <w:spacing w:after="200" w:before="0"/>
      <w:ind w:right="7600"/>
    </w:pPr>
    <w:rPr>
      <w:sz w:val="2"/>
      <w:szCs w:val="2"/>
    </w:rPr>
  </w:style>
  <w:style w:customStyle="1" w:styleId="ResumenTitulo" w:type="paragraph">
    <w:name w:val="Resumen Titulo"/>
    <w:basedOn w:val="Normal"/>
    <w:qFormat/>
    <w:pPr>
      <w:spacing w:after="120" w:before="200"/>
      <w:jc w:val="left"/>
    </w:pPr>
    <w:rPr>
      <w:rFonts w:asciiTheme="majorHAnsi" w:hAnsiTheme="majorHAnsi"/>
      <w:b/>
      <w:caps/>
      <w:color w:val="6B6F7A"/>
      <w:spacing w:val="40"/>
      <w:sz w:val="18"/>
      <w:szCs w:val="18"/>
    </w:rPr>
  </w:style>
  <w:style w:customStyle="1" w:styleId="ResumenItem" w:type="paragraph">
    <w:name w:val="Resumen Item"/>
    <w:basedOn w:val="Normal"/>
    <w:qFormat/>
    <w:pPr>
      <w:pBdr>
        <w:left w:color="224D6E" w:space="8" w:sz="18" w:val="single"/>
      </w:pBdr>
      <w:spacing w:after="60" w:before="60"/>
      <w:ind w:left="160"/>
      <w:jc w:val="left"/>
    </w:pPr>
    <w:rPr>
      <w:sz w:val="20"/>
      <w:szCs w:val="20"/>
    </w:rPr>
  </w:style>
  <w:style w:customStyle="1" w:styleId="FinePrint" w:type="paragraph">
    <w:name w:val="Fine Print"/>
    <w:basedOn w:val="Normal"/>
    <w:qFormat/>
    <w:pPr>
      <w:spacing w:after="0" w:before="240"/>
      <w:jc w:val="left"/>
    </w:pPr>
    <w:rPr>
      <w:i/>
      <w:color w:val="6B6F7A"/>
      <w:sz w:val="16"/>
      <w:szCs w:val="16"/>
    </w:rPr>
  </w:style>
  <w:style w:customStyle="1" w:styleId="Campo" w:type="character">
    <w:name w:val="Campo"/>
    <w:qFormat/>
    <w:rPr>
      <w:shd w:color="auto" w:fill="FFF3D6" w:val="clear"/>
      <w:color w:val="6B5218"/>
    </w:rPr>
  </w:style>
  <w:style w:type="paragraph" w:customStyle="1" w:styleId="FinePrint">
    <w:name w:val="FinePrint"/>
    <w:basedOn w:val="BodyText"/>
    <w:qFormat/>
  </w:style>
  <w:style w:type="paragraph" w:customStyle="1" w:styleId="LineaAcento">
    <w:name w:val="LineaAcento"/>
    <w:basedOn w:val="BodyText"/>
    <w:qFormat/>
  </w:style>
  <w:style w:type="paragraph" w:customStyle="1" w:styleId="PortadaTitulo">
    <w:name w:val="PortadaTitulo"/>
    <w:basedOn w:val="BodyText"/>
    <w:qFormat/>
  </w:style>
  <w:style w:type="paragraph" w:customStyle="1" w:styleId="ResumenItem">
    <w:name w:val="ResumenItem"/>
    <w:basedOn w:val="BodyText"/>
    <w:qFormat/>
  </w:style>
  <w:style w:type="paragraph" w:customStyle="1" w:styleId="ResumenTitulo">
    <w:name w:val="ResumenTitul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0" Target="numbering.xml" /><Relationship Type="http://schemas.openxmlformats.org/officeDocument/2006/relationships/styles" Id="rId909" Target="styles.xml" /><Relationship Type="http://schemas.openxmlformats.org/officeDocument/2006/relationships/settings" Id="rId908" Target="settings.xml" /><Relationship Type="http://schemas.openxmlformats.org/officeDocument/2006/relationships/webSettings" Id="rId907" Target="webSettings.xml" /><Relationship Type="http://schemas.openxmlformats.org/officeDocument/2006/relationships/fontTable" Id="rId906" Target="fontTable.xml" /><Relationship Type="http://schemas.openxmlformats.org/officeDocument/2006/relationships/theme" Id="rId905" Target="theme/theme1.xml" /><Relationship Type="http://schemas.openxmlformats.org/officeDocument/2006/relationships/footnotes" Id="rId904" Target="footnotes.xml" /><Relationship Type="http://schemas.openxmlformats.org/officeDocument/2006/relationships/comments" Id="rId903" Target="comments.xml" /><Relationship Id="rId901" Target="header1.xml" Type="http://schemas.openxmlformats.org/officeDocument/2006/relationships/header" /><Relationship Id="rId902" Target="footer1.xml" Type="http://schemas.openxmlformats.org/officeDocument/2006/relationships/footer" /><Relationship Type="http://schemas.openxmlformats.org/officeDocument/2006/relationships/image" Id="rId911" Target="media/rId911.png" /></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Relationship Id="rIdLogo1" Type="http://schemas.openxmlformats.org/officeDocument/2006/relationships/image" Target="media/logo-bedrock-horizont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ontserra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n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2026-09-29T02:15:45Z</dcterms:created>
  <dcterms:modified xsi:type="dcterms:W3CDTF">2026-09-29T02:15:45Z</dcterms:modified>
</cp:coreProperties>
</file>

<file path=docProps/custom.xml><?xml version="1.0" encoding="utf-8"?>
<Properties xmlns="http://schemas.openxmlformats.org/officeDocument/2006/custom-properties" xmlns:vt="http://schemas.openxmlformats.org/officeDocument/2006/docPropsVTypes"/>
</file>