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911.png" ContentType="image/png"/>
  <Override PartName="/word/media/logo-bedrock-horizontal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1691640" cy="329184"/>
            <wp:effectExtent b="0" l="0" r="0" t="0"/>
            <wp:docPr descr="" title="" id="912" name="Picture"/>
            <a:graphic>
              <a:graphicData uri="http://schemas.openxmlformats.org/drawingml/2006/picture">
                <pic:pic>
                  <pic:nvPicPr>
                    <pic:cNvPr descr="logo-bedrock-horizontal.png" id="913" name="Picture"/>
                    <pic:cNvPicPr>
                      <a:picLocks noChangeArrowheads="1" noChangeAspect="1"/>
                    </pic:cNvPicPr>
                  </pic:nvPicPr>
                  <pic:blipFill>
                    <a:blip r:embed="rId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640" cy="329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Eyebrow"/>
      </w:pPr>
      <w:r>
        <w:t xml:space="preserve">CREDIX1 · Política de datos personales · EHOLDINGS FLORIDA S.A.S.</w:t>
      </w:r>
    </w:p>
    <w:p>
      <w:pPr>
        <w:pStyle w:val="PortadaTitulo"/>
      </w:pPr>
      <w:r>
        <w:t xml:space="preserve">Política de tratamiento de datos personales</w:t>
      </w:r>
    </w:p>
    <w:p>
      <w:pPr>
        <w:pStyle w:val="LineaAcento"/>
      </w:pPr>
      <w:r>
        <w:t xml:space="preserve"> </w:t>
      </w:r>
    </w:p>
    <w:p>
      <w:pPr>
        <w:pStyle w:val="Lede"/>
      </w:pPr>
      <w:r>
        <w:t xml:space="preserve">Política de EHOLDINGS FLORIDA S.A.S. para el tratamiento de los datos personales de los clientes de CREDIX1, conforme a la Ley 1581 de 2012 y, para el reporte a centrales de riesgo, a la Ley 1266 de 2008. Se publica y se entrega al cliente antes de la vinculación.</w:t>
      </w:r>
    </w:p>
    <w:tbl>
      <w:tblPr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/>
      </w:tblPr>
      <w:tblGrid>
        <w:gridCol w:w="3000"/>
        <w:gridCol w:w="3000"/>
        <w:gridCol w:w="3000"/>
      </w:tblGrid>
      <w:tr>
        <w:tc>
          <w:tcPr>
            <w:tcW w:w="3000" w:type="dxa"/>
            <w:tcMar>
              <w:right w:w="200" w:type="dxa"/>
            </w:tcMar>
          </w:tcPr>
          <w:p>
            <w:pPr>
              <w:spacing w:before="0" w:after="20"/>
            </w:pPr>
            <w:r>
              <w:rPr>
                <w:rFonts w:asciiTheme="majorHAnsi" w:hAnsiTheme="majorHAnsi"/>
                <w:b/>
                <w:caps/>
                <w:color w:val="6B6F7A"/>
                <w:spacing w:val="20"/>
                <w:sz w:val="15"/>
              </w:rPr>
              <w:t xml:space="preserve">Documento</w:t>
            </w:r>
          </w:p>
          <w:p>
            <w:r>
              <w:rPr>
                <w:color w:val="1B1D36"/>
                <w:sz w:val="20"/>
              </w:rPr>
              <w:t xml:space="preserve">Política</w:t>
            </w:r>
          </w:p>
        </w:tc>
        <w:tc>
          <w:tcPr>
            <w:tcW w:w="3000" w:type="dxa"/>
            <w:tcMar>
              <w:right w:w="200" w:type="dxa"/>
            </w:tcMar>
          </w:tcPr>
          <w:p>
            <w:pPr>
              <w:spacing w:before="0" w:after="20"/>
            </w:pPr>
            <w:r>
              <w:rPr>
                <w:rFonts w:asciiTheme="majorHAnsi" w:hAnsiTheme="majorHAnsi"/>
                <w:b/>
                <w:caps/>
                <w:color w:val="6B6F7A"/>
                <w:spacing w:val="20"/>
                <w:sz w:val="15"/>
              </w:rPr>
              <w:t xml:space="preserve">Fecha</w:t>
            </w:r>
          </w:p>
          <w:p>
            <w:r>
              <w:rPr>
                <w:color w:val="1B1D36"/>
                <w:sz w:val="20"/>
              </w:rPr>
              <w:t xml:space="preserve">5 de octubre de 2026</w:t>
            </w:r>
          </w:p>
        </w:tc>
        <w:tc>
          <w:tcPr>
            <w:tcW w:w="3000" w:type="dxa"/>
            <w:tcMar>
              <w:right w:w="200" w:type="dxa"/>
            </w:tcMar>
          </w:tcPr>
          <w:p>
            <w:pPr>
              <w:spacing w:before="0" w:after="20"/>
            </w:pPr>
            <w:r>
              <w:rPr>
                <w:rFonts w:asciiTheme="majorHAnsi" w:hAnsiTheme="majorHAnsi"/>
                <w:b/>
                <w:caps/>
                <w:color w:val="6B6F7A"/>
                <w:spacing w:val="20"/>
                <w:sz w:val="15"/>
              </w:rPr>
              <w:t xml:space="preserve">Alcance</w:t>
            </w:r>
          </w:p>
          <w:p>
            <w:r>
              <w:rPr>
                <w:color w:val="1B1D36"/>
                <w:sz w:val="20"/>
              </w:rPr>
              <w:t xml:space="preserve">Pública · EHOLDINGS FLORIDA S.A.S.</w:t>
            </w:r>
          </w:p>
        </w:tc>
      </w:tr>
    </w:tbl>
    <w:p>
      <w:pPr>
        <w:pStyle w:val="ResumenTitulo"/>
      </w:pPr>
      <w:r>
        <w:t xml:space="preserve">Resumen del documento</w:t>
      </w:r>
    </w:p>
    <w:p>
      <w:pPr>
        <w:pStyle w:val="ResumenItem"/>
      </w:pPr>
      <w:r>
        <w:t xml:space="preserve">Responsable: EHOLDINGS FLORIDA S.A.S., con domicilio en Envigado, Antioquia.</w:t>
      </w:r>
    </w:p>
    <w:p>
      <w:pPr>
        <w:pStyle w:val="ResumenItem"/>
      </w:pPr>
      <w:r>
        <w:t xml:space="preserve">Dos autorizaciones separadas: tratamiento general y reporte a centrales de riesgo. Los datos biométricos son sensibles y su autorización es voluntaria.</w:t>
      </w:r>
    </w:p>
    <w:p>
      <w:pPr>
        <w:pStyle w:val="ResumenItem"/>
      </w:pPr>
      <w:r>
        <w:t xml:space="preserve">Consultas en diez días hábiles y reclamos en quince, por el canal de la sección 12.</w:t>
      </w:r>
    </w:p>
    <w:p>
      <w:r>
        <w:br w:type="page"/>
      </w:r>
    </w:p>
    <w:bookmarkStart w:id="914" w:name="responsable-del-tratamiento"/>
    <w:p>
      <w:pPr>
        <w:pStyle w:val="Heading1"/>
      </w:pPr>
      <w:r>
        <w:t xml:space="preserve">1. Responsable del tratamiento</w:t>
      </w:r>
    </w:p>
    <w:p>
      <w:pPr>
        <w:pStyle w:val="FirstParagraph"/>
      </w:pPr>
      <w:r>
        <w:t xml:space="preserve">EHOLDINGS FLORIDA S.A.S., sigla CREDIX1 S.A.S., NIT [•], con domicilio en Envigado, Antioquia, es responsable del tratamiento de los datos personales que recolecta para prestar el servicio de línea de crédito rotativa garantizada CREDIX1.</w:t>
      </w:r>
    </w:p>
    <w:bookmarkEnd w:id="914"/>
    <w:bookmarkStart w:id="915" w:name="marco-normativo"/>
    <w:p>
      <w:pPr>
        <w:pStyle w:val="Heading1"/>
      </w:pPr>
      <w:r>
        <w:t xml:space="preserve">2. Marco normativo</w:t>
      </w:r>
    </w:p>
    <w:p>
      <w:pPr>
        <w:pStyle w:val="FirstParagraph"/>
      </w:pPr>
      <w:r>
        <w:t xml:space="preserve">Esta política se expide en cumplimiento de:</w:t>
      </w:r>
    </w:p>
    <w:p>
      <w:pPr>
        <w:pStyle w:val="Compact"/>
        <w:numPr>
          <w:ilvl w:val="0"/>
          <w:numId w:val="1001"/>
        </w:numPr>
      </w:pPr>
      <w:r>
        <w:t xml:space="preserve">Ley 1581 de 2012 y Decreto 1377 de 2013, compilado en el Decreto 1074 de 2015.</w:t>
      </w:r>
    </w:p>
    <w:p>
      <w:pPr>
        <w:pStyle w:val="Compact"/>
        <w:numPr>
          <w:ilvl w:val="0"/>
          <w:numId w:val="1001"/>
        </w:numPr>
      </w:pPr>
      <w:r>
        <w:t xml:space="preserve">Decreto 090 de 2018.</w:t>
      </w:r>
    </w:p>
    <w:p>
      <w:pPr>
        <w:pStyle w:val="Compact"/>
        <w:numPr>
          <w:ilvl w:val="0"/>
          <w:numId w:val="1001"/>
        </w:numPr>
      </w:pPr>
      <w:r>
        <w:t xml:space="preserve">Circular Externa 005 de 2017 de la Superintendencia de Industria y Comercio.</w:t>
      </w:r>
    </w:p>
    <w:p>
      <w:pPr>
        <w:pStyle w:val="Compact"/>
        <w:numPr>
          <w:ilvl w:val="0"/>
          <w:numId w:val="1001"/>
        </w:numPr>
      </w:pPr>
      <w:r>
        <w:t xml:space="preserve">Ley 1266 de 2008, modificada por la Ley 2157 de 2021 y por la Ley 2573 de 2026, en lo relativo al reporte a centrales de riesgo.</w:t>
      </w:r>
    </w:p>
    <w:bookmarkEnd w:id="915"/>
    <w:bookmarkStart w:id="916" w:name="registro-nacional-de-bases-de-datos"/>
    <w:p>
      <w:pPr>
        <w:pStyle w:val="Heading1"/>
      </w:pPr>
      <w:r>
        <w:t xml:space="preserve">3. Registro Nacional de Bases de Datos</w:t>
      </w:r>
    </w:p>
    <w:p>
      <w:pPr>
        <w:pStyle w:val="FirstParagraph"/>
      </w:pPr>
      <w:r>
        <w:t xml:space="preserve">EHOLDINGS evaluó su sujeción al Registro Nacional de Bases de Datos de la Superintendencia de Industria y Comercio conforme al Decreto 090 de 2018, que acota esa obligación a responsables con activos totales superiores a 100.000 UVT.</w:t>
      </w:r>
    </w:p>
    <w:p>
      <w:pPr>
        <w:pStyle w:val="BodyText"/>
      </w:pPr>
      <w:r>
        <w:t xml:space="preserve">Resultado de la evaluación: [ACTIVOS DE EHOLDINGS AL CIERRE DEL EJERCICIO ANTERIOR, CONCLUSIÓN (INSCRITO / NO INSCRITO) Y FECHA DE LA PRÓXIMA REVISIÓN].</w:t>
      </w:r>
    </w:p>
    <w:bookmarkEnd w:id="916"/>
    <w:bookmarkStart w:id="917" w:name="datos-que-se-tratan"/>
    <w:p>
      <w:pPr>
        <w:pStyle w:val="Heading1"/>
      </w:pPr>
      <w:r>
        <w:t xml:space="preserve">4. Datos que se tratan</w:t>
      </w:r>
    </w:p>
    <w:p>
      <w:pPr>
        <w:pStyle w:val="Compact"/>
        <w:numPr>
          <w:ilvl w:val="0"/>
          <w:numId w:val="1002"/>
        </w:numPr>
      </w:pPr>
      <w:r>
        <w:t xml:space="preserve">Identificación y contacto: nombre, cédula, domicilio, teléfono, correo electrónico.</w:t>
      </w:r>
    </w:p>
    <w:p>
      <w:pPr>
        <w:pStyle w:val="Compact"/>
        <w:numPr>
          <w:ilvl w:val="0"/>
          <w:numId w:val="1002"/>
        </w:numPr>
      </w:pPr>
      <w:r>
        <w:t xml:space="preserve">Financieros: ingresos, cuenta en Coopcentral, historial de pago.</w:t>
      </w:r>
    </w:p>
    <w:p>
      <w:pPr>
        <w:pStyle w:val="Compact"/>
        <w:numPr>
          <w:ilvl w:val="0"/>
          <w:numId w:val="1002"/>
        </w:numPr>
      </w:pPr>
      <w:r>
        <w:t xml:space="preserve">Derivados del uso: transacciones, extractos, pagos.</w:t>
      </w:r>
    </w:p>
    <w:p>
      <w:pPr>
        <w:pStyle w:val="Compact"/>
        <w:numPr>
          <w:ilvl w:val="0"/>
          <w:numId w:val="1002"/>
        </w:numPr>
      </w:pPr>
      <w:r>
        <w:t xml:space="preserve">Documentales: copia del documento de identidad y soportes de origen de fondos.</w:t>
      </w:r>
    </w:p>
    <w:p>
      <w:pPr>
        <w:pStyle w:val="Compact"/>
        <w:numPr>
          <w:ilvl w:val="0"/>
          <w:numId w:val="1002"/>
        </w:numPr>
      </w:pPr>
      <w:r>
        <w:t xml:space="preserve">Biométricos: solo si el titular lo autoriza, conforme a la sección 6.</w:t>
      </w:r>
    </w:p>
    <w:bookmarkEnd w:id="917"/>
    <w:bookmarkStart w:id="918" w:name="finalidades-del-tratamiento"/>
    <w:p>
      <w:pPr>
        <w:pStyle w:val="Heading1"/>
      </w:pPr>
      <w:r>
        <w:t xml:space="preserve">5. Finalidades del tratamiento</w:t>
      </w:r>
    </w:p>
    <w:p>
      <w:pPr>
        <w:pStyle w:val="Compact"/>
        <w:numPr>
          <w:ilvl w:val="0"/>
          <w:numId w:val="1003"/>
        </w:numPr>
      </w:pPr>
      <w:r>
        <w:t xml:space="preserve">Vincular al cliente, verificar su identidad y administrar el cupo de la línea de crédito.</w:t>
      </w:r>
    </w:p>
    <w:p>
      <w:pPr>
        <w:pStyle w:val="Compact"/>
        <w:numPr>
          <w:ilvl w:val="0"/>
          <w:numId w:val="1003"/>
        </w:numPr>
      </w:pPr>
      <w:r>
        <w:t xml:space="preserve">Constituir y ejecutar la garantía mobiliaria de control sobre la cuenta del cliente en Coopcentral.</w:t>
      </w:r>
    </w:p>
    <w:p>
      <w:pPr>
        <w:pStyle w:val="Compact"/>
        <w:numPr>
          <w:ilvl w:val="0"/>
          <w:numId w:val="1003"/>
        </w:numPr>
      </w:pPr>
      <w:r>
        <w:t xml:space="preserve">Consultar y reportar el comportamiento de pago del cliente a los operadores de información con los que EHOLDINGS tenga convenio vigente, conforme a la autorización específica de la sección 8.</w:t>
      </w:r>
    </w:p>
    <w:p>
      <w:pPr>
        <w:pStyle w:val="Compact"/>
        <w:numPr>
          <w:ilvl w:val="0"/>
          <w:numId w:val="1003"/>
        </w:numPr>
      </w:pPr>
      <w:r>
        <w:t xml:space="preserve">Cumplir obligaciones legales, contables y tributarias, y de debida diligencia frente al origen de los fondos del cliente.</w:t>
      </w:r>
    </w:p>
    <w:p>
      <w:pPr>
        <w:pStyle w:val="Compact"/>
        <w:numPr>
          <w:ilvl w:val="0"/>
          <w:numId w:val="1003"/>
        </w:numPr>
      </w:pPr>
      <w:r>
        <w:t xml:space="preserve">Gestionar la cobranza por los canales que el cliente autorice.</w:t>
      </w:r>
    </w:p>
    <w:p>
      <w:pPr>
        <w:pStyle w:val="Compact"/>
        <w:numPr>
          <w:ilvl w:val="0"/>
          <w:numId w:val="1003"/>
        </w:numPr>
      </w:pPr>
      <w:r>
        <w:t xml:space="preserve">Atender peticiones, consultas y reclamos del titular.</w:t>
      </w:r>
    </w:p>
    <w:p>
      <w:pPr>
        <w:pStyle w:val="Compact"/>
        <w:numPr>
          <w:ilvl w:val="0"/>
          <w:numId w:val="1003"/>
        </w:numPr>
      </w:pPr>
      <w:r>
        <w:t xml:space="preserve">Prevenir y detectar fraude, incluida la suplantación de identidad.</w:t>
      </w:r>
    </w:p>
    <w:bookmarkEnd w:id="918"/>
    <w:bookmarkStart w:id="919" w:name="datos-sensibles"/>
    <w:p>
      <w:pPr>
        <w:pStyle w:val="Heading1"/>
      </w:pPr>
      <w:r>
        <w:t xml:space="preserve">6. Datos sensibles</w:t>
      </w:r>
    </w:p>
    <w:p>
      <w:pPr>
        <w:pStyle w:val="FirstParagraph"/>
      </w:pPr>
      <w:r>
        <w:t xml:space="preserve">Los datos biométricos son datos sensibles conforme al artículo 5 de la Ley 1581 de 2012. EHOLDINGS los trata solo con la autorización explícita del titular, otorgada en una casilla separada y voluntaria, y con la única finalidad de verificar su identidad en la vinculación y prevenir la suplantación.</w:t>
      </w:r>
    </w:p>
    <w:p>
      <w:pPr>
        <w:pStyle w:val="BodyText"/>
      </w:pPr>
      <w:r>
        <w:t xml:space="preserve">Conforme al artículo 6 del Decreto 1377 de 2013, EHOLDINGS informa al titular que no está obligado a autorizar el tratamiento de sus datos sensibles, y no condiciona la vinculación a esa autorización. Si el titular no la otorga, su identidad se verifica por el siguiente medio alterno: [MEDIO ALTERNO DE VERIFICACIÓN DE IDENTIDAD].</w:t>
      </w:r>
    </w:p>
    <w:bookmarkEnd w:id="919"/>
    <w:bookmarkStart w:id="920" w:name="encargados-del-tratamiento"/>
    <w:p>
      <w:pPr>
        <w:pStyle w:val="Heading1"/>
      </w:pPr>
      <w:r>
        <w:t xml:space="preserve">7. Encargados del tratamiento</w:t>
      </w:r>
    </w:p>
    <w:p>
      <w:pPr>
        <w:pStyle w:val="FirstParagraph"/>
      </w:pPr>
      <w:r>
        <w:t xml:space="preserve">EHOLDINGS suscribe contrato de transmisión, en los términos del artículo 25 del Decreto 1377 de 2013, con cada proveedor que trate datos del cliente por su cuenta: verificación de identidad, infraestructura tecnológica y almacenamiento, mensajería y comunicaciones, y cobranza si se terceriza.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Encargado</w:t>
            </w:r>
          </w:p>
        </w:tc>
        <w:tc>
          <w:tcPr/>
          <w:p>
            <w:pPr>
              <w:pStyle w:val="Compact"/>
            </w:pPr>
            <w:r>
              <w:t xml:space="preserve">Finalidad del encargo</w:t>
            </w:r>
          </w:p>
        </w:tc>
        <w:tc>
          <w:tcPr/>
          <w:p>
            <w:pPr>
              <w:pStyle w:val="Compact"/>
            </w:pPr>
            <w:r>
              <w:t xml:space="preserve">País donde trata los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[•]</w:t>
            </w:r>
          </w:p>
        </w:tc>
        <w:tc>
          <w:tcPr/>
          <w:p>
            <w:pPr>
              <w:pStyle w:val="Compact"/>
            </w:pPr>
            <w:r>
              <w:t xml:space="preserve">[•]</w:t>
            </w:r>
          </w:p>
        </w:tc>
        <w:tc>
          <w:tcPr/>
          <w:p>
            <w:pPr>
              <w:pStyle w:val="Compact"/>
            </w:pPr>
            <w:r>
              <w:t xml:space="preserve">[•]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[•]</w:t>
            </w:r>
          </w:p>
        </w:tc>
        <w:tc>
          <w:tcPr/>
          <w:p>
            <w:pPr>
              <w:pStyle w:val="Compact"/>
            </w:pPr>
            <w:r>
              <w:t xml:space="preserve">[•]</w:t>
            </w:r>
          </w:p>
        </w:tc>
        <w:tc>
          <w:tcPr/>
          <w:p>
            <w:pPr>
              <w:pStyle w:val="Compact"/>
            </w:pPr>
            <w:r>
              <w:t xml:space="preserve">[•]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[•]</w:t>
            </w:r>
          </w:p>
        </w:tc>
        <w:tc>
          <w:tcPr/>
          <w:p>
            <w:pPr>
              <w:pStyle w:val="Compact"/>
            </w:pPr>
            <w:r>
              <w:t xml:space="preserve">[•]</w:t>
            </w:r>
          </w:p>
        </w:tc>
        <w:tc>
          <w:tcPr/>
          <w:p>
            <w:pPr>
              <w:pStyle w:val="Compact"/>
            </w:pPr>
            <w:r>
              <w:t xml:space="preserve">[•]</w:t>
            </w:r>
          </w:p>
        </w:tc>
      </w:tr>
    </w:tbl>
    <w:p>
      <w:pPr>
        <w:pStyle w:val="BodyText"/>
      </w:pPr>
      <w:r>
        <w:t xml:space="preserve">EHOLDINGS mantiene esta tabla actualizada y la publica junto con esta política.</w:t>
      </w:r>
    </w:p>
    <w:bookmarkEnd w:id="920"/>
    <w:bookmarkStart w:id="921" w:name="Xdd4fd267dea46436a3b245f1582a86e026a8606"/>
    <w:p>
      <w:pPr>
        <w:pStyle w:val="Heading1"/>
      </w:pPr>
      <w:r>
        <w:t xml:space="preserve">8. Transmisión y transferencia internacional</w:t>
      </w:r>
    </w:p>
    <w:p>
      <w:pPr>
        <w:pStyle w:val="FirstParagraph"/>
      </w:pPr>
      <w:r>
        <w:t xml:space="preserve">Si un encargado trata datos fuera de Colombia, la transmisión se ampara en el contrato de transmisión de la sección 7, conforme al artículo 24 del Decreto 1377 de 2013, y no requiere autorización adicional del titular.</w:t>
      </w:r>
    </w:p>
    <w:p>
      <w:pPr>
        <w:pStyle w:val="BodyText"/>
      </w:pPr>
      <w:r>
        <w:t xml:space="preserve">EHOLDINGS no transfiere datos personales a terceros responsables ubicados fuera de Colombia. Si llegara a hacerlo, solo lo hará hacia países con nivel adecuado de protección según la Superintendencia de Industria y Comercio, o en alguno de los casos de excepción del artículo 26 de la Ley 1581 de 2012, y actualizará previamente esta política.</w:t>
      </w:r>
    </w:p>
    <w:bookmarkEnd w:id="921"/>
    <w:bookmarkStart w:id="922" w:name="X2372c69bf8083478c778ee87e8b86b74ae37a20"/>
    <w:p>
      <w:pPr>
        <w:pStyle w:val="Heading1"/>
      </w:pPr>
      <w:r>
        <w:t xml:space="preserve">9. Autorización general y autorización específica de reporte a centrales de riesgo</w:t>
      </w:r>
    </w:p>
    <w:p>
      <w:pPr>
        <w:pStyle w:val="FirstParagraph"/>
      </w:pPr>
      <w:r>
        <w:t xml:space="preserve">El tratamiento de los datos personales del cliente requiere su autorización previa, expresa e informada, otorgada en la vinculación (casilla 1 del Anexo 2 del contrato del cliente).</w:t>
      </w:r>
    </w:p>
    <w:p>
      <w:pPr>
        <w:pStyle w:val="BodyText"/>
      </w:pPr>
      <w:r>
        <w:t xml:space="preserve">La consulta y el reporte del comportamiento de pago a los operadores de información requieren una autorización distinta y adicional (casilla 2), conforme a la Ley 1266 de 2008. Ambas se solicitan por separado, nunca en una sola casilla.</w:t>
      </w:r>
    </w:p>
    <w:p>
      <w:pPr>
        <w:pStyle w:val="BodyText"/>
      </w:pPr>
      <w:r>
        <w:t xml:space="preserve">Ambas informan al cliente qué se reporta, con qué periodicidad y las consecuencias de los reportes positivos y negativos. El dato negativo solo se reporta veinte días calendario después del envío de la comunicación previa del artículo 12 de la Ley 1266 de 2008, y con al menos dos comunicaciones en días diferentes cuando la obligación sea igual o inferior al quince por ciento de un salario mínimo legal mensual vigente (artículo 13, parágrafo 2, de la misma ley).</w:t>
      </w:r>
    </w:p>
    <w:p>
      <w:pPr>
        <w:pStyle w:val="BodyText"/>
      </w:pPr>
      <w:r>
        <w:t xml:space="preserve">EHOLDINGS conserva la evidencia de cada autorización: fecha y hora, canal y dispositivo.</w:t>
      </w:r>
    </w:p>
    <w:bookmarkEnd w:id="922"/>
    <w:bookmarkStart w:id="923" w:name="retención-y-supresión-de-la-información"/>
    <w:p>
      <w:pPr>
        <w:pStyle w:val="Heading1"/>
      </w:pPr>
      <w:r>
        <w:t xml:space="preserve">10. Retención y supresión de la información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4356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Categoría de dato</w:t>
            </w:r>
          </w:p>
        </w:tc>
        <w:tc>
          <w:tcPr/>
          <w:p>
            <w:pPr>
              <w:pStyle w:val="Compact"/>
            </w:pPr>
            <w:r>
              <w:t xml:space="preserve">Plazo de conservación</w:t>
            </w:r>
          </w:p>
        </w:tc>
        <w:tc>
          <w:tcPr/>
          <w:p>
            <w:pPr>
              <w:pStyle w:val="Compact"/>
            </w:pPr>
            <w:r>
              <w:t xml:space="preserve">Fundamento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Datos de identificación y vinculación</w:t>
            </w:r>
          </w:p>
        </w:tc>
        <w:tc>
          <w:tcPr/>
          <w:p>
            <w:pPr>
              <w:pStyle w:val="Compact"/>
            </w:pPr>
            <w:r>
              <w:t xml:space="preserve">Vigencia de la relación contractual más el término de prescripción de las acciones legales derivadas</w:t>
            </w:r>
          </w:p>
        </w:tc>
        <w:tc>
          <w:tcPr/>
          <w:p>
            <w:pPr>
              <w:pStyle w:val="Compact"/>
            </w:pPr>
            <w:r>
              <w:t xml:space="preserve">Código de Comercio y Código Civil, prescripción de acciones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Historial de transacciones y pagos</w:t>
            </w:r>
          </w:p>
        </w:tc>
        <w:tc>
          <w:tcPr/>
          <w:p>
            <w:pPr>
              <w:pStyle w:val="Compact"/>
            </w:pPr>
            <w:r>
              <w:t xml:space="preserve">Vigencia de la relación más cinco años</w:t>
            </w:r>
          </w:p>
        </w:tc>
        <w:tc>
          <w:tcPr/>
          <w:p>
            <w:pPr>
              <w:pStyle w:val="Compact"/>
            </w:pPr>
            <w:r>
              <w:t xml:space="preserve">Normas contables y tributarias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Información reportada a centrales de riesgo</w:t>
            </w:r>
          </w:p>
        </w:tc>
        <w:tc>
          <w:tcPr/>
          <w:p>
            <w:pPr>
              <w:pStyle w:val="Compact"/>
            </w:pPr>
            <w:r>
              <w:t xml:space="preserve">El doble del tiempo de la mora, con un máximo de cuatro años desde el pago o la extinción de la obligación; caducidad a los ocho años desde el inicio de la mora</w:t>
            </w:r>
          </w:p>
        </w:tc>
        <w:tc>
          <w:tcPr/>
          <w:p>
            <w:pPr>
              <w:pStyle w:val="Compact"/>
            </w:pPr>
            <w:r>
              <w:t xml:space="preserve">Ley 1266 de 2008, artículo 13, modificado por la Ley 2157 de 2021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Datos biométricos</w:t>
            </w:r>
          </w:p>
        </w:tc>
        <w:tc>
          <w:tcPr/>
          <w:p>
            <w:pPr>
              <w:pStyle w:val="Compact"/>
            </w:pPr>
            <w:r>
              <w:t xml:space="preserve">Vigencia de la relación contractual, salvo requerimiento de autoridad competente</w:t>
            </w:r>
          </w:p>
        </w:tc>
        <w:tc>
          <w:tcPr/>
          <w:p>
            <w:pPr>
              <w:pStyle w:val="Compact"/>
            </w:pPr>
            <w:r>
              <w:t xml:space="preserve">Ley 1581 de 2012</w:t>
            </w:r>
          </w:p>
        </w:tc>
      </w:tr>
    </w:tbl>
    <w:p>
      <w:pPr>
        <w:pStyle w:val="BodyText"/>
      </w:pPr>
      <w:r>
        <w:t xml:space="preserve">Vencido el plazo, EHOLDINGS suprime la información, salvo obligación legal de conservarla por más tiempo.</w:t>
      </w:r>
    </w:p>
    <w:bookmarkEnd w:id="923"/>
    <w:bookmarkStart w:id="924" w:name="X4a14a007b83b5a33d6c6d3671c5df1099467c8e"/>
    <w:p>
      <w:pPr>
        <w:pStyle w:val="Heading1"/>
      </w:pPr>
      <w:r>
        <w:t xml:space="preserve">11. Minimización de datos en canales digitales</w:t>
      </w:r>
    </w:p>
    <w:p>
      <w:pPr>
        <w:pStyle w:val="FirstParagraph"/>
      </w:pPr>
      <w:r>
        <w:t xml:space="preserve">Si la vinculación o el uso del producto ocurren mediante una aplicación móvil, esta no solicita acceso a la agenda de contactos, a la galería de fotos ni a la ubicación del dispositivo, salvo que exista una finalidad específica, informada y necesaria para prestar el servicio.</w:t>
      </w:r>
    </w:p>
    <w:bookmarkEnd w:id="924"/>
    <w:bookmarkStart w:id="926" w:name="derechos-del-titular-y-canal-de-atención"/>
    <w:p>
      <w:pPr>
        <w:pStyle w:val="Heading1"/>
      </w:pPr>
      <w:r>
        <w:t xml:space="preserve">12. Derechos del titular y canal de atención</w:t>
      </w:r>
    </w:p>
    <w:p>
      <w:pPr>
        <w:pStyle w:val="FirstParagraph"/>
      </w:pPr>
      <w:r>
        <w:t xml:space="preserve">El titular puede conocer, actualizar, rectificar y suprimir su información, y revocar la autorización otorgada, en los términos de la Ley 1581 de 2012 y, para la información reportada a centrales de riesgo, de la Ley 1266 de 2008.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Correo electrónico</w:t>
            </w:r>
          </w:p>
        </w:tc>
        <w:tc>
          <w:tcPr/>
          <w:p>
            <w:pPr>
              <w:pStyle w:val="Compact"/>
            </w:pPr>
            <w:r>
              <w:t xml:space="preserve">[CORREO ELECTRÓNICO]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Teléfono</w:t>
            </w:r>
          </w:p>
        </w:tc>
        <w:tc>
          <w:tcPr/>
          <w:p>
            <w:pPr>
              <w:pStyle w:val="Compact"/>
            </w:pPr>
            <w:r>
              <w:t xml:space="preserve">[TELÉFONO]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Dirección física</w:t>
            </w:r>
          </w:p>
        </w:tc>
        <w:tc>
          <w:tcPr/>
          <w:p>
            <w:pPr>
              <w:pStyle w:val="Compact"/>
            </w:pPr>
            <w:r>
              <w:t xml:space="preserve">[DIRECCIÓN]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Horario de atención</w:t>
            </w:r>
          </w:p>
        </w:tc>
        <w:tc>
          <w:tcPr/>
          <w:p>
            <w:pPr>
              <w:pStyle w:val="Compact"/>
            </w:pPr>
            <w:r>
              <w:t xml:space="preserve">[HORARIO]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Área responsable</w:t>
            </w:r>
          </w:p>
        </w:tc>
        <w:tc>
          <w:tcPr/>
          <w:p>
            <w:pPr>
              <w:pStyle w:val="Compact"/>
            </w:pPr>
            <w:r>
              <w:t xml:space="preserve">[ÁREA O CARGO RESPONSABLE]</w:t>
            </w:r>
          </w:p>
        </w:tc>
      </w:tr>
    </w:tbl>
    <w:bookmarkStart w:id="925" w:name="plazos"/>
    <w:p>
      <w:pPr>
        <w:pStyle w:val="Heading2"/>
      </w:pPr>
      <w:r>
        <w:t xml:space="preserve">Plazos</w:t>
      </w:r>
    </w:p>
    <w:p>
      <w:pPr>
        <w:pStyle w:val="Compact"/>
        <w:numPr>
          <w:ilvl w:val="0"/>
          <w:numId w:val="1004"/>
        </w:numPr>
      </w:pPr>
      <w:r>
        <w:t xml:space="preserve">Consultas: diez días hábiles desde su recibo, prorrogables por cinco días hábiles más, informando al titular los motivos antes del vencimiento (artículo 14 de la Ley 1581 de 2012 y artículo 16 de la Ley 1266 de 2008).</w:t>
      </w:r>
    </w:p>
    <w:p>
      <w:pPr>
        <w:pStyle w:val="Compact"/>
        <w:numPr>
          <w:ilvl w:val="0"/>
          <w:numId w:val="1004"/>
        </w:numPr>
      </w:pPr>
      <w:r>
        <w:t xml:space="preserve">Reclamos: quince días hábiles desde el día siguiente a su recibo, prorrogables por ocho días hábiles más, informando al titular los motivos antes del vencimiento (artículo 15 de la Ley 1581 de 2012 y artículo 16 de la Ley 1266 de 2008).</w:t>
      </w:r>
    </w:p>
    <w:p>
      <w:pPr>
        <w:pStyle w:val="FirstParagraph"/>
      </w:pPr>
      <w:r>
        <w:t xml:space="preserve">Mientras un reclamo sobre información reportada esté en trámite, EHOLDINGS solicita a los operadores marcarla con la leyenda</w:t>
      </w:r>
      <w:r>
        <w:t xml:space="preserve"> </w:t>
      </w:r>
      <w:r>
        <w:t xml:space="preserve">“reclamo en trámite”</w:t>
      </w:r>
      <w:r>
        <w:t xml:space="preserve">.</w:t>
      </w:r>
    </w:p>
    <w:bookmarkEnd w:id="925"/>
    <w:bookmarkEnd w:id="926"/>
    <w:bookmarkStart w:id="927" w:name="suplantación-de-identidad"/>
    <w:p>
      <w:pPr>
        <w:pStyle w:val="Heading1"/>
      </w:pPr>
      <w:r>
        <w:t xml:space="preserve">13. Suplantación de identidad</w:t>
      </w:r>
    </w:p>
    <w:p>
      <w:pPr>
        <w:pStyle w:val="FirstParagraph"/>
      </w:pPr>
      <w:r>
        <w:t xml:space="preserve">Si el titular manifiesta ser víctima de falsedad personal y le es exigido el pago de una obligación derivada de esa conducta, puede solicitar la corrección ante EHOLDINGS adjuntando los soportes. Conforme al numeral 7 del artículo 16 de la Ley 1266 de 2008, modificado por el artículo 7 de la Ley 2573 de 2026, EHOLDINGS:</w:t>
      </w:r>
    </w:p>
    <w:p>
      <w:pPr>
        <w:pStyle w:val="Compact"/>
        <w:numPr>
          <w:ilvl w:val="0"/>
          <w:numId w:val="1005"/>
        </w:numPr>
      </w:pPr>
      <w:r>
        <w:t xml:space="preserve">Suspende el reporte cuestionado desde el recibo de la solicitud.</w:t>
      </w:r>
    </w:p>
    <w:p>
      <w:pPr>
        <w:pStyle w:val="Compact"/>
        <w:numPr>
          <w:ilvl w:val="0"/>
          <w:numId w:val="1005"/>
        </w:numPr>
      </w:pPr>
      <w:r>
        <w:t xml:space="preserve">Coteja, dentro de los diez días hábiles siguientes, los documentos usados para adquirir la obligación con los aportados por el titular, que se tienen como prueba sumaria.</w:t>
      </w:r>
    </w:p>
    <w:p>
      <w:pPr>
        <w:pStyle w:val="Compact"/>
        <w:numPr>
          <w:ilvl w:val="0"/>
          <w:numId w:val="1005"/>
        </w:numPr>
      </w:pPr>
      <w:r>
        <w:t xml:space="preserve">Dentro de los diez días hábiles siguientes a ser informada, modifica el dato negativo y cualquier otro dato del comportamiento del titular, para reflejar que la víctima no adquirió la obligación, con la leyenda</w:t>
      </w:r>
      <w:r>
        <w:t xml:space="preserve"> </w:t>
      </w:r>
      <w:r>
        <w:t xml:space="preserve">“Víctima de Falsedad Personal”</w:t>
      </w:r>
      <w:r>
        <w:t xml:space="preserve">. Esa leyenda no es un reporte negativo.</w:t>
      </w:r>
    </w:p>
    <w:p>
      <w:pPr>
        <w:pStyle w:val="Compact"/>
        <w:numPr>
          <w:ilvl w:val="0"/>
          <w:numId w:val="1005"/>
        </w:numPr>
      </w:pPr>
      <w:r>
        <w:t xml:space="preserve">Denuncia la estafa de la que haya podido ser víctima cuando encuentre discrepancias entre los documentos.</w:t>
      </w:r>
    </w:p>
    <w:bookmarkEnd w:id="927"/>
    <w:bookmarkStart w:id="928" w:name="seguridad-de-la-información"/>
    <w:p>
      <w:pPr>
        <w:pStyle w:val="Heading1"/>
      </w:pPr>
      <w:r>
        <w:t xml:space="preserve">14. Seguridad de la información</w:t>
      </w:r>
    </w:p>
    <w:p>
      <w:pPr>
        <w:pStyle w:val="FirstParagraph"/>
      </w:pPr>
      <w:r>
        <w:t xml:space="preserve">EHOLDINGS aplica medidas técnicas, administrativas y organizacionales razonables para proteger los datos personales que trata, en proporción a la sensibilidad de la información financiera y biométrica.</w:t>
      </w:r>
    </w:p>
    <w:bookmarkEnd w:id="928"/>
    <w:bookmarkStart w:id="929" w:name="vigencia-y-modificaciones"/>
    <w:p>
      <w:pPr>
        <w:pStyle w:val="Heading1"/>
      </w:pPr>
      <w:r>
        <w:t xml:space="preserve">15. Vigencia y modificaciones</w:t>
      </w:r>
    </w:p>
    <w:p>
      <w:pPr>
        <w:pStyle w:val="FirstParagraph"/>
      </w:pPr>
      <w:r>
        <w:t xml:space="preserve">Esta política rige desde su publicación y se actualiza cuando cambien la normativa aplicable o las finalidades del tratamiento. Los cambios sustanciales se informan al titular antes de su entrada en vigencia.</w:t>
      </w:r>
    </w:p>
    <w:p>
      <w:pPr>
        <w:pStyle w:val="BodyText"/>
      </w:pPr>
      <w:r>
        <w:t xml:space="preserve">Fecha de publicación: [FECHA DE PUBLICACIÓN].</w:t>
      </w:r>
    </w:p>
    <w:bookmarkEnd w:id="929"/>
    <w:bookmarkStart w:id="930" w:name="control-de-versiones"/>
    <w:p>
      <w:pPr>
        <w:pStyle w:val="Heading1"/>
      </w:pPr>
      <w:r>
        <w:t xml:space="preserve">Control de versiones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080"/>
        <w:gridCol w:w="4500"/>
        <w:gridCol w:w="1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Cambios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12 de septiembre de 2026</w:t>
            </w:r>
          </w:p>
        </w:tc>
        <w:tc>
          <w:tcPr/>
          <w:p>
            <w:pPr>
              <w:pStyle w:val="Compact"/>
            </w:pPr>
            <w:r>
              <w:t xml:space="preserve">Primera versión</w:t>
            </w:r>
          </w:p>
        </w:tc>
        <w:tc>
          <w:tcPr/>
          <w:p>
            <w:pPr>
              <w:pStyle w:val="Compact"/>
            </w:pPr>
            <w:r>
              <w:t xml:space="preserve">Reemplazada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5 de octubre de 2026</w:t>
            </w:r>
          </w:p>
        </w:tc>
        <w:tc>
          <w:tcPr/>
          <w:p>
            <w:pPr>
              <w:pStyle w:val="Compact"/>
            </w:pPr>
            <w:r>
              <w:t xml:space="preserve">Nueva sección 6 de datos sensibles: la autorización de biométricos es voluntaria y existe un medio alterno de verificación (artículo 5 de la Ley 1581 de 2012 y artículo 6 del Decreto 1377 de 2013). Se resuelve la contradicción entre la lista de encargados en blanco y la afirmación de que no hay tratamiento fuera de Colombia (secciones 7 y 8). Tabla de datos del canal de atención. Prórroga de cinco días hábiles para consultas. Protocolo de suplantación ajustado a la Ley 2573 de 2026. Remisión a las casillas del contrato del cliente</w:t>
            </w:r>
          </w:p>
        </w:tc>
        <w:tc>
          <w:tcPr/>
          <w:p>
            <w:pPr>
              <w:pStyle w:val="Compact"/>
            </w:pPr>
            <w:r>
              <w:t xml:space="preserve">Vigente</w:t>
            </w:r>
          </w:p>
        </w:tc>
      </w:tr>
    </w:tbl>
    <w:bookmarkEnd w:id="930"/>
    <w:sectPr>
      <w:headerReference r:id="rId901" w:type="default"/>
      <w:footerReference r:id="rId902" w:type="default"/>
      <w:pgSz w:h="15840" w:w="12240"/>
      <w:pgMar w:bottom="1440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4" w:color="E2E6EB"/>
      </w:pBdr>
      <w:spacing w:before="0" w:after="0"/>
      <w:jc w:val="center"/>
    </w:pPr>
    <w:r>
      <w:rPr>
        <w:rFonts w:asciiTheme="majorHAnsi" w:hAnsiTheme="majorHAnsi"/>
        <w:color w:val="6B6F7A"/>
        <w:sz w:val="16"/>
      </w:rPr>
      <w:t xml:space="preserve">Página </w:t>
    </w:r>
    <w:r>
      <w:rPr>
        <w:rFonts w:asciiTheme="majorHAnsi" w:hAnsiTheme="majorHAnsi"/>
        <w:color w:val="6B6F7A"/>
        <w:sz w:val="16"/>
      </w:rPr>
      <w:fldChar w:fldCharType="begin"/>
    </w:r>
    <w:r>
      <w:instrText>PAGE</w:instrText>
    </w:r>
    <w:r>
      <w:fldChar w:fldCharType="end"/>
    </w:r>
    <w:r>
      <w:rPr>
        <w:rFonts w:asciiTheme="majorHAnsi" w:hAnsiTheme="majorHAnsi"/>
        <w:color w:val="6B6F7A"/>
        <w:sz w:val="16"/>
      </w:rPr>
      <w:t xml:space="preserve"> de </w:t>
    </w:r>
    <w:r>
      <w:rPr>
        <w:rFonts w:asciiTheme="majorHAnsi" w:hAnsiTheme="majorHAnsi"/>
        <w:color w:val="6B6F7A"/>
        <w:sz w:val="16"/>
      </w:rPr>
      <w:fldChar w:fldCharType="begin"/>
    </w:r>
    <w:r>
      <w:instrText>NUMPAGES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bottom w:val="single" w:sz="4" w:space="6" w:color="E2E6EB"/>
      </w:pBdr>
      <w:spacing w:after="0"/>
      <w:jc w:val="left"/>
    </w:pPr>
    <w:r>
      <w:drawing>
        <wp:inline distT="0" distB="0" distL="0" distR="0">
          <wp:extent cx="613410" cy="118872"/>
          <wp:effectExtent l="0" t="0" r="0" b="0"/>
          <wp:docPr id="101" name="Bedrock Abogados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1" name="Bedrock Abogados"/>
                  <pic:cNvPicPr/>
                </pic:nvPicPr>
                <pic:blipFill>
                  <a:blip r:embed="rIdLogo1"/>
                  <a:stretch>
                    <a:fillRect/>
                  </a:stretch>
                </pic:blipFill>
                <pic:spPr>
                  <a:xfrm>
                    <a:off x="0" y="0"/>
                    <a:ext cx="613410" cy="1188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1"/>
        <w:szCs w:val="21"/>
        <w:lang w:bidi="ar-SA" w:eastAsia="zh-CN" w:val="en-US"/>
      </w:rPr>
    </w:rPrDefault>
    <w:pPrDefault>
      <w:pPr>
        <w:spacing w:after="160" w:line="312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  <w:jc w:val="left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jc w:val="left"/>
      <w:outlineLvl w:val="0"/>
    </w:pPr>
    <w:rPr>
      <w:rFonts w:asciiTheme="majorHAnsi" w:cstheme="majorBidi" w:eastAsiaTheme="majorEastAsia" w:hAnsiTheme="majorHAnsi"/>
      <w:b/>
      <w:color w:val="1B1D36"/>
      <w:sz w:val="42"/>
      <w:szCs w:val="4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jc w:val="left"/>
      <w:outlineLvl w:val="1"/>
    </w:pPr>
    <w:rPr>
      <w:rFonts w:asciiTheme="majorHAnsi" w:cstheme="majorBidi" w:eastAsiaTheme="majorEastAsia" w:hAnsiTheme="majorHAnsi"/>
      <w:b/>
      <w:color w:val="224D6E"/>
      <w:sz w:val="30"/>
      <w:szCs w:val="30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jc w:val="left"/>
      <w:outlineLvl w:val="2"/>
    </w:pPr>
    <w:rPr>
      <w:rFonts w:asciiTheme="majorHAnsi" w:cstheme="majorBidi" w:eastAsiaTheme="majorEastAsia" w:hAnsiTheme="majorHAnsi"/>
      <w:b/>
      <w:color w:val="224D6E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Eyebrow" w:type="paragraph">
    <w:name w:val="Eyebrow"/>
    <w:basedOn w:val="Normal"/>
    <w:qFormat/>
    <w:pPr>
      <w:spacing w:after="60" w:before="0"/>
      <w:jc w:val="left"/>
    </w:pPr>
    <w:rPr>
      <w:rFonts w:asciiTheme="majorHAnsi" w:hAnsiTheme="majorHAnsi"/>
      <w:b/>
      <w:caps/>
      <w:color w:val="224D6E"/>
      <w:spacing w:val="60"/>
      <w:sz w:val="17"/>
      <w:szCs w:val="17"/>
    </w:rPr>
  </w:style>
  <w:style w:customStyle="1" w:styleId="PortadaTitulo" w:type="paragraph">
    <w:name w:val="Portada Titulo"/>
    <w:basedOn w:val="Normal"/>
    <w:qFormat/>
    <w:pPr>
      <w:spacing w:after="200" w:before="120" w:line="288" w:lineRule="auto"/>
      <w:jc w:val="left"/>
    </w:pPr>
    <w:rPr>
      <w:rFonts w:asciiTheme="majorHAnsi" w:hAnsiTheme="majorHAnsi"/>
      <w:b/>
      <w:color w:val="1B1D36"/>
      <w:sz w:val="54"/>
      <w:szCs w:val="54"/>
    </w:rPr>
  </w:style>
  <w:style w:customStyle="1" w:styleId="Lede" w:type="paragraph">
    <w:name w:val="Lede"/>
    <w:basedOn w:val="Normal"/>
    <w:qFormat/>
    <w:pPr>
      <w:spacing w:after="320" w:before="0"/>
      <w:jc w:val="left"/>
    </w:pPr>
    <w:rPr>
      <w:color w:val="000000"/>
      <w:sz w:val="24"/>
      <w:szCs w:val="24"/>
    </w:rPr>
  </w:style>
  <w:style w:customStyle="1" w:styleId="LineaAcento" w:type="paragraph">
    <w:name w:val="Linea Acento"/>
    <w:basedOn w:val="Normal"/>
    <w:qFormat/>
    <w:pPr>
      <w:pBdr>
        <w:bottom w:color="E9CDA5" w:space="0" w:sz="18" w:val="single"/>
      </w:pBdr>
      <w:spacing w:after="200" w:before="0"/>
      <w:ind w:right="7600"/>
    </w:pPr>
    <w:rPr>
      <w:sz w:val="2"/>
      <w:szCs w:val="2"/>
    </w:rPr>
  </w:style>
  <w:style w:customStyle="1" w:styleId="ResumenTitulo" w:type="paragraph">
    <w:name w:val="Resumen Titulo"/>
    <w:basedOn w:val="Normal"/>
    <w:qFormat/>
    <w:pPr>
      <w:spacing w:after="120" w:before="200"/>
      <w:jc w:val="left"/>
    </w:pPr>
    <w:rPr>
      <w:rFonts w:asciiTheme="majorHAnsi" w:hAnsiTheme="majorHAnsi"/>
      <w:b/>
      <w:caps/>
      <w:color w:val="6B6F7A"/>
      <w:spacing w:val="40"/>
      <w:sz w:val="18"/>
      <w:szCs w:val="18"/>
    </w:rPr>
  </w:style>
  <w:style w:customStyle="1" w:styleId="ResumenItem" w:type="paragraph">
    <w:name w:val="Resumen Item"/>
    <w:basedOn w:val="Normal"/>
    <w:qFormat/>
    <w:pPr>
      <w:pBdr>
        <w:left w:color="224D6E" w:space="8" w:sz="18" w:val="single"/>
      </w:pBdr>
      <w:spacing w:after="60" w:before="60"/>
      <w:ind w:left="160"/>
      <w:jc w:val="left"/>
    </w:pPr>
    <w:rPr>
      <w:sz w:val="20"/>
      <w:szCs w:val="20"/>
    </w:rPr>
  </w:style>
  <w:style w:customStyle="1" w:styleId="FinePrint" w:type="paragraph">
    <w:name w:val="Fine Print"/>
    <w:basedOn w:val="Normal"/>
    <w:qFormat/>
    <w:pPr>
      <w:spacing w:after="0" w:before="240"/>
      <w:jc w:val="left"/>
    </w:pPr>
    <w:rPr>
      <w:i/>
      <w:color w:val="6B6F7A"/>
      <w:sz w:val="16"/>
      <w:szCs w:val="16"/>
    </w:rPr>
  </w:style>
  <w:style w:customStyle="1" w:styleId="Campo" w:type="character">
    <w:name w:val="Campo"/>
    <w:qFormat/>
    <w:rPr>
      <w:shd w:color="auto" w:fill="FFF3D6" w:val="clear"/>
      <w:color w:val="6B5218"/>
    </w:rPr>
  </w:style>
  <w:style w:type="paragraph" w:customStyle="1" w:styleId="LineaAcento">
    <w:name w:val="LineaAcento"/>
    <w:basedOn w:val="BodyText"/>
    <w:qFormat/>
  </w:style>
  <w:style w:type="paragraph" w:customStyle="1" w:styleId="PortadaTitulo">
    <w:name w:val="PortadaTitulo"/>
    <w:basedOn w:val="BodyText"/>
    <w:qFormat/>
  </w:style>
  <w:style w:type="paragraph" w:customStyle="1" w:styleId="ResumenItem">
    <w:name w:val="ResumenItem"/>
    <w:basedOn w:val="BodyText"/>
    <w:qFormat/>
  </w:style>
  <w:style w:type="paragraph" w:customStyle="1" w:styleId="ResumenTitulo">
    <w:name w:val="ResumenTitulo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910" Target="numbering.xml" /><Relationship Type="http://schemas.openxmlformats.org/officeDocument/2006/relationships/styles" Id="rId909" Target="styles.xml" /><Relationship Type="http://schemas.openxmlformats.org/officeDocument/2006/relationships/settings" Id="rId908" Target="settings.xml" /><Relationship Type="http://schemas.openxmlformats.org/officeDocument/2006/relationships/webSettings" Id="rId907" Target="webSettings.xml" /><Relationship Type="http://schemas.openxmlformats.org/officeDocument/2006/relationships/fontTable" Id="rId906" Target="fontTable.xml" /><Relationship Type="http://schemas.openxmlformats.org/officeDocument/2006/relationships/theme" Id="rId905" Target="theme/theme1.xml" /><Relationship Type="http://schemas.openxmlformats.org/officeDocument/2006/relationships/footnotes" Id="rId904" Target="footnotes.xml" /><Relationship Type="http://schemas.openxmlformats.org/officeDocument/2006/relationships/comments" Id="rId903" Target="comments.xml" /><Relationship Id="rId901" Target="header1.xml" Type="http://schemas.openxmlformats.org/officeDocument/2006/relationships/header" /><Relationship Id="rId902" Target="footer1.xml" Type="http://schemas.openxmlformats.org/officeDocument/2006/relationships/footer" /><Relationship Type="http://schemas.openxmlformats.org/officeDocument/2006/relationships/image" Id="rId911" Target="media/rId911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<Relationships xmlns="http://schemas.openxmlformats.org/package/2006/relationships"><Relationship Id="rIdLogo1" Type="http://schemas.openxmlformats.org/officeDocument/2006/relationships/image" Target="media/logo-bedrock-horizontal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Montserra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n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2026-10-05T19:46:49Z</dcterms:created>
  <dcterms:modified xsi:type="dcterms:W3CDTF">2026-10-05T19:46:49Z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