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horizontal.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horizontal.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CREDIX1 · Contrato con aliado · Emisor autorizado y EHOLDINGS FLORIDA S.A.S.</w:t>
      </w:r>
    </w:p>
    <w:p>
      <w:pPr>
        <w:pStyle w:val="PortadaTitulo"/>
      </w:pPr>
      <w:r>
        <w:t xml:space="preserve">Contrato de emisión, patrocinio de BIN y procesamiento</w:t>
      </w:r>
    </w:p>
    <w:p>
      <w:pPr>
        <w:pStyle w:val="LineaAcento"/>
      </w:pPr>
      <w:r>
        <w:t xml:space="preserve"> </w:t>
      </w:r>
    </w:p>
    <w:p>
      <w:pPr>
        <w:pStyle w:val="Lede"/>
      </w:pPr>
      <w:r>
        <w:t xml:space="preserve">Contrato entre EHOLDINGS y el emisor autorizado que delimita quién emite el instrumento de pago, quién otorga el crédito, cómo se autorizan las transacciones y cómo se tramitan las disputas, conforme al Decreto 1692 de 2020.</w:t>
      </w:r>
    </w:p>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blGrid>
        <w:gridCol w:w="3000"/>
        <w:gridCol w:w="3000"/>
        <w:gridCol w:w="3000"/>
      </w:tblGrid>
      <w:tr>
        <w:tc>
          <w:tcPr>
            <w:tcW w:w="3000" w:type="dxa"/>
            <w:tcMar>
              <w:right w:w="200" w:type="dxa"/>
            </w:tcMar>
          </w:tcPr>
          <w:p>
            <w:pPr>
              <w:spacing w:before="0" w:after="20"/>
            </w:pPr>
            <w:r>
              <w:rPr>
                <w:rFonts w:asciiTheme="majorHAnsi" w:hAnsiTheme="majorHAnsi"/>
                <w:b/>
                <w:caps/>
                <w:color w:val="6B6F7A"/>
                <w:spacing w:val="20"/>
                <w:sz w:val="15"/>
              </w:rPr>
              <w:t xml:space="preserve">Documento</w:t>
            </w:r>
          </w:p>
          <w:p>
            <w:r>
              <w:rPr>
                <w:color w:val="1B1D36"/>
                <w:sz w:val="20"/>
              </w:rPr>
              <w:t xml:space="preserve">Contrato</w:t>
            </w:r>
          </w:p>
        </w:tc>
        <w:tc>
          <w:tcPr>
            <w:tcW w:w="3000" w:type="dxa"/>
            <w:tcMar>
              <w:right w:w="200" w:type="dxa"/>
            </w:tcMar>
          </w:tcPr>
          <w:p>
            <w:pPr>
              <w:spacing w:before="0" w:after="20"/>
            </w:pPr>
            <w:r>
              <w:rPr>
                <w:rFonts w:asciiTheme="majorHAnsi" w:hAnsiTheme="majorHAnsi"/>
                <w:b/>
                <w:caps/>
                <w:color w:val="6B6F7A"/>
                <w:spacing w:val="20"/>
                <w:sz w:val="15"/>
              </w:rPr>
              <w:t xml:space="preserve">Fecha</w:t>
            </w:r>
          </w:p>
          <w:p>
            <w:r>
              <w:rPr>
                <w:color w:val="1B1D36"/>
                <w:sz w:val="20"/>
              </w:rPr>
              <w:t xml:space="preserve">5 de octubre de 2026</w:t>
            </w:r>
          </w:p>
        </w:tc>
        <w:tc>
          <w:tcPr>
            <w:tcW w:w="3000" w:type="dxa"/>
            <w:tcMar>
              <w:right w:w="200" w:type="dxa"/>
            </w:tcMar>
          </w:tcPr>
          <w:p>
            <w:pPr>
              <w:spacing w:before="0" w:after="20"/>
            </w:pPr>
            <w:r>
              <w:rPr>
                <w:rFonts w:asciiTheme="majorHAnsi" w:hAnsiTheme="majorHAnsi"/>
                <w:b/>
                <w:caps/>
                <w:color w:val="6B6F7A"/>
                <w:spacing w:val="20"/>
                <w:sz w:val="15"/>
              </w:rPr>
              <w:t xml:space="preserve">Alcance</w:t>
            </w:r>
          </w:p>
          <w:p>
            <w:r>
              <w:rPr>
                <w:color w:val="1B1D36"/>
                <w:sz w:val="20"/>
              </w:rPr>
              <w:t xml:space="preserve">Confidencial · Emisor y EHOLDINGS</w:t>
            </w:r>
          </w:p>
        </w:tc>
      </w:tr>
    </w:tbl>
    <w:p>
      <w:pPr>
        <w:pStyle w:val="ResumenTitulo"/>
      </w:pPr>
      <w:r>
        <w:t xml:space="preserve">Resumen del documento</w:t>
      </w:r>
    </w:p>
    <w:p>
      <w:pPr>
        <w:pStyle w:val="ResumenItem"/>
      </w:pPr>
      <w:r>
        <w:t xml:space="preserve">El emisor emite la tarjeta, opera el BIN y procesa las transacciones dentro de la franquicia.</w:t>
      </w:r>
    </w:p>
    <w:p>
      <w:pPr>
        <w:pStyle w:val="ResumenItem"/>
      </w:pPr>
      <w:r>
        <w:t xml:space="preserve">EHOLDINGS origina al cliente, otorga el cupo, administra la garantía y reporta a centrales de riesgo. El riesgo de crédito es solo de EHOLDINGS.</w:t>
      </w:r>
    </w:p>
    <w:p>
      <w:pPr>
        <w:pStyle w:val="ResumenItem"/>
      </w:pPr>
      <w:r>
        <w:t xml:space="preserve">Quedan por acordar con el emisor los anexos 1 a 3: disputas, actualización del cupo y remuneración.</w:t>
      </w:r>
    </w:p>
    <w:p>
      <w:r>
        <w:br w:type="page"/>
      </w:r>
    </w:p>
    <w:bookmarkStart w:id="914" w:name="identificación-de-las-partes"/>
    <w:p>
      <w:pPr>
        <w:pStyle w:val="Heading1"/>
      </w:pPr>
      <w:r>
        <w:t xml:space="preserve">Identificación de las partes</w:t>
      </w:r>
    </w:p>
    <w:tbl>
      <w:tblPr>
        <w:tblStyle w:val="Table"/>
        <w:tblW w:type="pct" w:w="5000"/>
        <w:tblLayout w:type="fixed"/>
        <w:tblLook w:firstRow="1" w:lastRow="0" w:firstColumn="0" w:lastColumn="0" w:noHBand="0" w:noVBand="0" w:val="0020"/>
      </w:tblPr>
      <w:tblGrid>
        <w:gridCol w:w="1320"/>
        <w:gridCol w:w="4092"/>
        <w:gridCol w:w="2508"/>
      </w:tblGrid>
      <w:tr>
        <w:trPr>
          <w:tblHeader w:val="on"/>
        </w:trPr>
        <w:tc>
          <w:tcPr/>
          <w:p>
            <w:pPr>
              <w:pStyle w:val="Compact"/>
            </w:pPr>
            <w:r>
              <w:t xml:space="preserve">Campo</w:t>
            </w:r>
          </w:p>
        </w:tc>
        <w:tc>
          <w:tcPr/>
          <w:p>
            <w:pPr>
              <w:pStyle w:val="Compact"/>
            </w:pPr>
            <w:r>
              <w:t xml:space="preserve">Emisor</w:t>
            </w:r>
          </w:p>
        </w:tc>
        <w:tc>
          <w:tcPr/>
          <w:p>
            <w:pPr>
              <w:pStyle w:val="Compact"/>
            </w:pPr>
            <w:r>
              <w:t xml:space="preserve">EHOLDINGS</w:t>
            </w:r>
          </w:p>
        </w:tc>
      </w:tr>
      <w:tr>
        <w:tc>
          <w:tcPr/>
          <w:p>
            <w:pPr>
              <w:pStyle w:val="Compact"/>
            </w:pPr>
            <w:r>
              <w:t xml:space="preserve">Razón social</w:t>
            </w:r>
          </w:p>
        </w:tc>
        <w:tc>
          <w:tcPr/>
          <w:p>
            <w:pPr>
              <w:pStyle w:val="Compact"/>
            </w:pPr>
            <w:r>
              <w:t xml:space="preserve">[EMISOR AUTORIZADO]</w:t>
            </w:r>
          </w:p>
        </w:tc>
        <w:tc>
          <w:tcPr/>
          <w:p>
            <w:pPr>
              <w:pStyle w:val="Compact"/>
            </w:pPr>
            <w:r>
              <w:t xml:space="preserve">EHOLDINGS FLORIDA S.A.S., sigla CREDIX1 S.A.S.</w:t>
            </w:r>
          </w:p>
        </w:tc>
      </w:tr>
      <w:tr>
        <w:tc>
          <w:tcPr/>
          <w:p>
            <w:pPr>
              <w:pStyle w:val="Compact"/>
            </w:pPr>
            <w:r>
              <w:t xml:space="preserve">NIT</w:t>
            </w:r>
          </w:p>
        </w:tc>
        <w:tc>
          <w:tcPr/>
          <w:p>
            <w:pPr>
              <w:pStyle w:val="Compact"/>
            </w:pPr>
            <w:r>
              <w:t xml:space="preserve">[•]</w:t>
            </w:r>
          </w:p>
        </w:tc>
        <w:tc>
          <w:tcPr/>
          <w:p>
            <w:pPr>
              <w:pStyle w:val="Compact"/>
            </w:pPr>
            <w:r>
              <w:t xml:space="preserve">[•]</w:t>
            </w:r>
          </w:p>
        </w:tc>
      </w:tr>
      <w:tr>
        <w:tc>
          <w:tcPr/>
          <w:p>
            <w:pPr>
              <w:pStyle w:val="Compact"/>
            </w:pPr>
            <w:r>
              <w:t xml:space="preserve">Representante legal</w:t>
            </w:r>
          </w:p>
        </w:tc>
        <w:tc>
          <w:tcPr/>
          <w:p>
            <w:pPr>
              <w:pStyle w:val="Compact"/>
            </w:pPr>
            <w:r>
              <w:t xml:space="preserve">[•]</w:t>
            </w:r>
          </w:p>
        </w:tc>
        <w:tc>
          <w:tcPr/>
          <w:p>
            <w:pPr>
              <w:pStyle w:val="Compact"/>
            </w:pPr>
            <w:r>
              <w:t xml:space="preserve">[•]</w:t>
            </w:r>
          </w:p>
        </w:tc>
      </w:tr>
      <w:tr>
        <w:tc>
          <w:tcPr/>
          <w:p>
            <w:pPr>
              <w:pStyle w:val="Compact"/>
            </w:pPr>
            <w:r>
              <w:t xml:space="preserve">Domicilio</w:t>
            </w:r>
          </w:p>
        </w:tc>
        <w:tc>
          <w:tcPr/>
          <w:p>
            <w:pPr>
              <w:pStyle w:val="Compact"/>
            </w:pPr>
            <w:r>
              <w:t xml:space="preserve">[•]</w:t>
            </w:r>
          </w:p>
        </w:tc>
        <w:tc>
          <w:tcPr/>
          <w:p>
            <w:pPr>
              <w:pStyle w:val="Compact"/>
            </w:pPr>
            <w:r>
              <w:t xml:space="preserve">Envigado, Antioquia</w:t>
            </w:r>
          </w:p>
        </w:tc>
      </w:tr>
      <w:tr>
        <w:tc>
          <w:tcPr/>
          <w:p>
            <w:pPr>
              <w:pStyle w:val="Compact"/>
            </w:pPr>
            <w:r>
              <w:t xml:space="preserve">Calidad</w:t>
            </w:r>
          </w:p>
        </w:tc>
        <w:tc>
          <w:tcPr/>
          <w:p>
            <w:pPr>
              <w:pStyle w:val="Compact"/>
            </w:pPr>
            <w:r>
              <w:t xml:space="preserve">Participante autorizado por [ADMINISTRADOR DEL SISTEMA DE PAGO DE BAJO VALOR] dentro de la franquicia [VISA / MASTERCARD / OTRA]</w:t>
            </w:r>
          </w:p>
        </w:tc>
        <w:tc>
          <w:tcPr/>
          <w:p>
            <w:pPr>
              <w:pStyle w:val="Compact"/>
            </w:pPr>
            <w:r>
              <w:t xml:space="preserve">Otorgante del crédito</w:t>
            </w:r>
          </w:p>
        </w:tc>
      </w:tr>
    </w:tbl>
    <w:p>
      <w:pPr>
        <w:pStyle w:val="BodyText"/>
      </w:pPr>
      <w:r>
        <w:t xml:space="preserve">Entre el emisor y EHOLDINGS, identificados en la tabla anterior, se celebra el presente contrato.</w:t>
      </w:r>
    </w:p>
    <w:bookmarkEnd w:id="914"/>
    <w:bookmarkStart w:id="915" w:name="cláusula-primera.-objeto"/>
    <w:p>
      <w:pPr>
        <w:pStyle w:val="Heading1"/>
      </w:pPr>
      <w:r>
        <w:t xml:space="preserve">Cláusula primera. Objeto</w:t>
      </w:r>
    </w:p>
    <w:p>
      <w:pPr>
        <w:pStyle w:val="FirstParagraph"/>
      </w:pPr>
      <w:r>
        <w:t xml:space="preserve">El emisor emite, a nombre y bajo la marca CREDIX1, instrumentos de pago, físicos o virtuales, para los clientes que EHOLDINGS origine y a quienes otorgue cupo de crédito conforme al contrato del cliente CREDIX1.</w:t>
      </w:r>
    </w:p>
    <w:p>
      <w:pPr>
        <w:pStyle w:val="BodyText"/>
      </w:pPr>
      <w:r>
        <w:t xml:space="preserve">El emisor presta los servicios de patrocinio de BIN y de procesamiento de las transacciones que se realicen con esos instrumentos, dentro del marco del Decreto 1692 de 2020, compilado en el Decreto 2555 de 2010.</w:t>
      </w:r>
    </w:p>
    <w:bookmarkEnd w:id="915"/>
    <w:bookmarkStart w:id="916" w:name="X04c72cc9769804e2b4f1cee78ab416e36edd60a"/>
    <w:p>
      <w:pPr>
        <w:pStyle w:val="Heading1"/>
      </w:pPr>
      <w:r>
        <w:t xml:space="preserve">Cláusula segunda. Roles y responsabilidades</w:t>
      </w:r>
    </w:p>
    <w:p>
      <w:pPr>
        <w:pStyle w:val="FirstParagraph"/>
      </w:pPr>
      <w:r>
        <w:t xml:space="preserve">EHOLDINGS origina al cliente, evalúa y otorga el cupo de crédito, administra la garantía mobiliaria de control sobre la cuenta del cliente en Coopcentral y reporta el comportamiento de pago a los operadores de información.</w:t>
      </w:r>
    </w:p>
    <w:p>
      <w:pPr>
        <w:pStyle w:val="BodyText"/>
      </w:pPr>
      <w:r>
        <w:t xml:space="preserve">El emisor emite el instrumento de pago, opera el rango de BIN asignado, procesa las transacciones conforme a las reglas de la franquicia y gestiona las disputas de transacciones (contracargos y reversiones) conforme al Anexo 1.</w:t>
      </w:r>
    </w:p>
    <w:bookmarkEnd w:id="916"/>
    <w:bookmarkStart w:id="917" w:name="Xfd52589ae8350419d154f3fe98e7466fe3857e9"/>
    <w:p>
      <w:pPr>
        <w:pStyle w:val="Heading1"/>
      </w:pPr>
      <w:r>
        <w:t xml:space="preserve">Cláusula tercera. Autorización previa de cada cliente</w:t>
      </w:r>
    </w:p>
    <w:p>
      <w:pPr>
        <w:pStyle w:val="FirstParagraph"/>
      </w:pPr>
      <w:r>
        <w:t xml:space="preserve">El emisor solo emite un instrumento de pago para un cliente una vez EHOLDINGS le confirma que ese cliente completó la vinculación y la debida diligencia, aceptó las autorizaciones del Anexo 2 del contrato del cliente y constituyó la garantía mobiliaria de control con Coopcentral, con la constancia de recibo de la adhesión.</w:t>
      </w:r>
    </w:p>
    <w:bookmarkEnd w:id="917"/>
    <w:bookmarkStart w:id="918" w:name="Xdddb798e6e4f0c45b80bade8b2dda53ddc755fe"/>
    <w:p>
      <w:pPr>
        <w:pStyle w:val="Heading1"/>
      </w:pPr>
      <w:r>
        <w:t xml:space="preserve">Cláusula cuarta. Cupo y límites de autorización</w:t>
      </w:r>
    </w:p>
    <w:p>
      <w:pPr>
        <w:pStyle w:val="FirstParagraph"/>
      </w:pPr>
      <w:r>
        <w:t xml:space="preserve">El emisor autoriza transacciones dentro del cupo que EHOLDINGS le informe para cada cliente, actualizado en tiempo real o casi real conforme al mecanismo técnico del Anexo 2.</w:t>
      </w:r>
    </w:p>
    <w:p>
      <w:pPr>
        <w:pStyle w:val="BodyText"/>
      </w:pPr>
      <w:r>
        <w:t xml:space="preserve">El emisor no asume el riesgo de crédito del cliente. Ese riesgo permanece exclusivamente a cargo de EHOLDINGS.</w:t>
      </w:r>
    </w:p>
    <w:bookmarkEnd w:id="918"/>
    <w:bookmarkStart w:id="919" w:name="X1f527bd7d6bbb95e7c65e54fd8ebd10e1e7b88f"/>
    <w:p>
      <w:pPr>
        <w:pStyle w:val="Heading1"/>
      </w:pPr>
      <w:r>
        <w:t xml:space="preserve">Cláusula quinta. Disputas de transacciones, contracargos y reversiones</w:t>
      </w:r>
    </w:p>
    <w:p>
      <w:pPr>
        <w:pStyle w:val="FirstParagraph"/>
      </w:pPr>
      <w:r>
        <w:t xml:space="preserve">El emisor gestiona las disputas de transacciones conforme al reglamento de la franquicia y, en operaciones de comercio electrónico, al artículo 51 de la Ley 1480 de 2011. EHOLDINGS le traslada las disputas que el cliente presente por los canales de atención de EHOLDINGS.</w:t>
      </w:r>
    </w:p>
    <w:p>
      <w:pPr>
        <w:pStyle w:val="BodyText"/>
      </w:pPr>
      <w:r>
        <w:t xml:space="preserve">El emisor informa a EHOLDINGS el resultado de cada disputa para que ajuste el saldo del cliente. Mientras una disputa esté en trámite, el monto disputado no se computa como saldo en mora para efectos del reporte a centrales de riesgo.</w:t>
      </w:r>
    </w:p>
    <w:bookmarkEnd w:id="919"/>
    <w:bookmarkStart w:id="920" w:name="X663aec96fb89a5158c934a0c04809075fcc21ae"/>
    <w:p>
      <w:pPr>
        <w:pStyle w:val="Heading1"/>
      </w:pPr>
      <w:r>
        <w:t xml:space="preserve">Cláusula sexta. Publicidad y denominación del producto</w:t>
      </w:r>
    </w:p>
    <w:p>
      <w:pPr>
        <w:pStyle w:val="FirstParagraph"/>
      </w:pPr>
      <w:r>
        <w:t xml:space="preserve">Toda pieza publicitaria, extracto o comunicación al cliente identifica al emisor como quien emite el instrumento de pago, a EHOLDINGS como quien otorga el crédito y a Coopcentral como la entidad depositaria de los recursos que respaldan el cupo, conforme a la cláusula primera del contrato del cliente y a la casilla 10 de su Anexo 2.</w:t>
      </w:r>
    </w:p>
    <w:bookmarkEnd w:id="920"/>
    <w:bookmarkStart w:id="921" w:name="X1ebdab90679733647e4d3997da81b39185c8a23"/>
    <w:p>
      <w:pPr>
        <w:pStyle w:val="Heading1"/>
      </w:pPr>
      <w:r>
        <w:t xml:space="preserve">Cláusula séptima. Cumplimiento normativo del emisor</w:t>
      </w:r>
    </w:p>
    <w:p>
      <w:pPr>
        <w:pStyle w:val="FirstParagraph"/>
      </w:pPr>
      <w:r>
        <w:t xml:space="preserve">El emisor mantiene vigente su condición de participante autorizado ante el administrador del sistema de pago de bajo valor y su propio programa de prevención de lavado de activos conforme a las normas que le sean aplicables.</w:t>
      </w:r>
    </w:p>
    <w:bookmarkEnd w:id="921"/>
    <w:bookmarkStart w:id="922" w:name="cláusula-octava.-remuneración"/>
    <w:p>
      <w:pPr>
        <w:pStyle w:val="Heading1"/>
      </w:pPr>
      <w:r>
        <w:t xml:space="preserve">Cláusula octava. Remuneración</w:t>
      </w:r>
    </w:p>
    <w:p>
      <w:pPr>
        <w:pStyle w:val="FirstParagraph"/>
      </w:pPr>
      <w:r>
        <w:t xml:space="preserve">EHOLDINGS paga al emisor la remuneración pactada en el Anexo 3.</w:t>
      </w:r>
    </w:p>
    <w:bookmarkEnd w:id="922"/>
    <w:bookmarkStart w:id="923" w:name="cláusula-novena.-responsabilidad"/>
    <w:p>
      <w:pPr>
        <w:pStyle w:val="Heading1"/>
      </w:pPr>
      <w:r>
        <w:t xml:space="preserve">Cláusula novena. Responsabilidad</w:t>
      </w:r>
    </w:p>
    <w:p>
      <w:pPr>
        <w:pStyle w:val="FirstParagraph"/>
      </w:pPr>
      <w:r>
        <w:t xml:space="preserve">Cada parte responde por los actos y omisiones propios de su rol conforme a la cláusula segunda. El emisor no responde por el otorgamiento del crédito ni por la administración de la garantía mobiliaria. EHOLDINGS no responde por fallas de procesamiento, de red de la franquicia o de emisión atribuibles al emisor.</w:t>
      </w:r>
    </w:p>
    <w:bookmarkEnd w:id="923"/>
    <w:bookmarkStart w:id="924" w:name="cláusula-décima.-vigencia-y-terminación"/>
    <w:p>
      <w:pPr>
        <w:pStyle w:val="Heading1"/>
      </w:pPr>
      <w:r>
        <w:t xml:space="preserve">Cláusula décima. Vigencia y terminación</w:t>
      </w:r>
    </w:p>
    <w:p>
      <w:pPr>
        <w:pStyle w:val="FirstParagraph"/>
      </w:pPr>
      <w:r>
        <w:t xml:space="preserve">Este contrato rige por el término de [•] y se renueva [•]. Cualquiera de las partes puede terminarlo con un preaviso de [•] días calendario.</w:t>
      </w:r>
    </w:p>
    <w:p>
      <w:pPr>
        <w:pStyle w:val="BodyText"/>
      </w:pPr>
      <w:r>
        <w:t xml:space="preserve">Si termina, EHOLDINGS informa a sus clientes con instrumentos de pago vigentes el mecanismo de continuidad o de migración a un nuevo emisor, conforme a la cláusula décima octava del contrato del cliente y al plan de continuidad de EHOLDINGS.</w:t>
      </w:r>
    </w:p>
    <w:bookmarkEnd w:id="924"/>
    <w:bookmarkStart w:id="925" w:name="cláusula-décima-primera.-ley-aplicable"/>
    <w:p>
      <w:pPr>
        <w:pStyle w:val="Heading1"/>
      </w:pPr>
      <w:r>
        <w:t xml:space="preserve">Cláusula décima primera. Ley aplicable</w:t>
      </w:r>
    </w:p>
    <w:p>
      <w:pPr>
        <w:pStyle w:val="FirstParagraph"/>
      </w:pPr>
      <w:r>
        <w:t xml:space="preserve">Este contrato se rige por las leyes de la República de Colombia, en particular el Decreto 1692 de 2020 y el Decreto 2555 de 2010, y por las reglas de la franquicia aplicable.</w:t>
      </w:r>
    </w:p>
    <w:bookmarkEnd w:id="925"/>
    <w:bookmarkStart w:id="926" w:name="firmas"/>
    <w:p>
      <w:pPr>
        <w:pStyle w:val="Heading1"/>
      </w:pPr>
      <w:r>
        <w:t xml:space="preserve">Firmas</w:t>
      </w:r>
    </w:p>
    <w:p>
      <w:pPr>
        <w:pStyle w:val="FirstParagraph"/>
      </w:pPr>
      <w:r>
        <w:t xml:space="preserve">Para constancia, se firma en [ciudad], a los [•] días del mes de [•] de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[EMISOR AUTORIZADO]</w:t>
            </w:r>
          </w:p>
        </w:tc>
        <w:tc>
          <w:tcPr/>
          <w:p>
            <w:pPr>
              <w:pStyle w:val="Compact"/>
            </w:pPr>
            <w:r>
              <w:t xml:space="preserve">EHOLDINGS FLORIDA S.A.S.</w:t>
            </w:r>
          </w:p>
        </w:tc>
      </w:tr>
      <w:tr>
        <w:tc>
          <w:tcPr/>
          <w:p>
            <w:pPr>
              <w:pStyle w:val="Compact"/>
            </w:pPr>
            <w:r>
              <w:t xml:space="preserve">Representante legal: [•]</w:t>
            </w:r>
          </w:p>
        </w:tc>
        <w:tc>
          <w:tcPr/>
          <w:p>
            <w:pPr>
              <w:pStyle w:val="Compact"/>
            </w:pPr>
            <w:r>
              <w:t xml:space="preserve">Representante legal: [•]</w:t>
            </w:r>
          </w:p>
        </w:tc>
      </w:tr>
      <w:tr>
        <w:tc>
          <w:tcPr/>
          <w:p>
            <w:pPr>
              <w:pStyle w:val="Compact"/>
            </w:pPr>
            <w:r>
              <w:t xml:space="preserve">NIT: [•]</w:t>
            </w:r>
          </w:p>
        </w:tc>
        <w:tc>
          <w:tcPr/>
          <w:p>
            <w:pPr>
              <w:pStyle w:val="Compact"/>
            </w:pPr>
            <w:r>
              <w:t xml:space="preserve">NIT: [•]</w:t>
            </w:r>
          </w:p>
        </w:tc>
      </w:tr>
      <w:tr>
        <w:tc>
          <w:tcPr/>
          <w:p>
            <w:pPr>
              <w:pStyle w:val="Compact"/>
            </w:pPr>
            <w:r>
              <w:t xml:space="preserve">Firma:</w:t>
            </w:r>
          </w:p>
        </w:tc>
        <w:tc>
          <w:tcPr/>
          <w:p>
            <w:pPr>
              <w:pStyle w:val="Compact"/>
            </w:pPr>
            <w:r>
              <w:t xml:space="preserve">Firma:</w:t>
            </w:r>
          </w:p>
        </w:tc>
      </w:tr>
      <w:tr>
        <w:tc>
          <w:tcPr/>
          <w:p>
            <w:pPr>
              <w:pStyle w:val="Compact"/>
            </w:pPr>
          </w:p>
        </w:tc>
        <w:tc>
          <w:tcPr/>
          <w:p>
            <w:pPr>
              <w:pStyle w:val="Compact"/>
            </w:pPr>
          </w:p>
        </w:tc>
      </w:tr>
    </w:tbl>
    <w:bookmarkEnd w:id="926"/>
    <w:bookmarkStart w:id="927" w:name="anexos-por-acordar"/>
    <w:p>
      <w:pPr>
        <w:pStyle w:val="Heading1"/>
      </w:pPr>
      <w:r>
        <w:t xml:space="preserve">Anexos por acordar</w:t>
      </w:r>
    </w:p>
    <w:tbl>
      <w:tblPr>
        <w:tblStyle w:val="Table"/>
        <w:tblW w:type="pct" w:w="5000"/>
        <w:tblLayout w:type="fixed"/>
        <w:tblLook w:firstRow="1" w:lastRow="0" w:firstColumn="0" w:lastColumn="0" w:noHBand="0" w:noVBand="0" w:val="0020"/>
      </w:tblPr>
      <w:tblGrid>
        <w:gridCol w:w="649"/>
        <w:gridCol w:w="4414"/>
        <w:gridCol w:w="2856"/>
      </w:tblGrid>
      <w:tr>
        <w:trPr>
          <w:tblHeader w:val="on"/>
        </w:trPr>
        <w:tc>
          <w:tcPr/>
          <w:p>
            <w:pPr>
              <w:pStyle w:val="Compact"/>
            </w:pPr>
            <w:r>
              <w:t xml:space="preserve">Anexo</w:t>
            </w:r>
          </w:p>
        </w:tc>
        <w:tc>
          <w:tcPr/>
          <w:p>
            <w:pPr>
              <w:pStyle w:val="Compact"/>
            </w:pPr>
            <w:r>
              <w:t xml:space="preserve">Contenido</w:t>
            </w:r>
          </w:p>
        </w:tc>
        <w:tc>
          <w:tcPr/>
          <w:p>
            <w:pPr>
              <w:pStyle w:val="Compact"/>
            </w:pPr>
            <w:r>
              <w:t xml:space="preserve">Estado</w:t>
            </w:r>
          </w:p>
        </w:tc>
      </w:tr>
      <w:tr>
        <w:tc>
          <w:tcPr/>
          <w:p>
            <w:pPr>
              <w:pStyle w:val="Compact"/>
            </w:pPr>
            <w:r>
              <w:t xml:space="preserve">1</w:t>
            </w:r>
          </w:p>
        </w:tc>
        <w:tc>
          <w:tcPr/>
          <w:p>
            <w:pPr>
              <w:pStyle w:val="Compact"/>
            </w:pPr>
            <w:r>
              <w:t xml:space="preserve">Procedimiento de disputa de transacciones</w:t>
            </w:r>
          </w:p>
        </w:tc>
        <w:tc>
          <w:tcPr/>
          <w:p>
            <w:pPr>
              <w:pStyle w:val="Compact"/>
            </w:pPr>
            <w:r>
              <w:t xml:space="preserve">Por negociar con el emisor</w:t>
            </w:r>
          </w:p>
        </w:tc>
      </w:tr>
      <w:tr>
        <w:tc>
          <w:tcPr/>
          <w:p>
            <w:pPr>
              <w:pStyle w:val="Compact"/>
            </w:pPr>
            <w:r>
              <w:t xml:space="preserve">2</w:t>
            </w:r>
          </w:p>
        </w:tc>
        <w:tc>
          <w:tcPr/>
          <w:p>
            <w:pPr>
              <w:pStyle w:val="Compact"/>
            </w:pPr>
            <w:r>
              <w:t xml:space="preserve">Mecanismo técnico de actualización del cupo en tiempo real</w:t>
            </w:r>
          </w:p>
        </w:tc>
        <w:tc>
          <w:tcPr/>
          <w:p>
            <w:pPr>
              <w:pStyle w:val="Compact"/>
            </w:pPr>
            <w:r>
              <w:t xml:space="preserve">Por negociar con el emisor</w:t>
            </w:r>
          </w:p>
        </w:tc>
      </w:tr>
      <w:tr>
        <w:tc>
          <w:tcPr/>
          <w:p>
            <w:pPr>
              <w:pStyle w:val="Compact"/>
            </w:pPr>
            <w:r>
              <w:t xml:space="preserve">3</w:t>
            </w:r>
          </w:p>
        </w:tc>
        <w:tc>
          <w:tcPr/>
          <w:p>
            <w:pPr>
              <w:pStyle w:val="Compact"/>
            </w:pPr>
            <w:r>
              <w:t xml:space="preserve">Remuneración al emisor</w:t>
            </w:r>
          </w:p>
        </w:tc>
        <w:tc>
          <w:tcPr/>
          <w:p>
            <w:pPr>
              <w:pStyle w:val="Compact"/>
            </w:pPr>
            <w:r>
              <w:t xml:space="preserve">Por negociar con el emisor</w:t>
            </w:r>
          </w:p>
        </w:tc>
      </w:tr>
    </w:tbl>
    <w:bookmarkEnd w:id="927"/>
    <w:bookmarkStart w:id="928" w:name="control-de-versiones"/>
    <w:p>
      <w:pPr>
        <w:pStyle w:val="Heading1"/>
      </w:pPr>
      <w:r>
        <w:t xml:space="preserve">Control de versiones</w:t>
      </w:r>
    </w:p>
    <w:tbl>
      <w:tblPr>
        <w:tblStyle w:val="Table"/>
        <w:tblW w:type="pct" w:w="5000"/>
        <w:tblLayout w:type="fixed"/>
        <w:tblLook w:firstRow="1" w:lastRow="0" w:firstColumn="0" w:lastColumn="0" w:noHBand="0" w:noVBand="0" w:val="0020"/>
      </w:tblPr>
      <w:tblGrid>
        <w:gridCol w:w="1013"/>
        <w:gridCol w:w="1105"/>
        <w:gridCol w:w="4420"/>
        <w:gridCol w:w="1381"/>
      </w:tblGrid>
      <w:tr>
        <w:trPr>
          <w:tblHeader w:val="on"/>
        </w:trPr>
        <w:tc>
          <w:tcPr/>
          <w:p>
            <w:pPr>
              <w:pStyle w:val="Compact"/>
            </w:pPr>
            <w:r>
              <w:t xml:space="preserve">Versión</w:t>
            </w:r>
          </w:p>
        </w:tc>
        <w:tc>
          <w:tcPr/>
          <w:p>
            <w:pPr>
              <w:pStyle w:val="Compact"/>
            </w:pPr>
            <w:r>
              <w:t xml:space="preserve">Fecha</w:t>
            </w:r>
          </w:p>
        </w:tc>
        <w:tc>
          <w:tcPr/>
          <w:p>
            <w:pPr>
              <w:pStyle w:val="Compact"/>
            </w:pPr>
            <w:r>
              <w:t xml:space="preserve">Cambios</w:t>
            </w:r>
          </w:p>
        </w:tc>
        <w:tc>
          <w:tcPr/>
          <w:p>
            <w:pPr>
              <w:pStyle w:val="Compact"/>
            </w:pPr>
            <w:r>
              <w:t xml:space="preserve">Estado</w:t>
            </w:r>
          </w:p>
        </w:tc>
      </w:tr>
      <w:tr>
        <w:tc>
          <w:tcPr/>
          <w:p>
            <w:pPr>
              <w:pStyle w:val="Compact"/>
            </w:pPr>
            <w:r>
              <w:t xml:space="preserve">1.0</w:t>
            </w:r>
          </w:p>
        </w:tc>
        <w:tc>
          <w:tcPr/>
          <w:p>
            <w:pPr>
              <w:pStyle w:val="Compact"/>
            </w:pPr>
            <w:r>
              <w:t xml:space="preserve">12 de septiembre de 2026</w:t>
            </w:r>
          </w:p>
        </w:tc>
        <w:tc>
          <w:tcPr/>
          <w:p>
            <w:pPr>
              <w:pStyle w:val="Compact"/>
            </w:pPr>
            <w:r>
              <w:t xml:space="preserve">Primera versión</w:t>
            </w:r>
          </w:p>
        </w:tc>
        <w:tc>
          <w:tcPr/>
          <w:p>
            <w:pPr>
              <w:pStyle w:val="Compact"/>
            </w:pPr>
            <w:r>
              <w:t xml:space="preserve">Reemplazada</w:t>
            </w:r>
          </w:p>
        </w:tc>
      </w:tr>
      <w:tr>
        <w:tc>
          <w:tcPr/>
          <w:p>
            <w:pPr>
              <w:pStyle w:val="Compact"/>
            </w:pPr>
            <w:r>
              <w:t xml:space="preserve">2.0</w:t>
            </w:r>
          </w:p>
        </w:tc>
        <w:tc>
          <w:tcPr/>
          <w:p>
            <w:pPr>
              <w:pStyle w:val="Compact"/>
            </w:pPr>
            <w:r>
              <w:t xml:space="preserve">5 de octubre de 2026</w:t>
            </w:r>
          </w:p>
        </w:tc>
        <w:tc>
          <w:tcPr/>
          <w:p>
            <w:pPr>
              <w:pStyle w:val="Compact"/>
            </w:pPr>
            <w:r>
              <w:t xml:space="preserve">Tabla de identificación de las partes. Remisiones actualizadas al contrato del cliente y a la casilla 10 de su Anexo 2. La autorización previa exige la debida diligencia y la constancia de recibo de la adhesión. Campos de vigencia y preaviso en la cláusula décima. Anexos 1 a 3 identificados como pendientes de negociación</w:t>
            </w:r>
          </w:p>
        </w:tc>
        <w:tc>
          <w:tcPr/>
          <w:p>
            <w:pPr>
              <w:pStyle w:val="Compact"/>
            </w:pPr>
            <w:r>
              <w:t xml:space="preserve">Vigente</w:t>
            </w:r>
          </w:p>
        </w:tc>
      </w:tr>
    </w:tbl>
    <w:bookmarkEnd w:id="928"/>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160" w:line="312"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ResumenItem">
    <w:name w:val="ResumenItem"/>
    <w:basedOn w:val="BodyText"/>
    <w:qFormat/>
  </w:style>
  <w:style w:type="paragraph" w:customStyle="1" w:styleId="ResumenTitulo">
    <w:name w:val="Resumen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Logo1" Type="http://schemas.openxmlformats.org/officeDocument/2006/relationships/image" Target="media/logo-bedrock-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n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2026-10-05T19:46:49Z</dcterms:created>
  <dcterms:modified xsi:type="dcterms:W3CDTF">2026-10-05T19:46:49Z</dcterms:modified>
</cp:coreProperties>
</file>

<file path=docProps/custom.xml><?xml version="1.0" encoding="utf-8"?>
<Properties xmlns="http://schemas.openxmlformats.org/officeDocument/2006/custom-properties" xmlns:vt="http://schemas.openxmlformats.org/officeDocument/2006/docPropsVTypes"/>
</file>