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911.png" ContentType="image/png"/>
  <Override PartName="/word/media/logo-bedrock-horizontal.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1691640" cy="329184"/>
            <wp:effectExtent b="0" l="0" r="0" t="0"/>
            <wp:docPr descr="" title="" id="912" name="Picture"/>
            <a:graphic>
              <a:graphicData uri="http://schemas.openxmlformats.org/drawingml/2006/picture">
                <pic:pic>
                  <pic:nvPicPr>
                    <pic:cNvPr descr="logo-bedrock-horizontal.png" id="913" name="Picture"/>
                    <pic:cNvPicPr>
                      <a:picLocks noChangeArrowheads="1" noChangeAspect="1"/>
                    </pic:cNvPicPr>
                  </pic:nvPicPr>
                  <pic:blipFill>
                    <a:blip r:embed="rId911"/>
                    <a:stretch>
                      <a:fillRect/>
                    </a:stretch>
                  </pic:blipFill>
                  <pic:spPr bwMode="auto">
                    <a:xfrm>
                      <a:off x="0" y="0"/>
                      <a:ext cx="1691640" cy="329184"/>
                    </a:xfrm>
                    <a:prstGeom prst="rect">
                      <a:avLst/>
                    </a:prstGeom>
                    <a:noFill/>
                    <a:ln w="9525">
                      <a:noFill/>
                      <a:headEnd/>
                      <a:tailEnd/>
                    </a:ln>
                  </pic:spPr>
                </pic:pic>
              </a:graphicData>
            </a:graphic>
          </wp:inline>
        </w:drawing>
      </w:r>
    </w:p>
    <w:p>
      <w:pPr>
        <w:pStyle w:val="Eyebrow"/>
      </w:pPr>
      <w:r>
        <w:t xml:space="preserve">CREDIX1 · Contrato de vinculación del cliente · EHOLDINGS FLORIDA S.A.S.</w:t>
      </w:r>
    </w:p>
    <w:p>
      <w:pPr>
        <w:pStyle w:val="PortadaTitulo"/>
      </w:pPr>
      <w:r>
        <w:t xml:space="preserve">Contrato del cliente CREDIX1</w:t>
      </w:r>
    </w:p>
    <w:p>
      <w:pPr>
        <w:pStyle w:val="LineaAcento"/>
      </w:pPr>
      <w:r>
        <w:t xml:space="preserve"> </w:t>
      </w:r>
    </w:p>
    <w:p>
      <w:pPr>
        <w:pStyle w:val="Lede"/>
      </w:pPr>
      <w:r>
        <w:t xml:space="preserve">Lo que el cliente firma o acepta para vincularse a CREDIX1: el resumen en lenguaje claro, el contrato de línea de crédito rotativa, el pagaré con su carta de instrucciones, la adhesión a la garantía mobiliaria de control y los anexos de costos, autorizaciones y canales.</w:t>
      </w:r>
    </w:p>
    <w:tbl>
      <w:tblP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blGrid>
        <w:gridCol w:w="3000"/>
        <w:gridCol w:w="3000"/>
        <w:gridCol w:w="3000"/>
      </w:tblGrid>
      <w:tr>
        <w:tc>
          <w:tcPr>
            <w:tcW w:w="3000" w:type="dxa"/>
            <w:tcMar>
              <w:right w:w="200" w:type="dxa"/>
            </w:tcMar>
          </w:tcPr>
          <w:p>
            <w:pPr>
              <w:spacing w:before="0" w:after="20"/>
            </w:pPr>
            <w:r>
              <w:rPr>
                <w:rFonts w:asciiTheme="majorHAnsi" w:hAnsiTheme="majorHAnsi"/>
                <w:b/>
                <w:caps/>
                <w:color w:val="6B6F7A"/>
                <w:spacing w:val="20"/>
                <w:sz w:val="15"/>
              </w:rPr>
              <w:t xml:space="preserve">Documento</w:t>
            </w:r>
          </w:p>
          <w:p>
            <w:r>
              <w:rPr>
                <w:color w:val="1B1D36"/>
                <w:sz w:val="20"/>
              </w:rPr>
              <w:t xml:space="preserve">Contrato</w:t>
            </w:r>
          </w:p>
        </w:tc>
        <w:tc>
          <w:tcPr>
            <w:tcW w:w="3000" w:type="dxa"/>
            <w:tcMar>
              <w:right w:w="200" w:type="dxa"/>
            </w:tcMar>
          </w:tcPr>
          <w:p>
            <w:pPr>
              <w:spacing w:before="0" w:after="20"/>
            </w:pPr>
            <w:r>
              <w:rPr>
                <w:rFonts w:asciiTheme="majorHAnsi" w:hAnsiTheme="majorHAnsi"/>
                <w:b/>
                <w:caps/>
                <w:color w:val="6B6F7A"/>
                <w:spacing w:val="20"/>
                <w:sz w:val="15"/>
              </w:rPr>
              <w:t xml:space="preserve">Fecha</w:t>
            </w:r>
          </w:p>
          <w:p>
            <w:r>
              <w:rPr>
                <w:color w:val="1B1D36"/>
                <w:sz w:val="20"/>
              </w:rPr>
              <w:t xml:space="preserve">6 de octubre de 2026</w:t>
            </w:r>
          </w:p>
        </w:tc>
        <w:tc>
          <w:tcPr>
            <w:tcW w:w="3000" w:type="dxa"/>
            <w:tcMar>
              <w:right w:w="200" w:type="dxa"/>
            </w:tcMar>
          </w:tcPr>
          <w:p>
            <w:pPr>
              <w:spacing w:before="0" w:after="20"/>
            </w:pPr>
            <w:r>
              <w:rPr>
                <w:rFonts w:asciiTheme="majorHAnsi" w:hAnsiTheme="majorHAnsi"/>
                <w:b/>
                <w:caps/>
                <w:color w:val="6B6F7A"/>
                <w:spacing w:val="20"/>
                <w:sz w:val="15"/>
              </w:rPr>
              <w:t xml:space="preserve">Alcance</w:t>
            </w:r>
          </w:p>
          <w:p>
            <w:r>
              <w:rPr>
                <w:color w:val="1B1D36"/>
                <w:sz w:val="20"/>
              </w:rPr>
              <w:t xml:space="preserve">Confidencial · EHOLDINGS FLORIDA S.A.S.</w:t>
            </w:r>
          </w:p>
        </w:tc>
      </w:tr>
    </w:tbl>
    <w:p>
      <w:pPr>
        <w:pStyle w:val="ResumenTitulo"/>
      </w:pPr>
      <w:r>
        <w:t xml:space="preserve">Resumen del documento</w:t>
      </w:r>
    </w:p>
    <w:p>
      <w:pPr>
        <w:pStyle w:val="ResumenItem"/>
      </w:pPr>
      <w:r>
        <w:t xml:space="preserve">Línea de crédito rotativa de EHOLDINGS, usada con una tarjeta que emite un tercero autorizado, con cupo respaldado por la cuenta de ahorros del propio cliente en Banco Cooperativo Coopcentral.</w:t>
      </w:r>
    </w:p>
    <w:p>
      <w:pPr>
        <w:pStyle w:val="ResumenItem"/>
      </w:pPr>
      <w:r>
        <w:t xml:space="preserve">El cliente elige entre control absoluto y control dinámico de su cuenta. Cada regla se enuncia una sola vez, en la cláusula que la regula.</w:t>
      </w:r>
    </w:p>
    <w:p>
      <w:pPr>
        <w:pStyle w:val="ResumenItem"/>
      </w:pPr>
      <w:r>
        <w:t xml:space="preserve">Los datos se diligencian una sola vez, en los bloques A y B de identificación.</w:t>
      </w:r>
    </w:p>
    <w:p>
      <w:r>
        <w:br w:type="page"/>
      </w:r>
    </w:p>
    <w:bookmarkStart w:id="916" w:name="X67c1c6676980c0e283fbf59fadf5ccc0ac9d503"/>
    <w:p>
      <w:pPr>
        <w:pStyle w:val="Heading1"/>
      </w:pPr>
      <w:r>
        <w:t xml:space="preserve">Identificación de las partes y de la operación</w:t>
      </w:r>
    </w:p>
    <w:p>
      <w:pPr>
        <w:pStyle w:val="FirstParagraph"/>
      </w:pPr>
      <w:r>
        <w:t xml:space="preserve">Esta sección es la única que se diligencia. El resto del documento remite a estos datos.</w:t>
      </w:r>
    </w:p>
    <w:bookmarkStart w:id="914" w:name="bloque-a.-datos-institucionales"/>
    <w:p>
      <w:pPr>
        <w:pStyle w:val="Heading2"/>
      </w:pPr>
      <w:r>
        <w:t xml:space="preserve">Bloque A. Datos institucionales</w:t>
      </w:r>
    </w:p>
    <w:p>
      <w:pPr>
        <w:pStyle w:val="FirstParagraph"/>
      </w:pPr>
      <w:r>
        <w:t xml:space="preserve">Se completan una vez y no varían por cliente.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NIT de EHOLDINGS FLORIDA S.A.S.</w:t>
            </w:r>
          </w:p>
        </w:tc>
        <w:tc>
          <w:tcPr/>
          <w:p>
            <w:pPr>
              <w:pStyle w:val="Compact"/>
            </w:pPr>
            <w:r>
              <w:t xml:space="preserve">[•]</w:t>
            </w:r>
          </w:p>
        </w:tc>
      </w:tr>
      <w:tr>
        <w:tc>
          <w:tcPr/>
          <w:p>
            <w:pPr>
              <w:pStyle w:val="Compact"/>
            </w:pPr>
            <w:r>
              <w:t xml:space="preserve">Representante legal</w:t>
            </w:r>
          </w:p>
        </w:tc>
        <w:tc>
          <w:tcPr/>
          <w:p>
            <w:pPr>
              <w:pStyle w:val="Compact"/>
            </w:pPr>
            <w:r>
              <w:t xml:space="preserve">[•]</w:t>
            </w:r>
          </w:p>
        </w:tc>
      </w:tr>
      <w:tr>
        <w:tc>
          <w:tcPr/>
          <w:p>
            <w:pPr>
              <w:pStyle w:val="Compact"/>
            </w:pPr>
            <w:r>
              <w:t xml:space="preserve">Domicilio</w:t>
            </w:r>
          </w:p>
        </w:tc>
        <w:tc>
          <w:tcPr/>
          <w:p>
            <w:pPr>
              <w:pStyle w:val="Compact"/>
            </w:pPr>
            <w:r>
              <w:t xml:space="preserve">Envigado, Antioquia</w:t>
            </w:r>
          </w:p>
        </w:tc>
      </w:tr>
      <w:tr>
        <w:tc>
          <w:tcPr/>
          <w:p>
            <w:pPr>
              <w:pStyle w:val="Compact"/>
            </w:pPr>
            <w:r>
              <w:t xml:space="preserve">Emisor autorizado del instrumento de pago</w:t>
            </w:r>
          </w:p>
        </w:tc>
        <w:tc>
          <w:tcPr/>
          <w:p>
            <w:pPr>
              <w:pStyle w:val="Compact"/>
            </w:pPr>
            <w:r>
              <w:t xml:space="preserve">[•]</w:t>
            </w:r>
          </w:p>
        </w:tc>
      </w:tr>
      <w:tr>
        <w:tc>
          <w:tcPr/>
          <w:p>
            <w:pPr>
              <w:pStyle w:val="Compact"/>
            </w:pPr>
            <w:r>
              <w:t xml:space="preserve">Franquicia</w:t>
            </w:r>
          </w:p>
        </w:tc>
        <w:tc>
          <w:tcPr/>
          <w:p>
            <w:pPr>
              <w:pStyle w:val="Compact"/>
            </w:pPr>
            <w:r>
              <w:t xml:space="preserve">[VISA / MASTERCARD / OTRA]</w:t>
            </w:r>
          </w:p>
        </w:tc>
      </w:tr>
      <w:tr>
        <w:tc>
          <w:tcPr/>
          <w:p>
            <w:pPr>
              <w:pStyle w:val="Compact"/>
            </w:pPr>
            <w:r>
              <w:t xml:space="preserve">Colchón del control dinámico</w:t>
            </w:r>
          </w:p>
        </w:tc>
        <w:tc>
          <w:tcPr/>
          <w:p>
            <w:pPr>
              <w:pStyle w:val="Compact"/>
            </w:pPr>
            <w:r>
              <w:t xml:space="preserve">[•] % del saldo utilizado</w:t>
            </w:r>
          </w:p>
        </w:tc>
      </w:tr>
      <w:tr>
        <w:tc>
          <w:tcPr/>
          <w:p>
            <w:pPr>
              <w:pStyle w:val="Compact"/>
            </w:pPr>
            <w:r>
              <w:t xml:space="preserve">Días calendario después de la fecha límite de pago para configurar el incumplimiento</w:t>
            </w:r>
          </w:p>
        </w:tc>
        <w:tc>
          <w:tcPr/>
          <w:p>
            <w:pPr>
              <w:pStyle w:val="Compact"/>
            </w:pPr>
            <w:r>
              <w:t xml:space="preserve">[•]</w:t>
            </w:r>
          </w:p>
        </w:tc>
      </w:tr>
      <w:tr>
        <w:tc>
          <w:tcPr/>
          <w:p>
            <w:pPr>
              <w:pStyle w:val="Compact"/>
            </w:pPr>
            <w:r>
              <w:t xml:space="preserve">Plazo de subsanación (días hábiles)</w:t>
            </w:r>
          </w:p>
        </w:tc>
        <w:tc>
          <w:tcPr/>
          <w:p>
            <w:pPr>
              <w:pStyle w:val="Compact"/>
            </w:pPr>
            <w:r>
              <w:t xml:space="preserve">[•]</w:t>
            </w:r>
          </w:p>
        </w:tc>
      </w:tr>
      <w:tr>
        <w:tc>
          <w:tcPr/>
          <w:p>
            <w:pPr>
              <w:pStyle w:val="Compact"/>
            </w:pPr>
            <w:r>
              <w:t xml:space="preserve">Plazo de objeción de la liquidación (días hábiles)</w:t>
            </w:r>
          </w:p>
        </w:tc>
        <w:tc>
          <w:tcPr/>
          <w:p>
            <w:pPr>
              <w:pStyle w:val="Compact"/>
            </w:pPr>
            <w:r>
              <w:t xml:space="preserve">[•]</w:t>
            </w:r>
          </w:p>
        </w:tc>
      </w:tr>
      <w:tr>
        <w:tc>
          <w:tcPr/>
          <w:p>
            <w:pPr>
              <w:pStyle w:val="Compact"/>
            </w:pPr>
            <w:r>
              <w:t xml:space="preserve">Plazo de devolución del remanente después del pago directo (días hábiles)</w:t>
            </w:r>
          </w:p>
        </w:tc>
        <w:tc>
          <w:tcPr/>
          <w:p>
            <w:pPr>
              <w:pStyle w:val="Compact"/>
            </w:pPr>
            <w:r>
              <w:t xml:space="preserve">[•]</w:t>
            </w:r>
          </w:p>
        </w:tc>
      </w:tr>
      <w:tr>
        <w:tc>
          <w:tcPr/>
          <w:p>
            <w:pPr>
              <w:pStyle w:val="Compact"/>
            </w:pPr>
            <w:r>
              <w:t xml:space="preserve">Plazo de liberación por mínimo vital (días hábiles)</w:t>
            </w:r>
          </w:p>
        </w:tc>
        <w:tc>
          <w:tcPr/>
          <w:p>
            <w:pPr>
              <w:pStyle w:val="Compact"/>
            </w:pPr>
            <w:r>
              <w:t xml:space="preserve">[•]</w:t>
            </w:r>
          </w:p>
        </w:tc>
      </w:tr>
      <w:tr>
        <w:tc>
          <w:tcPr/>
          <w:p>
            <w:pPr>
              <w:pStyle w:val="Compact"/>
            </w:pPr>
            <w:r>
              <w:t xml:space="preserve">Plazo de liberación al cancelar sin saldo (días hábiles)</w:t>
            </w:r>
          </w:p>
        </w:tc>
        <w:tc>
          <w:tcPr/>
          <w:p>
            <w:pPr>
              <w:pStyle w:val="Compact"/>
            </w:pPr>
            <w:r>
              <w:t xml:space="preserve">[•]</w:t>
            </w:r>
          </w:p>
        </w:tc>
      </w:tr>
      <w:tr>
        <w:tc>
          <w:tcPr/>
          <w:p>
            <w:pPr>
              <w:pStyle w:val="Compact"/>
            </w:pPr>
            <w:r>
              <w:t xml:space="preserve">Meses de pago puntual para solicitar graduación</w:t>
            </w:r>
          </w:p>
        </w:tc>
        <w:tc>
          <w:tcPr/>
          <w:p>
            <w:pPr>
              <w:pStyle w:val="Compact"/>
            </w:pPr>
            <w:r>
              <w:t xml:space="preserve">[•]</w:t>
            </w:r>
          </w:p>
        </w:tc>
      </w:tr>
      <w:tr>
        <w:tc>
          <w:tcPr/>
          <w:p>
            <w:pPr>
              <w:pStyle w:val="Compact"/>
            </w:pPr>
            <w:r>
              <w:t xml:space="preserve">Aviso previo de cesión del contrato (días calendario)</w:t>
            </w:r>
          </w:p>
        </w:tc>
        <w:tc>
          <w:tcPr/>
          <w:p>
            <w:pPr>
              <w:pStyle w:val="Compact"/>
            </w:pPr>
            <w:r>
              <w:t xml:space="preserve">[•]</w:t>
            </w:r>
          </w:p>
        </w:tc>
      </w:tr>
      <w:tr>
        <w:tc>
          <w:tcPr/>
          <w:p>
            <w:pPr>
              <w:pStyle w:val="Compact"/>
            </w:pPr>
            <w:r>
              <w:t xml:space="preserve">Plazo para informar el mecanismo de continuidad (días calendario)</w:t>
            </w:r>
          </w:p>
        </w:tc>
        <w:tc>
          <w:tcPr/>
          <w:p>
            <w:pPr>
              <w:pStyle w:val="Compact"/>
            </w:pPr>
            <w:r>
              <w:t xml:space="preserve">[•]</w:t>
            </w:r>
          </w:p>
        </w:tc>
      </w:tr>
      <w:tr>
        <w:tc>
          <w:tcPr/>
          <w:p>
            <w:pPr>
              <w:pStyle w:val="Compact"/>
            </w:pPr>
            <w:r>
              <w:t xml:space="preserve">Operadores de información con convenio vigente</w:t>
            </w:r>
          </w:p>
        </w:tc>
        <w:tc>
          <w:tcPr/>
          <w:p>
            <w:pPr>
              <w:pStyle w:val="Compact"/>
            </w:pPr>
            <w:r>
              <w:t xml:space="preserve">[OPERADORES DE INFORMACIÓN CON CONVENIO VIGENTE]</w:t>
            </w:r>
          </w:p>
        </w:tc>
      </w:tr>
    </w:tbl>
    <w:bookmarkEnd w:id="914"/>
    <w:bookmarkStart w:id="915" w:name="X155656d5bcc6638443f71a6edd2a72da1194e28"/>
    <w:p>
      <w:pPr>
        <w:pStyle w:val="Heading2"/>
      </w:pPr>
      <w:r>
        <w:t xml:space="preserve">Bloque B. Datos del cliente y de la operación</w:t>
      </w:r>
    </w:p>
    <w:p>
      <w:pPr>
        <w:pStyle w:val="FirstParagraph"/>
      </w:pPr>
      <w:r>
        <w:t xml:space="preserve">Varían en cada vinculación.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Nombre del cliente</w:t>
            </w:r>
          </w:p>
        </w:tc>
        <w:tc>
          <w:tcPr/>
          <w:p>
            <w:pPr>
              <w:pStyle w:val="Compact"/>
            </w:pPr>
            <w:r>
              <w:t xml:space="preserve">[NOMBRE DEL CLIENTE]</w:t>
            </w:r>
          </w:p>
        </w:tc>
      </w:tr>
      <w:tr>
        <w:tc>
          <w:tcPr/>
          <w:p>
            <w:pPr>
              <w:pStyle w:val="Compact"/>
            </w:pPr>
            <w:r>
              <w:t xml:space="preserve">Cédula de ciudadanía</w:t>
            </w:r>
          </w:p>
        </w:tc>
        <w:tc>
          <w:tcPr/>
          <w:p>
            <w:pPr>
              <w:pStyle w:val="Compact"/>
            </w:pPr>
            <w:r>
              <w:t xml:space="preserve">[•]</w:t>
            </w:r>
          </w:p>
        </w:tc>
      </w:tr>
      <w:tr>
        <w:tc>
          <w:tcPr/>
          <w:p>
            <w:pPr>
              <w:pStyle w:val="Compact"/>
            </w:pPr>
            <w:r>
              <w:t xml:space="preserve">Número de cuenta de ahorros en Coopcentral</w:t>
            </w:r>
          </w:p>
        </w:tc>
        <w:tc>
          <w:tcPr/>
          <w:p>
            <w:pPr>
              <w:pStyle w:val="Compact"/>
            </w:pPr>
            <w:r>
              <w:t xml:space="preserve">[•]</w:t>
            </w:r>
          </w:p>
        </w:tc>
      </w:tr>
      <w:tr>
        <w:tc>
          <w:tcPr/>
          <w:p>
            <w:pPr>
              <w:pStyle w:val="Compact"/>
            </w:pPr>
            <w:r>
              <w:t xml:space="preserve">Cupo de crédito inicial</w:t>
            </w:r>
          </w:p>
        </w:tc>
        <w:tc>
          <w:tcPr/>
          <w:p>
            <w:pPr>
              <w:pStyle w:val="Compact"/>
            </w:pPr>
            <w:r>
              <w:t xml:space="preserve">[MONTO] pesos colombianos</w:t>
            </w:r>
          </w:p>
        </w:tc>
      </w:tr>
      <w:tr>
        <w:tc>
          <w:tcPr/>
          <w:p>
            <w:pPr>
              <w:pStyle w:val="Compact"/>
            </w:pPr>
            <w:r>
              <w:t xml:space="preserve">Modalidad de control elegida</w:t>
            </w:r>
          </w:p>
        </w:tc>
        <w:tc>
          <w:tcPr/>
          <w:p>
            <w:pPr>
              <w:pStyle w:val="Compact"/>
            </w:pPr>
            <w:r>
              <w:t xml:space="preserve">[ ] Control absoluto · [ ] Control dinámico</w:t>
            </w:r>
          </w:p>
        </w:tc>
      </w:tr>
      <w:tr>
        <w:tc>
          <w:tcPr/>
          <w:p>
            <w:pPr>
              <w:pStyle w:val="Compact"/>
            </w:pPr>
            <w:r>
              <w:t xml:space="preserve">Canal de vinculación</w:t>
            </w:r>
          </w:p>
        </w:tc>
        <w:tc>
          <w:tcPr/>
          <w:p>
            <w:pPr>
              <w:pStyle w:val="Compact"/>
            </w:pPr>
            <w:r>
              <w:t xml:space="preserve">[ ] Presencial · [ ] Digital o a distancia</w:t>
            </w:r>
          </w:p>
        </w:tc>
      </w:tr>
      <w:tr>
        <w:tc>
          <w:tcPr/>
          <w:p>
            <w:pPr>
              <w:pStyle w:val="Compact"/>
            </w:pPr>
            <w:r>
              <w:t xml:space="preserve">Canales autorizados por el cliente para gestiones de cobranza</w:t>
            </w:r>
          </w:p>
        </w:tc>
        <w:tc>
          <w:tcPr/>
          <w:p>
            <w:pPr>
              <w:pStyle w:val="Compact"/>
            </w:pPr>
            <w:r>
              <w:t xml:space="preserve">[ ] Llamada · [ ] Mensaje de texto · [ ] Correo electrónico · [ ] Aplicación</w:t>
            </w:r>
          </w:p>
        </w:tc>
      </w:tr>
      <w:tr>
        <w:tc>
          <w:tcPr/>
          <w:p>
            <w:pPr>
              <w:pStyle w:val="Compact"/>
            </w:pPr>
            <w:r>
              <w:t xml:space="preserve">Número de contrato</w:t>
            </w:r>
          </w:p>
        </w:tc>
        <w:tc>
          <w:tcPr/>
          <w:p>
            <w:pPr>
              <w:pStyle w:val="Compact"/>
            </w:pPr>
            <w:r>
              <w:t xml:space="preserve">[•]</w:t>
            </w:r>
          </w:p>
        </w:tc>
      </w:tr>
      <w:tr>
        <w:tc>
          <w:tcPr/>
          <w:p>
            <w:pPr>
              <w:pStyle w:val="Compact"/>
            </w:pPr>
            <w:r>
              <w:t xml:space="preserve">Número de pagaré</w:t>
            </w:r>
          </w:p>
        </w:tc>
        <w:tc>
          <w:tcPr/>
          <w:p>
            <w:pPr>
              <w:pStyle w:val="Compact"/>
            </w:pPr>
            <w:r>
              <w:t xml:space="preserve">[•]</w:t>
            </w:r>
          </w:p>
        </w:tc>
      </w:tr>
      <w:tr>
        <w:tc>
          <w:tcPr/>
          <w:p>
            <w:pPr>
              <w:pStyle w:val="Compact"/>
            </w:pPr>
            <w:r>
              <w:t xml:space="preserve">Ciudad de firma</w:t>
            </w:r>
          </w:p>
        </w:tc>
        <w:tc>
          <w:tcPr/>
          <w:p>
            <w:pPr>
              <w:pStyle w:val="Compact"/>
            </w:pPr>
            <w:r>
              <w:t xml:space="preserve">[•]</w:t>
            </w:r>
          </w:p>
        </w:tc>
      </w:tr>
      <w:tr>
        <w:tc>
          <w:tcPr/>
          <w:p>
            <w:pPr>
              <w:pStyle w:val="Compact"/>
            </w:pPr>
            <w:r>
              <w:t xml:space="preserve">Fecha de firma</w:t>
            </w:r>
          </w:p>
        </w:tc>
        <w:tc>
          <w:tcPr/>
          <w:p>
            <w:pPr>
              <w:pStyle w:val="Compact"/>
            </w:pPr>
            <w:r>
              <w:t xml:space="preserve">[•] de [•] de [•]</w:t>
            </w:r>
          </w:p>
        </w:tc>
      </w:tr>
    </w:tbl>
    <w:bookmarkEnd w:id="915"/>
    <w:bookmarkEnd w:id="916"/>
    <w:bookmarkStart w:id="917" w:name="resumen-en-lenguaje-claro"/>
    <w:p>
      <w:pPr>
        <w:pStyle w:val="Heading1"/>
      </w:pPr>
      <w:r>
        <w:t xml:space="preserve">Resumen en lenguaje claro</w:t>
      </w:r>
    </w:p>
    <w:p>
      <w:pPr>
        <w:pStyle w:val="FirstParagraph"/>
      </w:pPr>
      <w:r>
        <w:t xml:space="preserve">Este resumen explica el producto. No crea obligaciones distintas de las del contrato: si algo de aquí no coincide con una cláusula, prevalece la cláusula citada.</w:t>
      </w:r>
    </w:p>
    <w:tbl>
      <w:tblPr>
        <w:tblStyle w:val="Table"/>
        <w:tblW w:type="pct" w:w="5000"/>
        <w:tblLayout w:type="fixed"/>
        <w:tblLook w:firstRow="1" w:lastRow="0" w:firstColumn="0" w:lastColumn="0" w:noHBand="0" w:noVBand="0" w:val="0020"/>
      </w:tblPr>
      <w:tblGrid>
        <w:gridCol w:w="974"/>
        <w:gridCol w:w="5970"/>
        <w:gridCol w:w="974"/>
      </w:tblGrid>
      <w:tr>
        <w:trPr>
          <w:tblHeader w:val="on"/>
        </w:trPr>
        <w:tc>
          <w:tcPr/>
          <w:p>
            <w:pPr>
              <w:pStyle w:val="Compact"/>
            </w:pPr>
            <w:r>
              <w:t xml:space="preserve">Tema</w:t>
            </w:r>
          </w:p>
        </w:tc>
        <w:tc>
          <w:tcPr/>
          <w:p>
            <w:pPr>
              <w:pStyle w:val="Compact"/>
            </w:pPr>
            <w:r>
              <w:t xml:space="preserve">Lo esencial</w:t>
            </w:r>
          </w:p>
        </w:tc>
        <w:tc>
          <w:tcPr/>
          <w:p>
            <w:pPr>
              <w:pStyle w:val="Compact"/>
            </w:pPr>
            <w:r>
              <w:t xml:space="preserve">Dónde está</w:t>
            </w:r>
          </w:p>
        </w:tc>
      </w:tr>
      <w:tr>
        <w:tc>
          <w:tcPr/>
          <w:p>
            <w:pPr>
              <w:pStyle w:val="Compact"/>
            </w:pPr>
            <w:r>
              <w:t xml:space="preserve">Quién es quién</w:t>
            </w:r>
          </w:p>
        </w:tc>
        <w:tc>
          <w:tcPr/>
          <w:p>
            <w:pPr>
              <w:pStyle w:val="Compact"/>
            </w:pPr>
            <w:r>
              <w:t xml:space="preserve">EHOLDINGS le presta el dinero y reporta sus pagos. El emisor del Bloque A expide la tarjeta. Coopcentral guarda su dinero en una cuenta a su nombre. Son tres entidades distintas</w:t>
            </w:r>
          </w:p>
        </w:tc>
        <w:tc>
          <w:tcPr/>
          <w:p>
            <w:pPr>
              <w:pStyle w:val="Compact"/>
            </w:pPr>
            <w:r>
              <w:t xml:space="preserve">Cláusula primera</w:t>
            </w:r>
          </w:p>
        </w:tc>
      </w:tr>
      <w:tr>
        <w:tc>
          <w:tcPr/>
          <w:p>
            <w:pPr>
              <w:pStyle w:val="Compact"/>
            </w:pPr>
            <w:r>
              <w:t xml:space="preserve">Vigilancia</w:t>
            </w:r>
          </w:p>
        </w:tc>
        <w:tc>
          <w:tcPr/>
          <w:p>
            <w:pPr>
              <w:pStyle w:val="Compact"/>
            </w:pPr>
            <w:r>
              <w:t xml:space="preserve">EHOLDINGS no es vigilada por la Superintendencia Financiera y sus obligaciones no tienen el seguro de depósitos de Fogafín. Coopcentral sí es vigilada, solo respecto de su cuenta</w:t>
            </w:r>
          </w:p>
        </w:tc>
        <w:tc>
          <w:tcPr/>
          <w:p>
            <w:pPr>
              <w:pStyle w:val="Compact"/>
            </w:pPr>
            <w:r>
              <w:t xml:space="preserve">Cláusula primera</w:t>
            </w:r>
          </w:p>
        </w:tc>
      </w:tr>
      <w:tr>
        <w:tc>
          <w:tcPr/>
          <w:p>
            <w:pPr>
              <w:pStyle w:val="Compact"/>
            </w:pPr>
            <w:r>
              <w:t xml:space="preserve">Para qué sirve</w:t>
            </w:r>
          </w:p>
        </w:tc>
        <w:tc>
          <w:tcPr/>
          <w:p>
            <w:pPr>
              <w:pStyle w:val="Compact"/>
            </w:pPr>
            <w:r>
              <w:t xml:space="preserve">Para que usted construya historial de pago. EHOLDINGS reporta lo que usted hace; el puntaje lo calcula cada operador y nadie puede garantizarle un resultado</w:t>
            </w:r>
          </w:p>
        </w:tc>
        <w:tc>
          <w:tcPr/>
          <w:p>
            <w:pPr>
              <w:pStyle w:val="Compact"/>
            </w:pPr>
            <w:r>
              <w:t xml:space="preserve">Cláusula sexta</w:t>
            </w:r>
          </w:p>
        </w:tc>
      </w:tr>
      <w:tr>
        <w:tc>
          <w:tcPr/>
          <w:p>
            <w:pPr>
              <w:pStyle w:val="Compact"/>
            </w:pPr>
            <w:r>
              <w:t xml:space="preserve">Su dinero</w:t>
            </w:r>
          </w:p>
        </w:tc>
        <w:tc>
          <w:tcPr/>
          <w:p>
            <w:pPr>
              <w:pStyle w:val="Compact"/>
            </w:pPr>
            <w:r>
              <w:t xml:space="preserve">Su depósito en Coopcentral respalda el cupo. Mientras la garantía exista, no lo puede retirar libremente. Usted elige cuánto queda inmovilizado: todo (absoluto) o solo lo que usa más un colchón (dinámico)</w:t>
            </w:r>
          </w:p>
        </w:tc>
        <w:tc>
          <w:tcPr/>
          <w:p>
            <w:pPr>
              <w:pStyle w:val="Compact"/>
            </w:pPr>
            <w:r>
              <w:t xml:space="preserve">Cláusula segunda y adhesión</w:t>
            </w:r>
          </w:p>
        </w:tc>
      </w:tr>
      <w:tr>
        <w:tc>
          <w:tcPr/>
          <w:p>
            <w:pPr>
              <w:pStyle w:val="Compact"/>
            </w:pPr>
            <w:r>
              <w:t xml:space="preserve">Cómo se usa</w:t>
            </w:r>
          </w:p>
        </w:tc>
        <w:tc>
          <w:tcPr/>
          <w:p>
            <w:pPr>
              <w:pStyle w:val="Compact"/>
            </w:pPr>
            <w:r>
              <w:t xml:space="preserve">Solo con compras con la tarjeta. No hay entrega de efectivo</w:t>
            </w:r>
          </w:p>
        </w:tc>
        <w:tc>
          <w:tcPr/>
          <w:p>
            <w:pPr>
              <w:pStyle w:val="Compact"/>
            </w:pPr>
            <w:r>
              <w:t xml:space="preserve">Cláusula tercera</w:t>
            </w:r>
          </w:p>
        </w:tc>
      </w:tr>
      <w:tr>
        <w:tc>
          <w:tcPr/>
          <w:p>
            <w:pPr>
              <w:pStyle w:val="Compact"/>
            </w:pPr>
            <w:r>
              <w:t xml:space="preserve">Cuánto cuesta</w:t>
            </w:r>
          </w:p>
        </w:tc>
        <w:tc>
          <w:tcPr/>
          <w:p>
            <w:pPr>
              <w:pStyle w:val="Compact"/>
            </w:pPr>
            <w:r>
              <w:t xml:space="preserve">Todos los cobros están en el Anexo 1. La tasa nunca supera la de usura certificada cada mes</w:t>
            </w:r>
          </w:p>
        </w:tc>
        <w:tc>
          <w:tcPr/>
          <w:p>
            <w:pPr>
              <w:pStyle w:val="Compact"/>
            </w:pPr>
            <w:r>
              <w:t xml:space="preserve">Cláusula cuarta y Anexo 1</w:t>
            </w:r>
          </w:p>
        </w:tc>
      </w:tr>
      <w:tr>
        <w:tc>
          <w:tcPr/>
          <w:p>
            <w:pPr>
              <w:pStyle w:val="Compact"/>
            </w:pPr>
            <w:r>
              <w:t xml:space="preserve">Si no paga</w:t>
            </w:r>
          </w:p>
        </w:tc>
        <w:tc>
          <w:tcPr/>
          <w:p>
            <w:pPr>
              <w:pStyle w:val="Compact"/>
            </w:pPr>
            <w:r>
              <w:t xml:space="preserve">Primero le avisamos y le damos un plazo para ponerse al día; luego le enviamos la liquidación y puede objetarla; solo después se paga con su depósito, por lo que debe, y le devolvemos el sobrante</w:t>
            </w:r>
          </w:p>
        </w:tc>
        <w:tc>
          <w:tcPr/>
          <w:p>
            <w:pPr>
              <w:pStyle w:val="Compact"/>
            </w:pPr>
            <w:r>
              <w:t xml:space="preserve">Cláusula séptima</w:t>
            </w:r>
          </w:p>
        </w:tc>
      </w:tr>
      <w:tr>
        <w:tc>
          <w:tcPr/>
          <w:p>
            <w:pPr>
              <w:pStyle w:val="Compact"/>
            </w:pPr>
            <w:r>
              <w:t xml:space="preserve">Reporte negativo</w:t>
            </w:r>
          </w:p>
        </w:tc>
        <w:tc>
          <w:tcPr/>
          <w:p>
            <w:pPr>
              <w:pStyle w:val="Compact"/>
            </w:pPr>
            <w:r>
              <w:t xml:space="preserve">Solo después del aviso previo de 20 días calendario que exige la ley</w:t>
            </w:r>
          </w:p>
        </w:tc>
        <w:tc>
          <w:tcPr/>
          <w:p>
            <w:pPr>
              <w:pStyle w:val="Compact"/>
            </w:pPr>
            <w:r>
              <w:t xml:space="preserve">Cláusula sexta</w:t>
            </w:r>
          </w:p>
        </w:tc>
      </w:tr>
      <w:tr>
        <w:tc>
          <w:tcPr/>
          <w:p>
            <w:pPr>
              <w:pStyle w:val="Compact"/>
            </w:pPr>
            <w:r>
              <w:t xml:space="preserve">Insolvencia</w:t>
            </w:r>
          </w:p>
        </w:tc>
        <w:tc>
          <w:tcPr/>
          <w:p>
            <w:pPr>
              <w:pStyle w:val="Compact"/>
            </w:pPr>
            <w:r>
              <w:t xml:space="preserve">Si usted inicia un trámite de insolvencia, se suspende el pago con su depósito en los términos de la Ley 2445 de 2025</w:t>
            </w:r>
          </w:p>
        </w:tc>
        <w:tc>
          <w:tcPr/>
          <w:p>
            <w:pPr>
              <w:pStyle w:val="Compact"/>
            </w:pPr>
            <w:r>
              <w:t xml:space="preserve">Cláusula séptima</w:t>
            </w:r>
          </w:p>
        </w:tc>
      </w:tr>
      <w:tr>
        <w:tc>
          <w:tcPr/>
          <w:p>
            <w:pPr>
              <w:pStyle w:val="Compact"/>
            </w:pPr>
            <w:r>
              <w:t xml:space="preserve">Arrepentirse</w:t>
            </w:r>
          </w:p>
        </w:tc>
        <w:tc>
          <w:tcPr/>
          <w:p>
            <w:pPr>
              <w:pStyle w:val="Compact"/>
            </w:pPr>
            <w:r>
              <w:t xml:space="preserve">Si se vinculó por canal digital o a distancia, tiene cinco días hábiles para retractarse sin costo</w:t>
            </w:r>
          </w:p>
        </w:tc>
        <w:tc>
          <w:tcPr/>
          <w:p>
            <w:pPr>
              <w:pStyle w:val="Compact"/>
            </w:pPr>
            <w:r>
              <w:t xml:space="preserve">Cláusula novena</w:t>
            </w:r>
          </w:p>
        </w:tc>
      </w:tr>
      <w:tr>
        <w:tc>
          <w:tcPr/>
          <w:p>
            <w:pPr>
              <w:pStyle w:val="Compact"/>
            </w:pPr>
            <w:r>
              <w:t xml:space="preserve">Cancelar</w:t>
            </w:r>
          </w:p>
        </w:tc>
        <w:tc>
          <w:tcPr/>
          <w:p>
            <w:pPr>
              <w:pStyle w:val="Compact"/>
            </w:pPr>
            <w:r>
              <w:t xml:space="preserve">Puede cancelar cuando quiera si no debe nada; le liberamos su dinero en el plazo del Bloque A</w:t>
            </w:r>
          </w:p>
        </w:tc>
        <w:tc>
          <w:tcPr/>
          <w:p>
            <w:pPr>
              <w:pStyle w:val="Compact"/>
            </w:pPr>
            <w:r>
              <w:t xml:space="preserve">Cláusula décima primera</w:t>
            </w:r>
          </w:p>
        </w:tc>
      </w:tr>
      <w:tr>
        <w:tc>
          <w:tcPr/>
          <w:p>
            <w:pPr>
              <w:pStyle w:val="Compact"/>
            </w:pPr>
            <w:r>
              <w:t xml:space="preserve">Cobranza</w:t>
            </w:r>
          </w:p>
        </w:tc>
        <w:tc>
          <w:tcPr/>
          <w:p>
            <w:pPr>
              <w:pStyle w:val="Compact"/>
            </w:pPr>
            <w:r>
              <w:t xml:space="preserve">Solo por los canales que usted autorice, en horarios legales, sin visitas y sin llamar a sus referencias</w:t>
            </w:r>
          </w:p>
        </w:tc>
        <w:tc>
          <w:tcPr/>
          <w:p>
            <w:pPr>
              <w:pStyle w:val="Compact"/>
            </w:pPr>
            <w:r>
              <w:t xml:space="preserve">Cláusula vigésima primera</w:t>
            </w:r>
          </w:p>
        </w:tc>
      </w:tr>
      <w:tr>
        <w:tc>
          <w:tcPr/>
          <w:p>
            <w:pPr>
              <w:pStyle w:val="Compact"/>
            </w:pPr>
            <w:r>
              <w:t xml:space="preserve">Quejas</w:t>
            </w:r>
          </w:p>
        </w:tc>
        <w:tc>
          <w:tcPr/>
          <w:p>
            <w:pPr>
              <w:pStyle w:val="Compact"/>
            </w:pPr>
            <w:r>
              <w:t xml:space="preserve">Por el crédito y el reporte, ante EHOLDINGS y la Superintendencia de Industria y Comercio. Por la cuenta, ante Coopcentral, su Defensor del Consumidor Financiero y la Superintendencia Financiera</w:t>
            </w:r>
          </w:p>
        </w:tc>
        <w:tc>
          <w:tcPr/>
          <w:p>
            <w:pPr>
              <w:pStyle w:val="Compact"/>
            </w:pPr>
            <w:r>
              <w:t xml:space="preserve">Cláusula décima sexta y Anexo 3</w:t>
            </w:r>
          </w:p>
        </w:tc>
      </w:tr>
    </w:tbl>
    <w:bookmarkEnd w:id="917"/>
    <w:bookmarkStart w:id="953" w:name="contrato-de-línea-de-crédito-rotativa"/>
    <w:p>
      <w:pPr>
        <w:pStyle w:val="Heading1"/>
      </w:pPr>
      <w:r>
        <w:t xml:space="preserve">Contrato de línea de crédito rotativa</w:t>
      </w:r>
    </w:p>
    <w:p>
      <w:pPr>
        <w:pStyle w:val="FirstParagraph"/>
      </w:pPr>
      <w:r>
        <w:t xml:space="preserve">Entre EHOLDINGS FLORIDA S.A.S., sigla CREDIX1 S.A.S. (Bloque A), en adelante EHOLDINGS, y el cliente identificado en el Bloque B, se celebra el presente contrato de línea de crédito rotativa.</w:t>
      </w:r>
    </w:p>
    <w:bookmarkStart w:id="920" w:name="X91e1b841977f128f6f49d2d4b819ef7e2a7c612"/>
    <w:p>
      <w:pPr>
        <w:pStyle w:val="Heading2"/>
      </w:pPr>
      <w:r>
        <w:t xml:space="preserve">Cláusula primera. Objeto y naturaleza de las partes</w:t>
      </w:r>
    </w:p>
    <w:p>
      <w:pPr>
        <w:pStyle w:val="FirstParagraph"/>
      </w:pPr>
      <w:r>
        <w:t xml:space="preserve">EHOLDINGS otorga al cliente una línea de crédito rotativa por el cupo inicial del Bloque B, utilizable exclusivamente mediante el instrumento de pago CREDIX1, emitido por el emisor autorizado del Bloque A dentro de la franquicia allí indicada, conforme al Decreto 1692 de 2020 y al contrato de emisión, patrocinio de BIN y procesamiento que EHOLDINGS mantiene con dicho emisor.</w:t>
      </w:r>
    </w:p>
    <w:bookmarkStart w:id="918" w:name="declaración-de-roles"/>
    <w:p>
      <w:pPr>
        <w:pStyle w:val="Heading3"/>
      </w:pPr>
      <w:r>
        <w:t xml:space="preserve">Declaración de roles</w:t>
      </w:r>
    </w:p>
    <w:p>
      <w:pPr>
        <w:pStyle w:val="Compact"/>
        <w:numPr>
          <w:ilvl w:val="0"/>
          <w:numId w:val="1001"/>
        </w:numPr>
      </w:pPr>
      <w:r>
        <w:t xml:space="preserve">EHOLDINGS otorga el crédito, administra la garantía mobiliaria de control y reporta el comportamiento de pago a los operadores de información.</w:t>
      </w:r>
    </w:p>
    <w:p>
      <w:pPr>
        <w:pStyle w:val="Compact"/>
        <w:numPr>
          <w:ilvl w:val="0"/>
          <w:numId w:val="1001"/>
        </w:numPr>
      </w:pPr>
      <w:r>
        <w:t xml:space="preserve">El emisor autorizado emite el instrumento de pago y procesa las transacciones bajo las reglas de la franquicia.</w:t>
      </w:r>
    </w:p>
    <w:p>
      <w:pPr>
        <w:pStyle w:val="Compact"/>
        <w:numPr>
          <w:ilvl w:val="0"/>
          <w:numId w:val="1001"/>
        </w:numPr>
      </w:pPr>
      <w:r>
        <w:t xml:space="preserve">Banco Cooperativo Coopcentral es la entidad depositaria de los recursos que respaldan el cupo, conforme al contrato marco de garantía mobiliaria de control celebrado entre Coopcentral y EHOLDINGS, al que el cliente se adhiere en la sección de adhesión de este documento.</w:t>
      </w:r>
    </w:p>
    <w:p>
      <w:pPr>
        <w:pStyle w:val="FirstParagraph"/>
      </w:pPr>
      <w:r>
        <w:t xml:space="preserve">Son tres entidades distintas, y cada una responde en el ámbito que le corresponde.</w:t>
      </w:r>
    </w:p>
    <w:bookmarkEnd w:id="918"/>
    <w:bookmarkStart w:id="919" w:name="advertencia"/>
    <w:p>
      <w:pPr>
        <w:pStyle w:val="Heading3"/>
      </w:pPr>
      <w:r>
        <w:t xml:space="preserve">Advertencia</w:t>
      </w:r>
    </w:p>
    <w:p>
      <w:pPr>
        <w:pStyle w:val="FirstParagraph"/>
      </w:pPr>
      <w:r>
        <w:t xml:space="preserve">EHOLDINGS no es una entidad vigilada por la Superintendencia Financiera de Colombia. Las obligaciones de EHOLDINGS bajo este contrato no están amparadas por el seguro de depósitos del Fondo de Garantías de Instituciones Financieras (Fogafín).</w:t>
      </w:r>
    </w:p>
    <w:p>
      <w:pPr>
        <w:pStyle w:val="BodyText"/>
      </w:pPr>
      <w:r>
        <w:t xml:space="preserve">La única entidad vigilada de este esquema es Coopcentral, exclusivamente respecto de la cuenta donde reposan los recursos que respaldan el cupo.</w:t>
      </w:r>
    </w:p>
    <w:bookmarkEnd w:id="919"/>
    <w:bookmarkEnd w:id="920"/>
    <w:bookmarkStart w:id="925" w:name="Xec328157ec2bd2f425ad417c6a06d494a01f365"/>
    <w:p>
      <w:pPr>
        <w:pStyle w:val="Heading2"/>
      </w:pPr>
      <w:r>
        <w:t xml:space="preserve">Cláusula segunda. Respaldo del cupo: garantía mobiliaria de control</w:t>
      </w:r>
    </w:p>
    <w:p>
      <w:pPr>
        <w:pStyle w:val="FirstParagraph"/>
      </w:pPr>
      <w:r>
        <w:t xml:space="preserve">El cupo está respaldado por una garantía mobiliaria de control constituida sobre la cuenta de ahorros del cliente en Coopcentral identificada en el Bloque B, conforme al contrato marco de garantía mobiliaria de control entre Coopcentral y EHOLDINGS y a la adhesión individual que el cliente suscribe en este documento.</w:t>
      </w:r>
    </w:p>
    <w:bookmarkStart w:id="921" w:name="modalidades-de-control"/>
    <w:p>
      <w:pPr>
        <w:pStyle w:val="Heading3"/>
      </w:pPr>
      <w:r>
        <w:t xml:space="preserve">Modalidades de control</w:t>
      </w:r>
    </w:p>
    <w:p>
      <w:pPr>
        <w:pStyle w:val="FirstParagraph"/>
      </w:pPr>
      <w:r>
        <w:t xml:space="preserve">El cliente elige una de dos modalidades al vincularse y la marca en el Bloque B y en la adhesión:</w:t>
      </w:r>
    </w:p>
    <w:p>
      <w:pPr>
        <w:pStyle w:val="Compact"/>
        <w:numPr>
          <w:ilvl w:val="0"/>
          <w:numId w:val="1002"/>
        </w:numPr>
      </w:pPr>
      <w:r>
        <w:t xml:space="preserve">Control absoluto: el cien por ciento del monto depositado queda inmovilizado desde la firma, use o no el cliente el cupo.</w:t>
      </w:r>
    </w:p>
    <w:p>
      <w:pPr>
        <w:pStyle w:val="Compact"/>
        <w:numPr>
          <w:ilvl w:val="0"/>
          <w:numId w:val="1002"/>
        </w:numPr>
      </w:pPr>
      <w:r>
        <w:t xml:space="preserve">Control dinámico: queda inmovilizado el saldo insoluto del cupo utilizado más el colchón del Bloque A, y el excedente se libera automáticamente cada vez que el cliente paga o reduce su utilización.</w:t>
      </w:r>
    </w:p>
    <w:p>
      <w:pPr>
        <w:pStyle w:val="FirstParagraph"/>
      </w:pPr>
      <w:r>
        <w:t xml:space="preserve">La modalidad solo puede cambiarse por solicitud expresa del cliente aceptada por EHOLDINGS, y el cambio se documenta en una nueva adhesión.</w:t>
      </w:r>
    </w:p>
    <w:bookmarkEnd w:id="921"/>
    <w:bookmarkStart w:id="922" w:name="naturaleza-de-la-inmovilización"/>
    <w:p>
      <w:pPr>
        <w:pStyle w:val="Heading3"/>
      </w:pPr>
      <w:r>
        <w:t xml:space="preserve">Naturaleza de la inmovilización</w:t>
      </w:r>
    </w:p>
    <w:p>
      <w:pPr>
        <w:pStyle w:val="FirstParagraph"/>
      </w:pPr>
      <w:r>
        <w:t xml:space="preserve">La inmovilización de los recursos del cliente en Coopcentral es exclusivamente una garantía a favor de EHOLDINGS. No es contraprestación, precio, comisión ni depósito a favor de EHOLDINGS. EHOLDINGS no ofrece ni paga rendimiento alguno sobre esos recursos.</w:t>
      </w:r>
    </w:p>
    <w:p>
      <w:pPr>
        <w:pStyle w:val="BodyText"/>
      </w:pPr>
      <w:r>
        <w:t xml:space="preserve">Mientras la garantía esté vigente, el cliente no puede disponer libremente de los recursos inmovilizados, salvo mediante el uso de la tarjeta o el procedimiento de liberación por mínimo vital de esta cláusula.</w:t>
      </w:r>
    </w:p>
    <w:bookmarkEnd w:id="922"/>
    <w:bookmarkStart w:id="923" w:name="Xda465fb20ee9529a77e1f9c82299b0126042285"/>
    <w:p>
      <w:pPr>
        <w:pStyle w:val="Heading3"/>
      </w:pPr>
      <w:r>
        <w:t xml:space="preserve">Declaración del cliente sobre la naturaleza de los recursos</w:t>
      </w:r>
    </w:p>
    <w:p>
      <w:pPr>
        <w:pStyle w:val="FirstParagraph"/>
      </w:pPr>
      <w:r>
        <w:t xml:space="preserve">El cliente declara que los recursos depositados para respaldar el cupo no corresponden a salario, mesada pensional, prestaciones sociales ni recursos de destinación protegida por ley, y que su patrimonio restante es suficiente para atender sus obligaciones alimentarias y laborales frente a terceros.</w:t>
      </w:r>
    </w:p>
    <w:bookmarkEnd w:id="923"/>
    <w:bookmarkStart w:id="924" w:name="liberación-por-mínimo-vital"/>
    <w:p>
      <w:pPr>
        <w:pStyle w:val="Heading3"/>
      </w:pPr>
      <w:r>
        <w:t xml:space="preserve">Liberación por mínimo vital</w:t>
      </w:r>
    </w:p>
    <w:p>
      <w:pPr>
        <w:pStyle w:val="FirstParagraph"/>
      </w:pPr>
      <w:r>
        <w:t xml:space="preserve">Si el cliente acredita que los recursos inmovilizados, o parte de ellos, corresponden a su mínimo vital, EHOLDINGS libera esa porción dentro del plazo de liberación por mínimo vital del Bloque A, contado desde la acreditación, y ajusta el cupo disponible en la misma proporción.</w:t>
      </w:r>
    </w:p>
    <w:bookmarkEnd w:id="924"/>
    <w:bookmarkEnd w:id="925"/>
    <w:bookmarkStart w:id="926" w:name="Xe5b492df7b8f5283dbc18fe5a04dbe3c761aeec"/>
    <w:p>
      <w:pPr>
        <w:pStyle w:val="Heading2"/>
      </w:pPr>
      <w:r>
        <w:t xml:space="preserve">Cláusula tercera. Uso del cupo y naturaleza de las transacciones</w:t>
      </w:r>
    </w:p>
    <w:p>
      <w:pPr>
        <w:pStyle w:val="FirstParagraph"/>
      </w:pPr>
      <w:r>
        <w:t xml:space="preserve">El cliente usa el cupo mediante compras reales con el instrumento de pago. Cada transacción es una extensión de crédito efectiva y verificable, respaldada por su comprobante.</w:t>
      </w:r>
    </w:p>
    <w:p>
      <w:pPr>
        <w:pStyle w:val="BodyText"/>
      </w:pPr>
      <w:r>
        <w:t xml:space="preserve">El cupo no se entrega en efectivo ni de forma anticipada. Su disponibilidad se materializa exclusivamente a través del uso de la tarjeta.</w:t>
      </w:r>
    </w:p>
    <w:bookmarkEnd w:id="926"/>
    <w:bookmarkStart w:id="930" w:name="X4359c77b34c77702bb43393f3013ad52d8d830e"/>
    <w:p>
      <w:pPr>
        <w:pStyle w:val="Heading2"/>
      </w:pPr>
      <w:r>
        <w:t xml:space="preserve">Cláusula cuarta. Tasa de interés y costo total del crédito</w:t>
      </w:r>
    </w:p>
    <w:bookmarkStart w:id="927" w:name="tasa"/>
    <w:p>
      <w:pPr>
        <w:pStyle w:val="Heading3"/>
      </w:pPr>
      <w:r>
        <w:t xml:space="preserve">Tasa</w:t>
      </w:r>
    </w:p>
    <w:p>
      <w:pPr>
        <w:pStyle w:val="FirstParagraph"/>
      </w:pPr>
      <w:r>
        <w:t xml:space="preserve">El cliente paga por el cupo utilizado la tasa de interés remuneratorio efectiva anual pactada en el Anexo 1. En ningún caso esa tasa excede la tasa de usura que certifica mensualmente la Superintendencia Financiera de Colombia para la modalidad de crédito de consumo y ordinario.</w:t>
      </w:r>
    </w:p>
    <w:p>
      <w:pPr>
        <w:pStyle w:val="BodyText"/>
      </w:pPr>
      <w:r>
        <w:t xml:space="preserve">Si el tope certificado disminuye por debajo de la tasa pactada, la tasa se ajusta automáticamente a la baja. Este ajuste no es una modificación unilateral del contrato, porque obedece a un límite externo impuesto por la ley.</w:t>
      </w:r>
    </w:p>
    <w:bookmarkEnd w:id="927"/>
    <w:bookmarkStart w:id="928" w:name="costo-total"/>
    <w:p>
      <w:pPr>
        <w:pStyle w:val="Heading3"/>
      </w:pPr>
      <w:r>
        <w:t xml:space="preserve">Costo total</w:t>
      </w:r>
    </w:p>
    <w:p>
      <w:pPr>
        <w:pStyle w:val="FirstParagraph"/>
      </w:pPr>
      <w:r>
        <w:t xml:space="preserve">El Anexo 1 hace parte integral de este contrato y contiene todos los cobros del producto, que se suman para calcular la tasa efectiva anual conforme al artículo 68 de la Ley 45 de 1990: interés remuneratorio, interés moratorio, cuota de manejo, cargo por administración de la garantía, seguro si el cliente lo contrata y traslado del gravamen a los movimientos financieros cuando aplique.</w:t>
      </w:r>
    </w:p>
    <w:p>
      <w:pPr>
        <w:pStyle w:val="BodyText"/>
      </w:pPr>
      <w:r>
        <w:t xml:space="preserve">Ningún cobro que no esté en la tabla del Anexo 1 puede aplicarse al cliente. Un cobro nuevo exige modificar el Anexo 1 con el consentimiento expreso del cliente, conforme a la cláusula décima.</w:t>
      </w:r>
    </w:p>
    <w:bookmarkEnd w:id="928"/>
    <w:bookmarkStart w:id="929" w:name="contenidos-mínimos-de-información"/>
    <w:p>
      <w:pPr>
        <w:pStyle w:val="Heading3"/>
      </w:pPr>
      <w:r>
        <w:t xml:space="preserve">Contenidos mínimos de información</w:t>
      </w:r>
    </w:p>
    <w:p>
      <w:pPr>
        <w:pStyle w:val="FirstParagraph"/>
      </w:pPr>
      <w:r>
        <w:t xml:space="preserve">Conforme al Decreto 1368 de 2014, este contrato y cada extracto expresan el monto financiado o cupo, la tasa de interés remuneratorio y moratorio en términos efectivos anuales, el sistema de liquidación de intereses, la periodicidad de la cuota y el monto de la cuota mínima.</w:t>
      </w:r>
    </w:p>
    <w:bookmarkEnd w:id="929"/>
    <w:bookmarkEnd w:id="930"/>
    <w:bookmarkStart w:id="931" w:name="cláusula-quinta.-extractos-y-pagos"/>
    <w:p>
      <w:pPr>
        <w:pStyle w:val="Heading2"/>
      </w:pPr>
      <w:r>
        <w:t xml:space="preserve">Cláusula quinta. Extractos y pagos</w:t>
      </w:r>
    </w:p>
    <w:p>
      <w:pPr>
        <w:pStyle w:val="FirstParagraph"/>
      </w:pPr>
      <w:r>
        <w:t xml:space="preserve">EHOLDINGS expide mensualmente un extracto con el saldo utilizado, los intereses causados, el pago mínimo exigido, la fecha límite de pago y la tasa efectiva anual vigente en el período.</w:t>
      </w:r>
    </w:p>
    <w:p>
      <w:pPr>
        <w:pStyle w:val="BodyText"/>
      </w:pPr>
      <w:r>
        <w:t xml:space="preserve">El cliente paga, como mínimo, el pago mínimo indicado en cada extracto, dentro del plazo allí señalado.</w:t>
      </w:r>
    </w:p>
    <w:bookmarkEnd w:id="931"/>
    <w:bookmarkStart w:id="933" w:name="Xd85af8167fcbe0312105e56147f7b58aa74cfc2"/>
    <w:p>
      <w:pPr>
        <w:pStyle w:val="Heading2"/>
      </w:pPr>
      <w:r>
        <w:t xml:space="preserve">Cláusula sexta. Reporte a centrales de riesgo</w:t>
      </w:r>
    </w:p>
    <w:p>
      <w:pPr>
        <w:pStyle w:val="FirstParagraph"/>
      </w:pPr>
      <w:r>
        <w:t xml:space="preserve">EHOLDINGS reporta mensualmente el comportamiento de pago del cliente a los operadores de información del Bloque A, conforme a la autorización específica del Anexo 2 y a la política de tratamiento de datos personales de EHOLDINGS.</w:t>
      </w:r>
    </w:p>
    <w:p>
      <w:pPr>
        <w:pStyle w:val="BodyText"/>
      </w:pPr>
      <w:r>
        <w:t xml:space="preserve">El pago puntual se reporta sin aviso previo. El dato negativo solo se reporta transcurridos veinte días calendario desde el envío al cliente de la comunicación previa del artículo 12 de la Ley 1266 de 2008. Si la obligación en mora es igual o inferior al quince por ciento de un salario mínimo legal mensual vigente, el reporte exige además al menos dos comunicaciones en días diferentes, conforme al parágrafo 2 del artículo 13 de la misma ley, modificado por la Ley 2157 de 2021.</w:t>
      </w:r>
    </w:p>
    <w:p>
      <w:pPr>
        <w:pStyle w:val="BodyText"/>
      </w:pPr>
      <w:r>
        <w:t xml:space="preserve">Toda obligación que se extinga, incluida la que se paga con la garantía, se actualiza ante los operadores el mismo día en que se extingue.</w:t>
      </w:r>
    </w:p>
    <w:bookmarkStart w:id="932" w:name="alcance-del-servicio"/>
    <w:p>
      <w:pPr>
        <w:pStyle w:val="Heading3"/>
      </w:pPr>
      <w:r>
        <w:t xml:space="preserve">Alcance del servicio</w:t>
      </w:r>
    </w:p>
    <w:p>
      <w:pPr>
        <w:pStyle w:val="FirstParagraph"/>
      </w:pPr>
      <w:r>
        <w:t xml:space="preserve">EHOLDINGS no controla el modelo de cálculo del puntaje de cada operador de información. El servicio consiste en reportar de forma veraz el comportamiento de pago del cliente. EHOLDINGS no garantiza una mejora determinada del puntaje, la aprobación de créditos futuros con ninguna entidad, la eliminación de reportes preexistentes de otras fuentes ni la sustitución del pago de otras obligaciones del cliente. El resultado depende también de la demás información financiera del cliente que reporten otras entidades.</w:t>
      </w:r>
    </w:p>
    <w:bookmarkEnd w:id="932"/>
    <w:bookmarkEnd w:id="933"/>
    <w:bookmarkStart w:id="938" w:name="Xbdca1c313aeb50867d50bf557cd71115e1ef5c1"/>
    <w:p>
      <w:pPr>
        <w:pStyle w:val="Heading2"/>
      </w:pPr>
      <w:r>
        <w:t xml:space="preserve">Cláusula séptima. Incumplimiento y pago directo</w:t>
      </w:r>
    </w:p>
    <w:bookmarkStart w:id="934" w:name="evento-de-incumplimiento"/>
    <w:p>
      <w:pPr>
        <w:pStyle w:val="Heading3"/>
      </w:pPr>
      <w:r>
        <w:t xml:space="preserve">Evento de incumplimiento</w:t>
      </w:r>
    </w:p>
    <w:p>
      <w:pPr>
        <w:pStyle w:val="FirstParagraph"/>
      </w:pPr>
      <w:r>
        <w:t xml:space="preserve">Hay evento de incumplimiento cuando el cliente no paga el pago mínimo dentro del número de días calendario del Bloque A siguientes a la fecha límite del extracto correspondiente.</w:t>
      </w:r>
    </w:p>
    <w:bookmarkEnd w:id="934"/>
    <w:bookmarkStart w:id="935" w:name="procedimiento-previo-a-la-ejecución"/>
    <w:p>
      <w:pPr>
        <w:pStyle w:val="Heading3"/>
      </w:pPr>
      <w:r>
        <w:t xml:space="preserve">Procedimiento previo a la ejecución</w:t>
      </w:r>
    </w:p>
    <w:p>
      <w:pPr>
        <w:pStyle w:val="FirstParagraph"/>
      </w:pPr>
      <w:r>
        <w:t xml:space="preserve">Configurado el evento de incumplimiento, EHOLDINGS sigue estos pasos:</w:t>
      </w:r>
    </w:p>
    <w:p>
      <w:pPr>
        <w:pStyle w:val="Compact"/>
        <w:numPr>
          <w:ilvl w:val="0"/>
          <w:numId w:val="1003"/>
        </w:numPr>
      </w:pPr>
      <w:r>
        <w:t xml:space="preserve">Notifica al cliente el incumplimiento y le concede el plazo de subsanación del Bloque A. La notificación incluye la comunicación previa al reporte negativo de la cláusula sexta.</w:t>
      </w:r>
    </w:p>
    <w:p>
      <w:pPr>
        <w:pStyle w:val="Compact"/>
        <w:numPr>
          <w:ilvl w:val="0"/>
          <w:numId w:val="1003"/>
        </w:numPr>
      </w:pPr>
      <w:r>
        <w:t xml:space="preserve">Si el cliente no subsana, le envía la liquidación detallada de lo adeudado por concepto: capital, interés remuneratorio, interés moratorio y demás cobros del Anexo 1.</w:t>
      </w:r>
    </w:p>
    <w:p>
      <w:pPr>
        <w:pStyle w:val="Compact"/>
        <w:numPr>
          <w:ilvl w:val="0"/>
          <w:numId w:val="1003"/>
        </w:numPr>
      </w:pPr>
      <w:r>
        <w:t xml:space="preserve">Concede al cliente el plazo de objeción del Bloque A para objetar la liquidación antes de instruir el pago directo.</w:t>
      </w:r>
    </w:p>
    <w:p>
      <w:pPr>
        <w:pStyle w:val="Compact"/>
        <w:numPr>
          <w:ilvl w:val="0"/>
          <w:numId w:val="1003"/>
        </w:numPr>
      </w:pPr>
      <w:r>
        <w:t xml:space="preserve">Resueltas las objeciones, o vencido el plazo sin objeción, instruye a Coopcentral el pago directo, conforme al contrato marco de garantía mobiliaria de control, únicamente por el monto efectivamente adeudado según la liquidación.</w:t>
      </w:r>
    </w:p>
    <w:p>
      <w:pPr>
        <w:pStyle w:val="Compact"/>
        <w:numPr>
          <w:ilvl w:val="0"/>
          <w:numId w:val="1003"/>
        </w:numPr>
      </w:pPr>
      <w:r>
        <w:t xml:space="preserve">Devuelve al cliente cualquier remanente dentro del plazo del Bloque A, contado desde la ejecución, a la misma cuenta y al mismo titular.</w:t>
      </w:r>
    </w:p>
    <w:bookmarkEnd w:id="935"/>
    <w:bookmarkStart w:id="936" w:name="suspensión-por-insolvencia"/>
    <w:p>
      <w:pPr>
        <w:pStyle w:val="Heading3"/>
      </w:pPr>
      <w:r>
        <w:t xml:space="preserve">Suspensión por insolvencia</w:t>
      </w:r>
    </w:p>
    <w:p>
      <w:pPr>
        <w:pStyle w:val="FirstParagraph"/>
      </w:pPr>
      <w:r>
        <w:t xml:space="preserve">Si el cliente informa, o EHOLDINGS conoce por cualquier medio, la radicación de un trámite de insolvencia de persona natural no comerciante, EHOLDINGS suspende de inmediato cualquier instrucción de pago directo pendiente de ejecución, salvo que el incumplimiento ya fuera cierto y estuviera avisado con anterioridad a la radicación, conforme a la Ley 2445 de 2025.</w:t>
      </w:r>
    </w:p>
    <w:bookmarkEnd w:id="936"/>
    <w:bookmarkStart w:id="937" w:name="prohibición-de-renuncia-anticipada"/>
    <w:p>
      <w:pPr>
        <w:pStyle w:val="Heading3"/>
      </w:pPr>
      <w:r>
        <w:t xml:space="preserve">Prohibición de renuncia anticipada</w:t>
      </w:r>
    </w:p>
    <w:p>
      <w:pPr>
        <w:pStyle w:val="FirstParagraph"/>
      </w:pPr>
      <w:r>
        <w:t xml:space="preserve">El cliente no renuncia, mediante este contrato, a ninguna excepción, objeción o mecanismo de reclamo previsto en esta cláusula o en la ley.</w:t>
      </w:r>
    </w:p>
    <w:bookmarkEnd w:id="937"/>
    <w:bookmarkEnd w:id="938"/>
    <w:bookmarkStart w:id="939" w:name="X5e07eb7007457aedc6ad4c5a6203d5b01f08c7f"/>
    <w:p>
      <w:pPr>
        <w:pStyle w:val="Heading2"/>
      </w:pPr>
      <w:r>
        <w:t xml:space="preserve">Cláusula octava. Disputas de transacciones, contracargos y reversiones</w:t>
      </w:r>
    </w:p>
    <w:p>
      <w:pPr>
        <w:pStyle w:val="FirstParagraph"/>
      </w:pPr>
      <w:r>
        <w:t xml:space="preserve">El cliente puede disputar una transacción no reconocida o un bien o servicio no recibido, conforme al reglamento de la franquicia y, en operaciones de comercio electrónico, al artículo 51 de la Ley 1480 de 2011.</w:t>
      </w:r>
    </w:p>
    <w:p>
      <w:pPr>
        <w:pStyle w:val="BodyText"/>
      </w:pPr>
      <w:r>
        <w:t xml:space="preserve">La disputa se presenta por los canales del Anexo 3. El emisor la tramita según el reglamento de la franquicia y EHOLDINGS informa al cliente el resultado y el ajuste de su saldo.</w:t>
      </w:r>
    </w:p>
    <w:p>
      <w:pPr>
        <w:pStyle w:val="BodyText"/>
      </w:pPr>
      <w:r>
        <w:t xml:space="preserve">Mientras la disputa esté en trámite, el monto disputado no se computa como saldo en mora para efectos del reporte a centrales de riesgo.</w:t>
      </w:r>
    </w:p>
    <w:bookmarkEnd w:id="939"/>
    <w:bookmarkStart w:id="940" w:name="cláusula-novena.-retracto"/>
    <w:p>
      <w:pPr>
        <w:pStyle w:val="Heading2"/>
      </w:pPr>
      <w:r>
        <w:t xml:space="preserve">Cláusula novena. Retracto</w:t>
      </w:r>
    </w:p>
    <w:p>
      <w:pPr>
        <w:pStyle w:val="FirstParagraph"/>
      </w:pPr>
      <w:r>
        <w:t xml:space="preserve">Si la vinculación se realizó por un canal digital o a distancia, el cliente puede retractarse dentro de los cinco días hábiles siguientes a la celebración del contrato, conforme al artículo 47 de la Ley 1480 de 2011.</w:t>
      </w:r>
    </w:p>
    <w:p>
      <w:pPr>
        <w:pStyle w:val="BodyText"/>
      </w:pPr>
      <w:r>
        <w:t xml:space="preserve">Ejercido el retracto, se cancela el cupo, se libera en su totalidad la garantía mobiliaria, no se reporta a ninguna central de riesgo información derivada de este contrato y EHOLDINGS no cobra penalidad alguna.</w:t>
      </w:r>
    </w:p>
    <w:bookmarkEnd w:id="940"/>
    <w:bookmarkStart w:id="941" w:name="cláusula-décima.-modificaciones"/>
    <w:p>
      <w:pPr>
        <w:pStyle w:val="Heading2"/>
      </w:pPr>
      <w:r>
        <w:t xml:space="preserve">Cláusula décima. Modificaciones</w:t>
      </w:r>
    </w:p>
    <w:p>
      <w:pPr>
        <w:pStyle w:val="FirstParagraph"/>
      </w:pPr>
      <w:r>
        <w:t xml:space="preserve">EHOLDINGS no modifica unilateralmente la tasa, el cupo, los cobros del Anexo 1 ni las condiciones de reporte. Cada cambio puntual requiere el consentimiento expreso del cliente.</w:t>
      </w:r>
    </w:p>
    <w:p>
      <w:pPr>
        <w:pStyle w:val="BodyText"/>
      </w:pPr>
      <w:r>
        <w:t xml:space="preserve">Se exceptúa el ajuste automático a la baja por disminución del tope de usura certificado, previsto en la cláusula cuarta.</w:t>
      </w:r>
    </w:p>
    <w:bookmarkEnd w:id="941"/>
    <w:bookmarkStart w:id="942" w:name="X3cea8569e8e02ed04af050e5f63d62e76138ef9"/>
    <w:p>
      <w:pPr>
        <w:pStyle w:val="Heading2"/>
      </w:pPr>
      <w:r>
        <w:t xml:space="preserve">Cláusula décima primera. Cancelación y terminación</w:t>
      </w:r>
    </w:p>
    <w:p>
      <w:pPr>
        <w:pStyle w:val="FirstParagraph"/>
      </w:pPr>
      <w:r>
        <w:t xml:space="preserve">El cliente puede solicitar la cancelación en cualquier momento, siempre que no exista saldo pendiente. Ejercida la cancelación, EHOLDINGS libera el control sobre los recursos remanentes dentro del plazo de liberación al cancelar del Bloque A.</w:t>
      </w:r>
    </w:p>
    <w:p>
      <w:pPr>
        <w:pStyle w:val="BodyText"/>
      </w:pPr>
      <w:r>
        <w:t xml:space="preserve">EHOLDINGS solo puede terminar el contrato por incumplimiento grave o reiterado del cliente o por las causales objetivas del Anexo 3, previa notificación al cliente. No puede terminarlo por causales distintas.</w:t>
      </w:r>
    </w:p>
    <w:bookmarkEnd w:id="942"/>
    <w:bookmarkStart w:id="943" w:name="Xc7316d3c731472e269266f829129c54228ab6eb"/>
    <w:p>
      <w:pPr>
        <w:pStyle w:val="Heading2"/>
      </w:pPr>
      <w:r>
        <w:t xml:space="preserve">Cláusula décima segunda. Ruta de graduación</w:t>
      </w:r>
    </w:p>
    <w:p>
      <w:pPr>
        <w:pStyle w:val="FirstParagraph"/>
      </w:pPr>
      <w:r>
        <w:t xml:space="preserve">Cumplidos los meses de pago puntual del Bloque A, sin incumplimientos, el cliente puede solicitar la evaluación de una línea de crédito sin garantía o con garantía parcial, conforme a la política de graduación de EHOLDINGS.</w:t>
      </w:r>
    </w:p>
    <w:p>
      <w:pPr>
        <w:pStyle w:val="BodyText"/>
      </w:pPr>
      <w:r>
        <w:t xml:space="preserve">Esta ruta no es una obligación de resultado ni garantiza la aprobación de un cupo no garantizado.</w:t>
      </w:r>
    </w:p>
    <w:bookmarkEnd w:id="943"/>
    <w:bookmarkStart w:id="944" w:name="X23d4a62b65500bca28faa0152604f4ec469eb29"/>
    <w:p>
      <w:pPr>
        <w:pStyle w:val="Heading2"/>
      </w:pPr>
      <w:r>
        <w:t xml:space="preserve">Cláusula décima tercera. Muerte, incapacidad y sucesión</w:t>
      </w:r>
    </w:p>
    <w:p>
      <w:pPr>
        <w:pStyle w:val="FirstParagraph"/>
      </w:pPr>
      <w:r>
        <w:t xml:space="preserve">Fallecido el cliente, EHOLDINGS suspende el uso del cupo, liquida el saldo pendiente conforme a la cláusula séptima y libera el remanente de la garantía a favor de la sucesión, una vez se acredite la defunción y la calidad de heredero, cónyuge o compañero permanente, o la adjudicación en la sucesión.</w:t>
      </w:r>
    </w:p>
    <w:p>
      <w:pPr>
        <w:pStyle w:val="BodyText"/>
      </w:pPr>
      <w:r>
        <w:t xml:space="preserve">La incapacidad sobreviniente del cliente, debidamente acreditada, habilita a su representante legal o apoyo designado conforme a la ley a solicitar la cancelación y la liberación en los términos de la cláusula décima primera.</w:t>
      </w:r>
    </w:p>
    <w:bookmarkEnd w:id="944"/>
    <w:bookmarkStart w:id="945" w:name="Xdde6671b0059a2c2d92a07f176c386810c325ea"/>
    <w:p>
      <w:pPr>
        <w:pStyle w:val="Heading2"/>
      </w:pPr>
      <w:r>
        <w:t xml:space="preserve">Cláusula décima cuarta. Prohibición de constitución por terceros</w:t>
      </w:r>
    </w:p>
    <w:p>
      <w:pPr>
        <w:pStyle w:val="FirstParagraph"/>
      </w:pPr>
      <w:r>
        <w:t xml:space="preserve">Solo el titular de la cuenta en Coopcentral puede constituir la garantía que respalda su propio cupo. EHOLDINGS no acepta que un tercero deposite o constituya la garantía a nombre de un cliente distinto.</w:t>
      </w:r>
    </w:p>
    <w:bookmarkEnd w:id="945"/>
    <w:bookmarkStart w:id="946" w:name="X16103c582f1e5cfedd9b2341f5a56ce6078702e"/>
    <w:p>
      <w:pPr>
        <w:pStyle w:val="Heading2"/>
      </w:pPr>
      <w:r>
        <w:t xml:space="preserve">Cláusula décima quinta. Autorizaciones y aceptaciones</w:t>
      </w:r>
    </w:p>
    <w:p>
      <w:pPr>
        <w:pStyle w:val="FirstParagraph"/>
      </w:pPr>
      <w:r>
        <w:t xml:space="preserve">El cliente otorga, de forma separada y expresa, las autorizaciones y aceptaciones del Anexo 2, que hace parte integral de este contrato. Cada una se marca por separado y ninguna viene premarcada.</w:t>
      </w:r>
    </w:p>
    <w:p>
      <w:pPr>
        <w:pStyle w:val="BodyText"/>
      </w:pPr>
      <w:r>
        <w:t xml:space="preserve">El tratamiento de los datos personales del cliente se rige por la política de tratamiento de datos personales de EHOLDINGS, que se entrega al cliente antes de la vinculación.</w:t>
      </w:r>
    </w:p>
    <w:bookmarkEnd w:id="946"/>
    <w:bookmarkStart w:id="947" w:name="Xb9fd15a52286fef25d6ecc6ae1a3ffdc17386cd"/>
    <w:p>
      <w:pPr>
        <w:pStyle w:val="Heading2"/>
      </w:pPr>
      <w:r>
        <w:t xml:space="preserve">Cláusula décima sexta. Canales de queja y autoridades competentes</w:t>
      </w:r>
    </w:p>
    <w:p>
      <w:pPr>
        <w:pStyle w:val="FirstParagraph"/>
      </w:pPr>
      <w:r>
        <w:t xml:space="preserve">Por el crédito, la garantía y el reporte a centrales de riesgo, el cliente acude al canal de atención de EHOLDINGS y, como autoridad, a la Superintendencia de Industria y Comercio.</w:t>
      </w:r>
    </w:p>
    <w:p>
      <w:pPr>
        <w:pStyle w:val="BodyText"/>
      </w:pPr>
      <w:r>
        <w:t xml:space="preserve">Por el manejo de la cuenta en Coopcentral, el cliente es consumidor financiero en los términos de la Ley 1328 de 2009 y acude a Coopcentral, a su Defensor del Consumidor Financiero y a la Superintendencia Financiera de Colombia.</w:t>
      </w:r>
    </w:p>
    <w:p>
      <w:pPr>
        <w:pStyle w:val="BodyText"/>
      </w:pPr>
      <w:r>
        <w:t xml:space="preserve">Los datos de contacto de cada canal están en el Anexo 3.</w:t>
      </w:r>
    </w:p>
    <w:bookmarkEnd w:id="947"/>
    <w:bookmarkStart w:id="948" w:name="cláusula-décima-séptima.-cesión"/>
    <w:p>
      <w:pPr>
        <w:pStyle w:val="Heading2"/>
      </w:pPr>
      <w:r>
        <w:t xml:space="preserve">Cláusula décima séptima. Cesión</w:t>
      </w:r>
    </w:p>
    <w:p>
      <w:pPr>
        <w:pStyle w:val="FirstParagraph"/>
      </w:pPr>
      <w:r>
        <w:t xml:space="preserve">EHOLDINGS puede ceder su posición contractual y la cartera derivada de este contrato, previo aviso al cliente con la antelación del Bloque A. La cesión no modifica las condiciones pactadas ni habilita al cesionario a modificar unilateralmente el contrato.</w:t>
      </w:r>
    </w:p>
    <w:bookmarkEnd w:id="948"/>
    <w:bookmarkStart w:id="949" w:name="X904dabe0b14d3707a24c808e1942f4226c83c1b"/>
    <w:p>
      <w:pPr>
        <w:pStyle w:val="Heading2"/>
      </w:pPr>
      <w:r>
        <w:t xml:space="preserve">Cláusula décima octava. Continuidad del esquema</w:t>
      </w:r>
    </w:p>
    <w:p>
      <w:pPr>
        <w:pStyle w:val="FirstParagraph"/>
      </w:pPr>
      <w:r>
        <w:t xml:space="preserve">Si el contrato entre EHOLDINGS y Coopcentral, o el contrato con el emisor, terminara, EHOLDINGS informa al cliente, dentro del plazo del Bloque A, el mecanismo de continuidad o de liquidación ordenada de su cupo y de la garantía constituida, conforme al plan de continuidad de EHOLDINGS.</w:t>
      </w:r>
    </w:p>
    <w:bookmarkEnd w:id="949"/>
    <w:bookmarkStart w:id="950" w:name="X453571ff3dfb489e8e1b5973ea15c3c9f2951c3"/>
    <w:p>
      <w:pPr>
        <w:pStyle w:val="Heading2"/>
      </w:pPr>
      <w:r>
        <w:t xml:space="preserve">Cláusula décima novena. Responsabilidad de cada parte</w:t>
      </w:r>
    </w:p>
    <w:p>
      <w:pPr>
        <w:pStyle w:val="FirstParagraph"/>
      </w:pPr>
      <w:r>
        <w:t xml:space="preserve">EHOLDINGS responde por la administración del crédito, de la garantía y del reporte a centrales de riesgo. El emisor responde por la emisión, el procesamiento de transacciones y las reglas de la franquicia. Coopcentral responde, como entidad depositaria, por la ejecución operativa de la garantía en los términos del contrato marco.</w:t>
      </w:r>
    </w:p>
    <w:p>
      <w:pPr>
        <w:pStyle w:val="BodyText"/>
      </w:pPr>
      <w:r>
        <w:t xml:space="preserve">Ninguna de las tres responde por los actos u omisiones de las otras dos.</w:t>
      </w:r>
    </w:p>
    <w:bookmarkEnd w:id="950"/>
    <w:bookmarkStart w:id="951" w:name="X8ae4b2d72e0b51956090d7afd5f06f3085dacf4"/>
    <w:p>
      <w:pPr>
        <w:pStyle w:val="Heading2"/>
      </w:pPr>
      <w:r>
        <w:t xml:space="preserve">Cláusula vigésima. Ley aplicable y jurisdicción</w:t>
      </w:r>
    </w:p>
    <w:p>
      <w:pPr>
        <w:pStyle w:val="FirstParagraph"/>
      </w:pPr>
      <w:r>
        <w:t xml:space="preserve">Este contrato se rige por las leyes de la República de Colombia, en particular la Ley 1480 de 2011, la Ley 1676 de 2013, la Ley 1266 de 2008 y la Ley 45 de 1990.</w:t>
      </w:r>
    </w:p>
    <w:p>
      <w:pPr>
        <w:pStyle w:val="BodyText"/>
      </w:pPr>
      <w:r>
        <w:t xml:space="preserve">Las controversias se someten a la jurisdicción ordinaria del domicilio del cliente, sin perjuicio de las vías de cobro directo pactadas en la garantía mobiliaria y de la competencia administrativa de la Superintendencia de Industria y Comercio.</w:t>
      </w:r>
    </w:p>
    <w:bookmarkEnd w:id="951"/>
    <w:bookmarkStart w:id="952" w:name="cláusula-vigésima-primera.-cobranza"/>
    <w:p>
      <w:pPr>
        <w:pStyle w:val="Heading2"/>
      </w:pPr>
      <w:r>
        <w:t xml:space="preserve">Cláusula vigésima primera. Cobranza</w:t>
      </w:r>
    </w:p>
    <w:p>
      <w:pPr>
        <w:pStyle w:val="FirstParagraph"/>
      </w:pPr>
      <w:r>
        <w:t xml:space="preserve">Toda gestión de cobranza, directa, tercerizada o por cesión, se sujeta a la Ley 2300 de 2023 y a la política de cobranza de EHOLDINGS:</w:t>
      </w:r>
    </w:p>
    <w:p>
      <w:pPr>
        <w:pStyle w:val="Compact"/>
        <w:numPr>
          <w:ilvl w:val="0"/>
          <w:numId w:val="1004"/>
        </w:numPr>
      </w:pPr>
      <w:r>
        <w:t xml:space="preserve">Solo se usan los canales que el cliente autorizó en el Bloque B (artículo 2).</w:t>
      </w:r>
    </w:p>
    <w:p>
      <w:pPr>
        <w:pStyle w:val="Compact"/>
        <w:numPr>
          <w:ilvl w:val="0"/>
          <w:numId w:val="1004"/>
        </w:numPr>
      </w:pPr>
      <w:r>
        <w:t xml:space="preserve">Establecido un contacto directo, el cliente no es contactado más de una vez en el mismo día ni por varios canales dentro de una misma semana (artículo 3).</w:t>
      </w:r>
    </w:p>
    <w:p>
      <w:pPr>
        <w:pStyle w:val="Compact"/>
        <w:numPr>
          <w:ilvl w:val="0"/>
          <w:numId w:val="1004"/>
        </w:numPr>
      </w:pPr>
      <w:r>
        <w:t xml:space="preserve">Los contactos se hacen de lunes a viernes de 7:00 a. m. a 7:00 p. m. y los sábados de 8:00 a. m. a 3:00 p. m. No hay contacto los domingos ni los días festivos (artículo 3).</w:t>
      </w:r>
    </w:p>
    <w:p>
      <w:pPr>
        <w:pStyle w:val="Compact"/>
        <w:numPr>
          <w:ilvl w:val="0"/>
          <w:numId w:val="1004"/>
        </w:numPr>
      </w:pPr>
      <w:r>
        <w:t xml:space="preserve">No se contacta a las referencias personales o de otra índole del cliente (artículo 4).</w:t>
      </w:r>
    </w:p>
    <w:p>
      <w:pPr>
        <w:pStyle w:val="Compact"/>
        <w:numPr>
          <w:ilvl w:val="0"/>
          <w:numId w:val="1004"/>
        </w:numPr>
      </w:pPr>
      <w:r>
        <w:t xml:space="preserve">No se hacen visitas de cobranza al domicilio ni al lugar de trabajo del cliente (artículo 6).</w:t>
      </w:r>
    </w:p>
    <w:p>
      <w:pPr>
        <w:pStyle w:val="Compact"/>
        <w:numPr>
          <w:ilvl w:val="0"/>
          <w:numId w:val="1004"/>
        </w:numPr>
      </w:pPr>
      <w:r>
        <w:t xml:space="preserve">No se consulta al cliente el motivo del incumplimiento, sin perjuicio de ofrecerle alternativas de pago acordes con su situación (artículo 7).</w:t>
      </w:r>
    </w:p>
    <w:bookmarkEnd w:id="952"/>
    <w:bookmarkEnd w:id="953"/>
    <w:bookmarkStart w:id="957" w:name="pagaré-y-carta-de-instrucciones"/>
    <w:p>
      <w:pPr>
        <w:pStyle w:val="Heading1"/>
      </w:pPr>
      <w:r>
        <w:t xml:space="preserve">Pagaré y carta de instrucciones</w:t>
      </w:r>
    </w:p>
    <w:bookmarkStart w:id="955" w:name="pagaré-número-número-de-pagaré-bloque-b"/>
    <w:p>
      <w:pPr>
        <w:pStyle w:val="Heading2"/>
      </w:pPr>
      <w:r>
        <w:t xml:space="preserve">Pagaré número [NÚMERO DE PAGARÉ — Bloque B]</w:t>
      </w:r>
    </w:p>
    <w:p>
      <w:pPr>
        <w:pStyle w:val="FirstParagraph"/>
      </w:pPr>
      <w:r>
        <w:t xml:space="preserve">Yo, el cliente identificado en el Bloque B, debo y pagaré incondicionalmente a la orden de EHOLDINGS FLORIDA S.A.S. (Bloque A), en la ciudad de [ciudad — Bloque B], la suma de ______________________________ pesos colombianos ($ ______________), el día ______ del mes de ______________ del año ______, junto con los intereses moratorios que se causen desde esa fecha a la tasa máxima legal permitida, certificada mensualmente por la Superintendencia Financiera de Colombia.</w:t>
      </w:r>
    </w:p>
    <w:p>
      <w:pPr>
        <w:pStyle w:val="BodyText"/>
      </w:pPr>
      <w:r>
        <w:t xml:space="preserve">Los espacios en blanco de este pagaré se llenan única y exclusivamente conforme a la carta de instrucciones que sigue, de acuerdo con el artículo 622 del Código de Comercio. La suma que se llene no puede exceder el cupo máximo autorizado en el Bloque B.</w:t>
      </w:r>
    </w:p>
    <w:bookmarkStart w:id="954" w:name="naturaleza"/>
    <w:p>
      <w:pPr>
        <w:pStyle w:val="Heading3"/>
      </w:pPr>
      <w:r>
        <w:t xml:space="preserve">Naturaleza</w:t>
      </w:r>
    </w:p>
    <w:p>
      <w:pPr>
        <w:pStyle w:val="FirstParagraph"/>
      </w:pPr>
      <w:r>
        <w:t xml:space="preserve">Este pagaré respalda las obligaciones derivadas del contrato de línea de crédito rotativa CREDIX1 identificado en el Bloque B. Es adicional a la garantía mobiliaria de control constituida sobre la cuenta del cliente en Coopcentral y no la sustituye. Ambos instrumentos pueden hacerse efectivos de manera concurrente hasta la satisfacción total de la obligación, sin que ello implique cobro duplicado del mismo concepto.</w:t>
      </w:r>
    </w:p>
    <w:bookmarkEnd w:id="954"/>
    <w:bookmarkEnd w:id="955"/>
    <w:bookmarkStart w:id="956" w:name="carta-de-instrucciones"/>
    <w:p>
      <w:pPr>
        <w:pStyle w:val="Heading2"/>
      </w:pPr>
      <w:r>
        <w:t xml:space="preserve">Carta de instrucciones</w:t>
      </w:r>
    </w:p>
    <w:p>
      <w:pPr>
        <w:pStyle w:val="FirstParagraph"/>
      </w:pPr>
      <w:r>
        <w:t xml:space="preserve">Autorizo a EHOLDINGS FLORIDA S.A.S. para llenar los espacios en blanco del pagaré anterior única y exclusivamente de acuerdo con las siguientes instrucciones, que EHOLDINGS conserva junto con el título.</w:t>
      </w:r>
    </w:p>
    <w:p>
      <w:pPr>
        <w:pStyle w:val="Compact"/>
        <w:numPr>
          <w:ilvl w:val="0"/>
          <w:numId w:val="1005"/>
        </w:numPr>
      </w:pPr>
      <w:r>
        <w:t xml:space="preserve">Monto. Se llena con el saldo insoluto que resulte de los extractos del contrato de línea de crédito rotativa identificado en el Bloque B, por capital, intereses remuneratorios causados y demás cobros del Anexo 1, una vez agotado el procedimiento de la cláusula séptima del contrato y descontado lo recaudado mediante el pago directo. Nunca excede el cupo máximo autorizado.</w:t>
      </w:r>
    </w:p>
    <w:p>
      <w:pPr>
        <w:pStyle w:val="Compact"/>
        <w:numPr>
          <w:ilvl w:val="0"/>
          <w:numId w:val="1005"/>
        </w:numPr>
      </w:pPr>
      <w:r>
        <w:t xml:space="preserve">Fecha de vencimiento. Se llena con la fecha en que se agote ese procedimiento sin que el cliente haya subsanado ni objetado con éxito.</w:t>
      </w:r>
    </w:p>
    <w:p>
      <w:pPr>
        <w:pStyle w:val="Compact"/>
        <w:numPr>
          <w:ilvl w:val="0"/>
          <w:numId w:val="1005"/>
        </w:numPr>
      </w:pPr>
      <w:r>
        <w:t xml:space="preserve">Exigibilidad anticipada. El incumplimiento del pago mínimo en dos extractos consecutivos, no subsanado dentro del plazo notificado conforme a la cláusula séptima del contrato, faculta a EHOLDINGS para exigir la totalidad del saldo adeudado y llenar el pagaré conforme a los numerales 1 y 2.</w:t>
      </w:r>
    </w:p>
    <w:p>
      <w:pPr>
        <w:pStyle w:val="Compact"/>
        <w:numPr>
          <w:ilvl w:val="0"/>
          <w:numId w:val="1005"/>
        </w:numPr>
      </w:pPr>
      <w:r>
        <w:t xml:space="preserve">Presentación al cobro. El pagaré solo se presenta al cobro por la vía ejecutiva del artículo 422 del Código General del Proceso si, agotado el pago directo contra la garantía mobiliaria, subsiste saldo insatisfecho.</w:t>
      </w:r>
    </w:p>
    <w:p>
      <w:pPr>
        <w:pStyle w:val="Compact"/>
        <w:numPr>
          <w:ilvl w:val="0"/>
          <w:numId w:val="1005"/>
        </w:numPr>
      </w:pPr>
      <w:r>
        <w:t xml:space="preserve">Copia. Declaro haber recibido copia del pagaré y de esta carta de instrucciones al momento de la firma, conforme al régimen de contratos de adhesión de la Ley 1480 de 2011, que exige instrucciones precisas y no espacios en blanco librados a discreción del acreedor.</w:t>
      </w:r>
    </w:p>
    <w:p>
      <w:pPr>
        <w:pStyle w:val="FirstParagraph"/>
      </w:pPr>
      <w:r>
        <w:t xml:space="preserve">Firma del otorgante: ______________________________</w:t>
      </w:r>
    </w:p>
    <w:p>
      <w:pPr>
        <w:pStyle w:val="BodyText"/>
      </w:pPr>
      <w:r>
        <w:t xml:space="preserve">Cédula de ciudadanía: [cédula — Bloque B]</w:t>
      </w:r>
    </w:p>
    <w:p>
      <w:pPr>
        <w:pStyle w:val="BodyText"/>
      </w:pPr>
      <w:r>
        <w:t xml:space="preserve">Huella: ______________</w:t>
      </w:r>
    </w:p>
    <w:bookmarkEnd w:id="956"/>
    <w:bookmarkEnd w:id="957"/>
    <w:bookmarkStart w:id="958" w:name="Xcd232839853a61246aa798f85f3f627b9a17c71"/>
    <w:p>
      <w:pPr>
        <w:pStyle w:val="Heading1"/>
      </w:pPr>
      <w:r>
        <w:t xml:space="preserve">Adhesión individual a la garantía mobiliaria de control</w:t>
      </w:r>
    </w:p>
    <w:p>
      <w:pPr>
        <w:pStyle w:val="FirstParagraph"/>
      </w:pPr>
      <w:r>
        <w:t xml:space="preserve">El cliente identificado en el Bloque B se adhiere al contrato marco de garantía mobiliaria de control celebrado entre Banco Cooperativo Coopcentral y EHOLDINGS FLORIDA S.A.S., y constituye garantía mobiliaria de control a favor de EHOLDINGS sobre la siguiente cuenta: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Número de cuenta en Coopcentral</w:t>
            </w:r>
          </w:p>
        </w:tc>
        <w:tc>
          <w:tcPr/>
          <w:p>
            <w:pPr>
              <w:pStyle w:val="Compact"/>
            </w:pPr>
            <w:r>
              <w:t xml:space="preserve">[número de cuenta — Bloque B]</w:t>
            </w:r>
          </w:p>
        </w:tc>
      </w:tr>
      <w:tr>
        <w:tc>
          <w:tcPr/>
          <w:p>
            <w:pPr>
              <w:pStyle w:val="Compact"/>
            </w:pPr>
            <w:r>
              <w:t xml:space="preserve">Saldo inicial a controlar</w:t>
            </w:r>
          </w:p>
        </w:tc>
        <w:tc>
          <w:tcPr/>
          <w:p>
            <w:pPr>
              <w:pStyle w:val="Compact"/>
            </w:pPr>
            <w:r>
              <w:t xml:space="preserve">[MONTO — Bloque B] pesos colombianos</w:t>
            </w:r>
          </w:p>
        </w:tc>
      </w:tr>
      <w:tr>
        <w:tc>
          <w:tcPr/>
          <w:p>
            <w:pPr>
              <w:pStyle w:val="Compact"/>
            </w:pPr>
            <w:r>
              <w:t xml:space="preserve">Modalidad de control elegida</w:t>
            </w:r>
          </w:p>
        </w:tc>
        <w:tc>
          <w:tcPr/>
          <w:p>
            <w:pPr>
              <w:pStyle w:val="Compact"/>
            </w:pPr>
            <w:r>
              <w:t xml:space="preserve">[ ] Control absoluto · [ ] Control dinámico</w:t>
            </w:r>
          </w:p>
        </w:tc>
      </w:tr>
      <w:tr>
        <w:tc>
          <w:tcPr/>
          <w:p>
            <w:pPr>
              <w:pStyle w:val="Compact"/>
            </w:pPr>
            <w:r>
              <w:t xml:space="preserve">Colchón, si el control es dinámico</w:t>
            </w:r>
          </w:p>
        </w:tc>
        <w:tc>
          <w:tcPr/>
          <w:p>
            <w:pPr>
              <w:pStyle w:val="Compact"/>
            </w:pPr>
            <w:r>
              <w:t xml:space="preserve">[colchón — Bloque A] % del saldo utilizado</w:t>
            </w:r>
          </w:p>
        </w:tc>
      </w:tr>
    </w:tbl>
    <w:p>
      <w:pPr>
        <w:pStyle w:val="BodyText"/>
      </w:pPr>
      <w:r>
        <w:t xml:space="preserve">El cliente entiende y acepta que:</w:t>
      </w:r>
    </w:p>
    <w:p>
      <w:pPr>
        <w:pStyle w:val="Compact"/>
        <w:numPr>
          <w:ilvl w:val="0"/>
          <w:numId w:val="1006"/>
        </w:numPr>
      </w:pPr>
      <w:r>
        <w:t xml:space="preserve">Los fondos depositados en esta cuenta quedan bajo control de EHOLDINGS en los términos de la modalidad elegida.</w:t>
      </w:r>
    </w:p>
    <w:p>
      <w:pPr>
        <w:pStyle w:val="Compact"/>
        <w:numPr>
          <w:ilvl w:val="0"/>
          <w:numId w:val="1006"/>
        </w:numPr>
      </w:pPr>
      <w:r>
        <w:t xml:space="preserve">No puede disponer libremente de los fondos controlados, salvo mediante el uso de la tarjeta CREDIX1 o la liberación por mínimo vital de la cláusula segunda del contrato.</w:t>
      </w:r>
    </w:p>
    <w:p>
      <w:pPr>
        <w:pStyle w:val="Compact"/>
        <w:numPr>
          <w:ilvl w:val="0"/>
          <w:numId w:val="1006"/>
        </w:numPr>
      </w:pPr>
      <w:r>
        <w:t xml:space="preserve">EHOLDINGS puede instruir a Coopcentral el pago directo conforme al procedimiento de la cláusula séptima del contrato.</w:t>
      </w:r>
    </w:p>
    <w:p>
      <w:pPr>
        <w:pStyle w:val="Compact"/>
        <w:numPr>
          <w:ilvl w:val="0"/>
          <w:numId w:val="1006"/>
        </w:numPr>
      </w:pPr>
      <w:r>
        <w:t xml:space="preserve">Autoriza el levantamiento de la reserva bancaria sobre el saldo, los movimientos y los intentos de disposición de esta cuenta, para que Coopcentral y EHOLDINGS ejecuten la garantía y exclusivamente para ese fin.</w:t>
      </w:r>
    </w:p>
    <w:p>
      <w:pPr>
        <w:pStyle w:val="Compact"/>
        <w:numPr>
          <w:ilvl w:val="0"/>
          <w:numId w:val="1006"/>
        </w:numPr>
      </w:pPr>
      <w:r>
        <w:t xml:space="preserve">Los rendimientos que Coopcentral reconozca sobre la cuenta y los gravámenes sobre sus movimientos se rigen por las condiciones de Coopcentral, no por este contrato.</w:t>
      </w:r>
    </w:p>
    <w:p>
      <w:pPr>
        <w:pStyle w:val="FirstParagraph"/>
      </w:pPr>
      <w:r>
        <w:t xml:space="preserve">Constancia de recibo de Banco Cooperativo Coopcentral, para efectos de la cláusula séptima del contrato marco:</w:t>
      </w:r>
    </w:p>
    <w:p>
      <w:pPr>
        <w:pStyle w:val="BodyText"/>
      </w:pPr>
      <w:r>
        <w:t xml:space="preserve">Nombre y cargo: ______________________________</w:t>
      </w:r>
    </w:p>
    <w:p>
      <w:pPr>
        <w:pStyle w:val="BodyText"/>
      </w:pPr>
      <w:r>
        <w:t xml:space="preserve">Firma: ______________________________ Fecha: ______________</w:t>
      </w:r>
    </w:p>
    <w:bookmarkEnd w:id="958"/>
    <w:bookmarkStart w:id="959" w:name="firmas"/>
    <w:p>
      <w:pPr>
        <w:pStyle w:val="Heading1"/>
      </w:pPr>
      <w:r>
        <w:t xml:space="preserve">Firmas</w:t>
      </w:r>
    </w:p>
    <w:p>
      <w:pPr>
        <w:pStyle w:val="FirstParagraph"/>
      </w:pPr>
      <w:r>
        <w:t xml:space="preserve">Para constancia, se firma en [ciudad — Bloque B], a los [día — Bloque B] días del mes de [mes — Bloque B] de [año — Bloque B].</w:t>
      </w:r>
    </w:p>
    <w:tbl>
      <w:tblPr>
        <w:tblStyle w:val="Table"/>
        <w:tblW w:type="pct" w:w="5000"/>
        <w:tblLayout w:type="fixed"/>
        <w:tblLook w:firstRow="1" w:lastRow="0" w:firstColumn="0" w:lastColumn="0" w:noHBand="0" w:noVBand="0" w:val="0020"/>
      </w:tblPr>
      <w:tblGrid>
        <w:gridCol w:w="3828"/>
        <w:gridCol w:w="4092"/>
      </w:tblGrid>
      <w:tr>
        <w:trPr>
          <w:tblHeader w:val="on"/>
        </w:trPr>
        <w:tc>
          <w:tcPr/>
          <w:p>
            <w:pPr>
              <w:pStyle w:val="Compact"/>
            </w:pPr>
            <w:r>
              <w:t xml:space="preserve">El cliente</w:t>
            </w:r>
          </w:p>
        </w:tc>
        <w:tc>
          <w:tcPr/>
          <w:p>
            <w:pPr>
              <w:pStyle w:val="Compact"/>
            </w:pPr>
            <w:r>
              <w:t xml:space="preserve">EHOLDINGS FLORIDA S.A.S.</w:t>
            </w:r>
          </w:p>
        </w:tc>
      </w:tr>
      <w:tr>
        <w:tc>
          <w:tcPr/>
          <w:p>
            <w:pPr>
              <w:pStyle w:val="Compact"/>
            </w:pPr>
            <w:r>
              <w:t xml:space="preserve">Nombre: [nombre del cliente — Bloque B]</w:t>
            </w:r>
          </w:p>
        </w:tc>
        <w:tc>
          <w:tcPr/>
          <w:p>
            <w:pPr>
              <w:pStyle w:val="Compact"/>
            </w:pPr>
            <w:r>
              <w:t xml:space="preserve">Representante legal: [representante legal — Bloque A]</w:t>
            </w:r>
          </w:p>
        </w:tc>
      </w:tr>
      <w:tr>
        <w:tc>
          <w:tcPr/>
          <w:p>
            <w:pPr>
              <w:pStyle w:val="Compact"/>
            </w:pPr>
            <w:r>
              <w:t xml:space="preserve">Cédula de ciudadanía: [cédula — Bloque B]</w:t>
            </w:r>
          </w:p>
        </w:tc>
        <w:tc>
          <w:tcPr/>
          <w:p>
            <w:pPr>
              <w:pStyle w:val="Compact"/>
            </w:pPr>
            <w:r>
              <w:t xml:space="preserve">NIT: [NIT — Bloque A]</w:t>
            </w:r>
          </w:p>
        </w:tc>
      </w:tr>
      <w:tr>
        <w:tc>
          <w:tcPr/>
          <w:p>
            <w:pPr>
              <w:pStyle w:val="Compact"/>
            </w:pPr>
            <w:r>
              <w:t xml:space="preserve">Firma:</w:t>
            </w:r>
          </w:p>
        </w:tc>
        <w:tc>
          <w:tcPr/>
          <w:p>
            <w:pPr>
              <w:pStyle w:val="Compact"/>
            </w:pPr>
            <w:r>
              <w:t xml:space="preserve">Firma:</w:t>
            </w:r>
          </w:p>
        </w:tc>
      </w:tr>
      <w:tr>
        <w:tc>
          <w:tcPr/>
          <w:p>
            <w:pPr>
              <w:pStyle w:val="Compact"/>
            </w:pPr>
          </w:p>
        </w:tc>
        <w:tc>
          <w:tcPr/>
          <w:p>
            <w:pPr>
              <w:pStyle w:val="Compact"/>
            </w:pPr>
          </w:p>
        </w:tc>
      </w:tr>
    </w:tbl>
    <w:bookmarkEnd w:id="959"/>
    <w:bookmarkStart w:id="960" w:name="anexo-1.-tabla-de-costos"/>
    <w:p>
      <w:pPr>
        <w:pStyle w:val="Heading1"/>
      </w:pPr>
      <w:r>
        <w:t xml:space="preserve">Anexo 1. Tabla de costos</w:t>
      </w:r>
    </w:p>
    <w:p>
      <w:pPr>
        <w:pStyle w:val="FirstParagraph"/>
      </w:pPr>
      <w:r>
        <w:t xml:space="preserve">Hace parte integral del contrato. Ningún cobro ajeno a esta tabla puede aplicarse al cliente.</w:t>
      </w:r>
    </w:p>
    <w:tbl>
      <w:tblPr>
        <w:tblStyle w:val="Table"/>
        <w:tblW w:type="pct" w:w="5000"/>
        <w:tblLayout w:type="fixed"/>
        <w:tblLook w:firstRow="1" w:lastRow="0" w:firstColumn="0" w:lastColumn="0" w:noHBand="0" w:noVBand="0" w:val="0020"/>
      </w:tblPr>
      <w:tblGrid>
        <w:gridCol w:w="1584"/>
        <w:gridCol w:w="5280"/>
        <w:gridCol w:w="1056"/>
      </w:tblGrid>
      <w:tr>
        <w:trPr>
          <w:tblHeader w:val="on"/>
        </w:trPr>
        <w:tc>
          <w:tcPr/>
          <w:p>
            <w:pPr>
              <w:pStyle w:val="Compact"/>
            </w:pPr>
            <w:r>
              <w:t xml:space="preserve">Concepto</w:t>
            </w:r>
          </w:p>
        </w:tc>
        <w:tc>
          <w:tcPr/>
          <w:p>
            <w:pPr>
              <w:pStyle w:val="Compact"/>
            </w:pPr>
            <w:r>
              <w:t xml:space="preserve">Valor o forma de cálculo</w:t>
            </w:r>
          </w:p>
        </w:tc>
        <w:tc>
          <w:tcPr/>
          <w:p>
            <w:pPr>
              <w:pStyle w:val="Compact"/>
            </w:pPr>
            <w:r>
              <w:t xml:space="preserve">Periodicidad</w:t>
            </w:r>
          </w:p>
        </w:tc>
      </w:tr>
      <w:tr>
        <w:tc>
          <w:tcPr/>
          <w:p>
            <w:pPr>
              <w:pStyle w:val="Compact"/>
            </w:pPr>
            <w:r>
              <w:t xml:space="preserve">Interés remuneratorio</w:t>
            </w:r>
          </w:p>
        </w:tc>
        <w:tc>
          <w:tcPr/>
          <w:p>
            <w:pPr>
              <w:pStyle w:val="Compact"/>
            </w:pPr>
            <w:r>
              <w:t xml:space="preserve">Tasa efectiva anual de [•] %, que en ningún caso supera la tasa de usura certificada por la Superintendencia Financiera para la modalidad de crédito de consumo y ordinario en el período de causación</w:t>
            </w:r>
          </w:p>
        </w:tc>
        <w:tc>
          <w:tcPr/>
          <w:p>
            <w:pPr>
              <w:pStyle w:val="Compact"/>
            </w:pPr>
            <w:r>
              <w:t xml:space="preserve">Mensual, sobre saldo utilizado</w:t>
            </w:r>
          </w:p>
        </w:tc>
      </w:tr>
      <w:tr>
        <w:tc>
          <w:tcPr/>
          <w:p>
            <w:pPr>
              <w:pStyle w:val="Compact"/>
            </w:pPr>
            <w:r>
              <w:t xml:space="preserve">Interés moratorio</w:t>
            </w:r>
          </w:p>
        </w:tc>
        <w:tc>
          <w:tcPr/>
          <w:p>
            <w:pPr>
              <w:pStyle w:val="Compact"/>
            </w:pPr>
            <w:r>
              <w:t xml:space="preserve">Tasa máxima legal certificada mensualmente por la Superintendencia Financiera</w:t>
            </w:r>
          </w:p>
        </w:tc>
        <w:tc>
          <w:tcPr/>
          <w:p>
            <w:pPr>
              <w:pStyle w:val="Compact"/>
            </w:pPr>
            <w:r>
              <w:t xml:space="preserve">Sobre saldo en mora</w:t>
            </w:r>
          </w:p>
        </w:tc>
      </w:tr>
      <w:tr>
        <w:tc>
          <w:tcPr/>
          <w:p>
            <w:pPr>
              <w:pStyle w:val="Compact"/>
            </w:pPr>
            <w:r>
              <w:t xml:space="preserve">Cuota de manejo</w:t>
            </w:r>
          </w:p>
        </w:tc>
        <w:tc>
          <w:tcPr/>
          <w:p>
            <w:pPr>
              <w:pStyle w:val="Compact"/>
            </w:pPr>
            <w:r>
              <w:t xml:space="preserve">[•] o</w:t>
            </w:r>
            <w:r>
              <w:t xml:space="preserve"> </w:t>
            </w:r>
            <w:r>
              <w:t xml:space="preserve">“no aplica”</w:t>
            </w:r>
          </w:p>
        </w:tc>
        <w:tc>
          <w:tcPr/>
          <w:p>
            <w:pPr>
              <w:pStyle w:val="Compact"/>
            </w:pPr>
            <w:r>
              <w:t xml:space="preserve">Mensual</w:t>
            </w:r>
          </w:p>
        </w:tc>
      </w:tr>
      <w:tr>
        <w:tc>
          <w:tcPr/>
          <w:p>
            <w:pPr>
              <w:pStyle w:val="Compact"/>
            </w:pPr>
            <w:r>
              <w:t xml:space="preserve">Cargo por administración de la garantía mobiliaria</w:t>
            </w:r>
          </w:p>
        </w:tc>
        <w:tc>
          <w:tcPr/>
          <w:p>
            <w:pPr>
              <w:pStyle w:val="Compact"/>
            </w:pPr>
            <w:r>
              <w:t xml:space="preserve">[•] o</w:t>
            </w:r>
            <w:r>
              <w:t xml:space="preserve"> </w:t>
            </w:r>
            <w:r>
              <w:t xml:space="preserve">“no aplica”</w:t>
            </w:r>
          </w:p>
        </w:tc>
        <w:tc>
          <w:tcPr/>
          <w:p>
            <w:pPr>
              <w:pStyle w:val="Compact"/>
            </w:pPr>
            <w:r>
              <w:t xml:space="preserve">[•]</w:t>
            </w:r>
          </w:p>
        </w:tc>
      </w:tr>
      <w:tr>
        <w:tc>
          <w:tcPr/>
          <w:p>
            <w:pPr>
              <w:pStyle w:val="Compact"/>
            </w:pPr>
            <w:r>
              <w:t xml:space="preserve">Seguro</w:t>
            </w:r>
          </w:p>
        </w:tc>
        <w:tc>
          <w:tcPr/>
          <w:p>
            <w:pPr>
              <w:pStyle w:val="Compact"/>
            </w:pPr>
            <w:r>
              <w:t xml:space="preserve">[•] o</w:t>
            </w:r>
            <w:r>
              <w:t xml:space="preserve"> </w:t>
            </w:r>
            <w:r>
              <w:t xml:space="preserve">“no aplica”</w:t>
            </w:r>
            <w:r>
              <w:t xml:space="preserve">. Solo si el cliente lo contrata expresamente; nunca como condición del crédito</w:t>
            </w:r>
          </w:p>
        </w:tc>
        <w:tc>
          <w:tcPr/>
          <w:p>
            <w:pPr>
              <w:pStyle w:val="Compact"/>
            </w:pPr>
            <w:r>
              <w:t xml:space="preserve">[•]</w:t>
            </w:r>
          </w:p>
        </w:tc>
      </w:tr>
      <w:tr>
        <w:tc>
          <w:tcPr/>
          <w:p>
            <w:pPr>
              <w:pStyle w:val="Compact"/>
            </w:pPr>
            <w:r>
              <w:t xml:space="preserve">Gravamen a los movimientos financieros</w:t>
            </w:r>
          </w:p>
        </w:tc>
        <w:tc>
          <w:tcPr/>
          <w:p>
            <w:pPr>
              <w:pStyle w:val="Compact"/>
            </w:pPr>
            <w:r>
              <w:t xml:space="preserve">Trasladado al cliente solo si la ley lo permite y por el monto exacto causado</w:t>
            </w:r>
          </w:p>
        </w:tc>
        <w:tc>
          <w:tcPr/>
          <w:p>
            <w:pPr>
              <w:pStyle w:val="Compact"/>
            </w:pPr>
            <w:r>
              <w:t xml:space="preserve">Por cada débito gravado</w:t>
            </w:r>
          </w:p>
        </w:tc>
      </w:tr>
    </w:tbl>
    <w:p>
      <w:pPr>
        <w:pStyle w:val="BodyText"/>
      </w:pPr>
      <w:r>
        <w:t xml:space="preserve">La tasa efectiva anual total que se informa al cliente en el Anexo 2 y en cada extracto incorpora todos los conceptos de esta tabla, no solo el interés nominal, conforme al artículo 68 de la Ley 45 de 1990: se reputan intereses las sumas que el acreedor reciba sin contraprestación distinta del crédito, cualquiera sea su denominación.</w:t>
      </w:r>
    </w:p>
    <w:p>
      <w:pPr>
        <w:pStyle w:val="BodyText"/>
      </w:pPr>
      <w:r>
        <w:t xml:space="preserve">Tasa efectiva anual total al momento de la vinculación: [•] %.</w:t>
      </w:r>
    </w:p>
    <w:p>
      <w:pPr>
        <w:pStyle w:val="BodyText"/>
      </w:pPr>
      <w:r>
        <w:t xml:space="preserve">Sistema de liquidación de intereses: [•].</w:t>
      </w:r>
    </w:p>
    <w:p>
      <w:pPr>
        <w:pStyle w:val="BodyText"/>
      </w:pPr>
      <w:r>
        <w:t xml:space="preserve">Cuota mínima: [•].</w:t>
      </w:r>
    </w:p>
    <w:bookmarkEnd w:id="960"/>
    <w:bookmarkStart w:id="961" w:name="anexo-2.-autorizaciones-y-aceptaciones"/>
    <w:p>
      <w:pPr>
        <w:pStyle w:val="Heading1"/>
      </w:pPr>
      <w:r>
        <w:t xml:space="preserve">Anexo 2. Autorizaciones y aceptaciones</w:t>
      </w:r>
    </w:p>
    <w:p>
      <w:pPr>
        <w:pStyle w:val="FirstParagraph"/>
      </w:pPr>
      <w:r>
        <w:t xml:space="preserve">Cada casilla se marca por separado. Ninguna viene premarcada. Las casillas 1 a 10 son necesarias para vincularse. La casilla 11 es voluntaria.</w:t>
      </w:r>
    </w:p>
    <w:tbl>
      <w:tblPr>
        <w:tblStyle w:val="Table"/>
        <w:tblW w:type="pct" w:w="5000"/>
        <w:tblLayout w:type="fixed"/>
        <w:tblLook w:firstRow="1" w:lastRow="0" w:firstColumn="0" w:lastColumn="0" w:noHBand="0" w:noVBand="0" w:val="0020"/>
      </w:tblPr>
      <w:tblGrid>
        <w:gridCol w:w="678"/>
        <w:gridCol w:w="6562"/>
        <w:gridCol w:w="678"/>
      </w:tblGrid>
      <w:tr>
        <w:trPr>
          <w:tblHeader w:val="on"/>
        </w:trPr>
        <w:tc>
          <w:tcPr/>
          <w:p>
            <w:pPr>
              <w:pStyle w:val="Compact"/>
            </w:pPr>
            <w:r>
              <w:t xml:space="preserve">N.º</w:t>
            </w:r>
          </w:p>
        </w:tc>
        <w:tc>
          <w:tcPr/>
          <w:p>
            <w:pPr>
              <w:pStyle w:val="Compact"/>
            </w:pPr>
            <w:r>
              <w:t xml:space="preserve">Texto</w:t>
            </w:r>
          </w:p>
        </w:tc>
        <w:tc>
          <w:tcPr/>
          <w:p>
            <w:pPr>
              <w:pStyle w:val="Compact"/>
            </w:pPr>
            <w:r>
              <w:t xml:space="preserve">Marca</w:t>
            </w:r>
          </w:p>
        </w:tc>
      </w:tr>
      <w:tr>
        <w:tc>
          <w:tcPr/>
          <w:p>
            <w:pPr>
              <w:pStyle w:val="Compact"/>
            </w:pPr>
            <w:r>
              <w:t xml:space="preserve">1</w:t>
            </w:r>
          </w:p>
        </w:tc>
        <w:tc>
          <w:tcPr/>
          <w:p>
            <w:pPr>
              <w:pStyle w:val="Compact"/>
            </w:pPr>
            <w:r>
              <w:t xml:space="preserve">Autorizo a EHOLDINGS FLORIDA S.A.S. a tratar mis datos personales conforme a su política de tratamiento de datos personales, que recibí antes de vincularme, para vincularme y administrar el servicio CREDIX1.</w:t>
            </w:r>
          </w:p>
        </w:tc>
        <w:tc>
          <w:tcPr/>
          <w:p>
            <w:pPr>
              <w:pStyle w:val="Compact"/>
            </w:pPr>
            <w:r>
              <w:t xml:space="preserve">[ ]</w:t>
            </w:r>
          </w:p>
        </w:tc>
      </w:tr>
      <w:tr>
        <w:tc>
          <w:tcPr/>
          <w:p>
            <w:pPr>
              <w:pStyle w:val="Compact"/>
            </w:pPr>
            <w:r>
              <w:t xml:space="preserve">2</w:t>
            </w:r>
          </w:p>
        </w:tc>
        <w:tc>
          <w:tcPr/>
          <w:p>
            <w:pPr>
              <w:pStyle w:val="Compact"/>
            </w:pPr>
            <w:r>
              <w:t xml:space="preserve">Autorizo a EHOLDINGS FLORIDA S.A.S. a consultar y a reportar mi comportamiento de pago del servicio CREDIX1 a los operadores de información con los que tenga convenio vigente, que hoy son [OPERADORES DE INFORMACIÓN CON CONVENIO VIGENTE], en los términos de su política de tratamiento de datos personales. Entiendo que el pago puntual se reporta como dato positivo y que la mora, previo aviso, se reporta como dato negativo.</w:t>
            </w:r>
          </w:p>
        </w:tc>
        <w:tc>
          <w:tcPr/>
          <w:p>
            <w:pPr>
              <w:pStyle w:val="Compact"/>
            </w:pPr>
            <w:r>
              <w:t xml:space="preserve">[ ]</w:t>
            </w:r>
          </w:p>
        </w:tc>
      </w:tr>
      <w:tr>
        <w:tc>
          <w:tcPr/>
          <w:p>
            <w:pPr>
              <w:pStyle w:val="Compact"/>
            </w:pPr>
            <w:r>
              <w:t xml:space="preserve">3</w:t>
            </w:r>
          </w:p>
        </w:tc>
        <w:tc>
          <w:tcPr/>
          <w:p>
            <w:pPr>
              <w:pStyle w:val="Compact"/>
            </w:pPr>
            <w:r>
              <w:t xml:space="preserve">Declaro que leí y acepto el contrato de línea de crédito CREDIX1, incluida la tasa efectiva anual total de [•] % y la tabla de costos del Anexo 1.</w:t>
            </w:r>
          </w:p>
        </w:tc>
        <w:tc>
          <w:tcPr/>
          <w:p>
            <w:pPr>
              <w:pStyle w:val="Compact"/>
            </w:pPr>
            <w:r>
              <w:t xml:space="preserve">[ ]</w:t>
            </w:r>
          </w:p>
        </w:tc>
      </w:tr>
      <w:tr>
        <w:tc>
          <w:tcPr/>
          <w:p>
            <w:pPr>
              <w:pStyle w:val="Compact"/>
            </w:pPr>
            <w:r>
              <w:t xml:space="preserve">4</w:t>
            </w:r>
          </w:p>
        </w:tc>
        <w:tc>
          <w:tcPr/>
          <w:p>
            <w:pPr>
              <w:pStyle w:val="Compact"/>
            </w:pPr>
            <w:r>
              <w:t xml:space="preserve">Autorizo la constitución de una garantía mobiliaria de control sobre mi cuenta de ahorros en Banco Cooperativo Coopcentral a favor de EHOLDINGS FLORIDA S.A.S., en la modalidad de control que elegí.</w:t>
            </w:r>
          </w:p>
        </w:tc>
        <w:tc>
          <w:tcPr/>
          <w:p>
            <w:pPr>
              <w:pStyle w:val="Compact"/>
            </w:pPr>
            <w:r>
              <w:t xml:space="preserve">[ ]</w:t>
            </w:r>
          </w:p>
        </w:tc>
      </w:tr>
      <w:tr>
        <w:tc>
          <w:tcPr/>
          <w:p>
            <w:pPr>
              <w:pStyle w:val="Compact"/>
            </w:pPr>
            <w:r>
              <w:t xml:space="preserve">5</w:t>
            </w:r>
          </w:p>
        </w:tc>
        <w:tc>
          <w:tcPr/>
          <w:p>
            <w:pPr>
              <w:pStyle w:val="Compact"/>
            </w:pPr>
            <w:r>
              <w:t xml:space="preserve">Declaro que los recursos que deposito para respaldar el cupo de mi línea de crédito CREDIX1 provienen de actividades lícitas.</w:t>
            </w:r>
          </w:p>
        </w:tc>
        <w:tc>
          <w:tcPr/>
          <w:p>
            <w:pPr>
              <w:pStyle w:val="Compact"/>
            </w:pPr>
            <w:r>
              <w:t xml:space="preserve">[ ]</w:t>
            </w:r>
          </w:p>
        </w:tc>
      </w:tr>
      <w:tr>
        <w:tc>
          <w:tcPr/>
          <w:p>
            <w:pPr>
              <w:pStyle w:val="Compact"/>
            </w:pPr>
            <w:r>
              <w:t xml:space="preserve">6</w:t>
            </w:r>
          </w:p>
        </w:tc>
        <w:tc>
          <w:tcPr/>
          <w:p>
            <w:pPr>
              <w:pStyle w:val="Compact"/>
            </w:pPr>
            <w:r>
              <w:t xml:space="preserve">Entiendo que, mientras la garantía esté vigente, no podré disponer libremente del dinero que deposité, y que solo podré usarlo a través de la tarjeta CREDIX1 o mediante el procedimiento de liberación por mínimo vital si aplica en mi caso.</w:t>
            </w:r>
          </w:p>
        </w:tc>
        <w:tc>
          <w:tcPr/>
          <w:p>
            <w:pPr>
              <w:pStyle w:val="Compact"/>
            </w:pPr>
            <w:r>
              <w:t xml:space="preserve">[ ]</w:t>
            </w:r>
          </w:p>
        </w:tc>
      </w:tr>
      <w:tr>
        <w:tc>
          <w:tcPr/>
          <w:p>
            <w:pPr>
              <w:pStyle w:val="Compact"/>
            </w:pPr>
            <w:r>
              <w:t xml:space="preserve">7</w:t>
            </w:r>
          </w:p>
        </w:tc>
        <w:tc>
          <w:tcPr/>
          <w:p>
            <w:pPr>
              <w:pStyle w:val="Compact"/>
            </w:pPr>
            <w:r>
              <w:t xml:space="preserve">Declaro que los recursos que deposito para respaldar mi cupo no corresponden a mi salario, mesada pensional, prestaciones sociales ni a recursos de destinación protegida por ley, y que mi patrimonio restante es suficiente para atender mis obligaciones alimentarias y laborales frente a terceros.</w:t>
            </w:r>
          </w:p>
        </w:tc>
        <w:tc>
          <w:tcPr/>
          <w:p>
            <w:pPr>
              <w:pStyle w:val="Compact"/>
            </w:pPr>
            <w:r>
              <w:t xml:space="preserve">[ ]</w:t>
            </w:r>
          </w:p>
        </w:tc>
      </w:tr>
      <w:tr>
        <w:tc>
          <w:tcPr/>
          <w:p>
            <w:pPr>
              <w:pStyle w:val="Compact"/>
            </w:pPr>
            <w:r>
              <w:t xml:space="preserve">8</w:t>
            </w:r>
          </w:p>
        </w:tc>
        <w:tc>
          <w:tcPr/>
          <w:p>
            <w:pPr>
              <w:pStyle w:val="Compact"/>
            </w:pPr>
            <w:r>
              <w:t xml:space="preserve">Entiendo y acepto que, si incumplo el pago mínimo de mi extracto y no subsano dentro del plazo que se me notifique, EHOLDINGS podrá instruir a Coopcentral el pago directo de lo adeudado con cargo a mis recursos controlados, sin necesidad de proceso judicial, después de darme la oportunidad de objetar la liquidación.</w:t>
            </w:r>
          </w:p>
        </w:tc>
        <w:tc>
          <w:tcPr/>
          <w:p>
            <w:pPr>
              <w:pStyle w:val="Compact"/>
            </w:pPr>
            <w:r>
              <w:t xml:space="preserve">[ ]</w:t>
            </w:r>
          </w:p>
        </w:tc>
      </w:tr>
      <w:tr>
        <w:tc>
          <w:tcPr/>
          <w:p>
            <w:pPr>
              <w:pStyle w:val="Compact"/>
            </w:pPr>
            <w:r>
              <w:t xml:space="preserve">9</w:t>
            </w:r>
          </w:p>
        </w:tc>
        <w:tc>
          <w:tcPr/>
          <w:p>
            <w:pPr>
              <w:pStyle w:val="Compact"/>
            </w:pPr>
            <w:r>
              <w:t xml:space="preserve">Entiendo que CREDIX1 reporta mi comportamiento de pago de forma veraz, que el puntaje lo calcula cada operador de información con su propio modelo, y que CREDIX1 no garantiza una mejora determinada de mi puntaje ni la eliminación de reportes negativos de otras fuentes.</w:t>
            </w:r>
          </w:p>
        </w:tc>
        <w:tc>
          <w:tcPr/>
          <w:p>
            <w:pPr>
              <w:pStyle w:val="Compact"/>
            </w:pPr>
            <w:r>
              <w:t xml:space="preserve">[ ]</w:t>
            </w:r>
          </w:p>
        </w:tc>
      </w:tr>
      <w:tr>
        <w:tc>
          <w:tcPr/>
          <w:p>
            <w:pPr>
              <w:pStyle w:val="Compact"/>
            </w:pPr>
            <w:r>
              <w:t xml:space="preserve">10</w:t>
            </w:r>
          </w:p>
        </w:tc>
        <w:tc>
          <w:tcPr/>
          <w:p>
            <w:pPr>
              <w:pStyle w:val="Compact"/>
            </w:pPr>
            <w:r>
              <w:t xml:space="preserve">Entiendo que EHOLDINGS FLORIDA S.A.S. otorga el crédito y no es una entidad vigilada por la Superintendencia Financiera, que [EMISOR AUTORIZADO] emite mi tarjeta, y que Banco Cooperativo Coopcentral es la entidad vigilada donde reposan mis recursos, sin cobertura del seguro de depósitos de Fogafín para las obligaciones de EHOLDINGS.</w:t>
            </w:r>
          </w:p>
        </w:tc>
        <w:tc>
          <w:tcPr/>
          <w:p>
            <w:pPr>
              <w:pStyle w:val="Compact"/>
            </w:pPr>
            <w:r>
              <w:t xml:space="preserve">[ ]</w:t>
            </w:r>
          </w:p>
        </w:tc>
      </w:tr>
      <w:tr>
        <w:tc>
          <w:tcPr/>
          <w:p>
            <w:pPr>
              <w:pStyle w:val="Compact"/>
            </w:pPr>
            <w:r>
              <w:t xml:space="preserve">11</w:t>
            </w:r>
          </w:p>
        </w:tc>
        <w:tc>
          <w:tcPr/>
          <w:p>
            <w:pPr>
              <w:pStyle w:val="Compact"/>
            </w:pPr>
            <w:r>
              <w:t xml:space="preserve">Voluntaria. Autorizo a EHOLDINGS FLORIDA S.A.S. a tratar mis datos biométricos, que son datos sensibles, con la única finalidad de verificar mi identidad en la vinculación y prevenir la suplantación. Se me informó que no estoy obligado a autorizarlo y que, si no lo autorizo, mi identidad se verifica por el medio alterno que EHOLDINGS me indique, sin que se me niegue el producto por esa razón.</w:t>
            </w:r>
          </w:p>
        </w:tc>
        <w:tc>
          <w:tcPr/>
          <w:p>
            <w:pPr>
              <w:pStyle w:val="Compact"/>
            </w:pPr>
            <w:r>
              <w:t xml:space="preserve">[ ]</w:t>
            </w:r>
          </w:p>
        </w:tc>
      </w:tr>
    </w:tbl>
    <w:p>
      <w:pPr>
        <w:pStyle w:val="BodyText"/>
      </w:pPr>
      <w:r>
        <w:t xml:space="preserve">En la vinculación digital, el texto de las casillas 6, 7, 9 y 10 se muestra completo junto a la casilla, sin necesidad de abrir un enlace.</w:t>
      </w:r>
    </w:p>
    <w:bookmarkEnd w:id="961"/>
    <w:bookmarkStart w:id="964" w:name="Xd6b059ddfb57714dbc5d13f57edaba81b69f57c"/>
    <w:p>
      <w:pPr>
        <w:pStyle w:val="Heading1"/>
      </w:pPr>
      <w:r>
        <w:t xml:space="preserve">Anexo 3. Canales de atención y causales de terminación</w:t>
      </w:r>
    </w:p>
    <w:bookmarkStart w:id="962" w:name="canales-de-atención"/>
    <w:p>
      <w:pPr>
        <w:pStyle w:val="Heading2"/>
      </w:pPr>
      <w:r>
        <w:t xml:space="preserve">Canales de atención</w:t>
      </w:r>
    </w:p>
    <w:tbl>
      <w:tblPr>
        <w:tblStyle w:val="Table"/>
        <w:tblW w:type="pct" w:w="5000"/>
        <w:tblLayout w:type="fixed"/>
        <w:tblLook w:firstRow="1" w:lastRow="0" w:firstColumn="0" w:lastColumn="0" w:noHBand="0" w:noVBand="0" w:val="0020"/>
      </w:tblPr>
      <w:tblGrid>
        <w:gridCol w:w="3432"/>
        <w:gridCol w:w="1980"/>
        <w:gridCol w:w="2508"/>
      </w:tblGrid>
      <w:tr>
        <w:trPr>
          <w:tblHeader w:val="on"/>
        </w:trPr>
        <w:tc>
          <w:tcPr/>
          <w:p>
            <w:pPr>
              <w:pStyle w:val="Compact"/>
            </w:pPr>
            <w:r>
              <w:t xml:space="preserve">Asunto</w:t>
            </w:r>
          </w:p>
        </w:tc>
        <w:tc>
          <w:tcPr/>
          <w:p>
            <w:pPr>
              <w:pStyle w:val="Compact"/>
            </w:pPr>
            <w:r>
              <w:t xml:space="preserve">Ante quién</w:t>
            </w:r>
          </w:p>
        </w:tc>
        <w:tc>
          <w:tcPr/>
          <w:p>
            <w:pPr>
              <w:pStyle w:val="Compact"/>
            </w:pPr>
            <w:r>
              <w:t xml:space="preserve">Datos de contacto</w:t>
            </w:r>
          </w:p>
        </w:tc>
      </w:tr>
      <w:tr>
        <w:tc>
          <w:tcPr/>
          <w:p>
            <w:pPr>
              <w:pStyle w:val="Compact"/>
            </w:pPr>
            <w:r>
              <w:t xml:space="preserve">Consultas y reclamos sobre el crédito, la garantía, el reporte a centrales y los datos personales; disputas de transacciones</w:t>
            </w:r>
          </w:p>
        </w:tc>
        <w:tc>
          <w:tcPr/>
          <w:p>
            <w:pPr>
              <w:pStyle w:val="Compact"/>
            </w:pPr>
            <w:r>
              <w:t xml:space="preserve">EHOLDINGS FLORIDA S.A.S.</w:t>
            </w:r>
          </w:p>
        </w:tc>
        <w:tc>
          <w:tcPr/>
          <w:p>
            <w:pPr>
              <w:pStyle w:val="Compact"/>
            </w:pPr>
            <w:r>
              <w:t xml:space="preserve">[CORREO ELECTRÓNICO] · [TELÉFONO] · [DIRECCIÓN] · [HORARIO]</w:t>
            </w:r>
          </w:p>
        </w:tc>
      </w:tr>
      <w:tr>
        <w:tc>
          <w:tcPr/>
          <w:p>
            <w:pPr>
              <w:pStyle w:val="Compact"/>
            </w:pPr>
            <w:r>
              <w:t xml:space="preserve">Quejas contra EHOLDINGS por el crédito, la publicidad, el reporte a centrales o la cobranza</w:t>
            </w:r>
          </w:p>
        </w:tc>
        <w:tc>
          <w:tcPr/>
          <w:p>
            <w:pPr>
              <w:pStyle w:val="Compact"/>
            </w:pPr>
            <w:r>
              <w:t xml:space="preserve">Superintendencia de Industria y Comercio</w:t>
            </w:r>
          </w:p>
        </w:tc>
        <w:tc>
          <w:tcPr/>
          <w:p>
            <w:pPr>
              <w:pStyle w:val="Compact"/>
            </w:pPr>
            <w:r>
              <w:t xml:space="preserve">Calle 24 No. 7-43, Bogotá D.C. · Línea de atención +57 601 592 0400 · Línea gratuita nacional 01 8000 910165 · www.sic.gov.co · Lunes a viernes, 8:00 a. m. a 4:30 p. m.</w:t>
            </w:r>
          </w:p>
        </w:tc>
      </w:tr>
      <w:tr>
        <w:tc>
          <w:tcPr/>
          <w:p>
            <w:pPr>
              <w:pStyle w:val="Compact"/>
            </w:pPr>
            <w:r>
              <w:t xml:space="preserve">Quejas sobre la cuenta de ahorros</w:t>
            </w:r>
          </w:p>
        </w:tc>
        <w:tc>
          <w:tcPr/>
          <w:p>
            <w:pPr>
              <w:pStyle w:val="Compact"/>
            </w:pPr>
            <w:r>
              <w:t xml:space="preserve">Banco Cooperativo Coopcentral</w:t>
            </w:r>
          </w:p>
        </w:tc>
        <w:tc>
          <w:tcPr/>
          <w:p>
            <w:pPr>
              <w:pStyle w:val="Compact"/>
            </w:pPr>
            <w:r>
              <w:t xml:space="preserve">Avenida Calle 116 No. 23-06/28, piso 6, Bogotá D.C. · PBX +57 601 743 1088 · Línea nacional 01 8000 181088 · sac@coopcentral.com.co · www.coopcentral.com.co</w:t>
            </w:r>
          </w:p>
        </w:tc>
      </w:tr>
      <w:tr>
        <w:tc>
          <w:tcPr/>
          <w:p>
            <w:pPr>
              <w:pStyle w:val="Compact"/>
            </w:pPr>
            <w:r>
              <w:t xml:space="preserve">Quejas sobre la cuenta de ahorros</w:t>
            </w:r>
          </w:p>
        </w:tc>
        <w:tc>
          <w:tcPr/>
          <w:p>
            <w:pPr>
              <w:pStyle w:val="Compact"/>
            </w:pPr>
            <w:r>
              <w:t xml:space="preserve">Defensor del Consumidor Financiero de Coopcentral</w:t>
            </w:r>
          </w:p>
        </w:tc>
        <w:tc>
          <w:tcPr/>
          <w:p>
            <w:pPr>
              <w:pStyle w:val="Compact"/>
            </w:pPr>
            <w:r>
              <w:t xml:space="preserve">Defensoría del Cliente Laguado Giraldo S.A.S. · Calle 70A No. 11-83, Bogotá D.C. · (601) 597 0412, (601) 373 6697 y 320 398 1187 · www.defensorialg.com.co · Lunes a viernes, 9:00 a. m. a 4:00 p. m.</w:t>
            </w:r>
          </w:p>
        </w:tc>
      </w:tr>
      <w:tr>
        <w:tc>
          <w:tcPr/>
          <w:p>
            <w:pPr>
              <w:pStyle w:val="Compact"/>
            </w:pPr>
            <w:r>
              <w:t xml:space="preserve">Quejas sobre la cuenta de ahorros</w:t>
            </w:r>
          </w:p>
        </w:tc>
        <w:tc>
          <w:tcPr/>
          <w:p>
            <w:pPr>
              <w:pStyle w:val="Compact"/>
            </w:pPr>
            <w:r>
              <w:t xml:space="preserve">Superintendencia Financiera de Colombia</w:t>
            </w:r>
          </w:p>
        </w:tc>
        <w:tc>
          <w:tcPr/>
          <w:p>
            <w:pPr>
              <w:pStyle w:val="Compact"/>
            </w:pPr>
            <w:r>
              <w:t xml:space="preserve">Calle 7 No. 4-49, Bogotá D.C. · Conmutador +57 601 594 0200 · Línea gratuita nacional 01 8000 120 100 · Centro de contacto +57 601 307 8042 · www.superfinanciera.gov.co</w:t>
            </w:r>
          </w:p>
        </w:tc>
      </w:tr>
    </w:tbl>
    <w:p>
      <w:pPr>
        <w:pStyle w:val="BodyText"/>
      </w:pPr>
      <w:r>
        <w:t xml:space="preserve">Los datos de las autoridades, de Coopcentral y de su Defensor se tomaron de sus sitios oficiales el 6 de octubre de 2026. EHOLDINGS los revisa antes de cada publicación de este contrato.</w:t>
      </w:r>
    </w:p>
    <w:bookmarkEnd w:id="962"/>
    <w:bookmarkStart w:id="963" w:name="X4872ebfe8d3d11ca7d591af045eddd9b54218b2"/>
    <w:p>
      <w:pPr>
        <w:pStyle w:val="Heading2"/>
      </w:pPr>
      <w:r>
        <w:t xml:space="preserve">Causales objetivas de terminación por parte de EHOLDINGS</w:t>
      </w:r>
    </w:p>
    <w:p>
      <w:pPr>
        <w:pStyle w:val="FirstParagraph"/>
      </w:pPr>
      <w:r>
        <w:t xml:space="preserve">EHOLDINGS puede terminar el contrato, previa notificación al cliente, solo por las siguientes causales objetivas, además del incumplimiento grave o reiterado:</w:t>
      </w:r>
    </w:p>
    <w:p>
      <w:pPr>
        <w:pStyle w:val="Compact"/>
        <w:numPr>
          <w:ilvl w:val="0"/>
          <w:numId w:val="1007"/>
        </w:numPr>
      </w:pPr>
      <w:r>
        <w:t xml:space="preserve">Que se compruebe que la información o los documentos entregados por el cliente en la vinculación son falsos.</w:t>
      </w:r>
    </w:p>
    <w:p>
      <w:pPr>
        <w:pStyle w:val="Compact"/>
        <w:numPr>
          <w:ilvl w:val="0"/>
          <w:numId w:val="1007"/>
        </w:numPr>
      </w:pPr>
      <w:r>
        <w:t xml:space="preserve">Que la garantía haya sido constituida o fondeada por un tercero, en contra de la cláusula décima cuarta.</w:t>
      </w:r>
    </w:p>
    <w:p>
      <w:pPr>
        <w:pStyle w:val="Compact"/>
        <w:numPr>
          <w:ilvl w:val="0"/>
          <w:numId w:val="1007"/>
        </w:numPr>
      </w:pPr>
      <w:r>
        <w:t xml:space="preserve">Que el cliente aparezca en listas restrictivas vinculantes para Colombia, o que el programa de prevención de lavado de activos de EHOLDINGS o de Coopcentral impida continuar la relación.</w:t>
      </w:r>
    </w:p>
    <w:p>
      <w:pPr>
        <w:pStyle w:val="Compact"/>
        <w:numPr>
          <w:ilvl w:val="0"/>
          <w:numId w:val="1007"/>
        </w:numPr>
      </w:pPr>
      <w:r>
        <w:t xml:space="preserve">Que termine el contrato con Coopcentral o con el emisor sin que exista un mecanismo de continuidad, caso en el cual se aplica la cláusula décima octava.</w:t>
      </w:r>
    </w:p>
    <w:p>
      <w:pPr>
        <w:pStyle w:val="FirstParagraph"/>
      </w:pPr>
      <w:r>
        <w:t xml:space="preserve">En todos los casos, la terminación sigue el orden de la cláusula séptima para el saldo que exista y libera el remanente al mismo titular y a la misma cuenta.</w:t>
      </w:r>
    </w:p>
    <w:bookmarkEnd w:id="963"/>
    <w:bookmarkEnd w:id="964"/>
    <w:bookmarkStart w:id="965" w:name="control-de-versiones"/>
    <w:p>
      <w:pPr>
        <w:pStyle w:val="Heading1"/>
      </w:pPr>
      <w:r>
        <w:t xml:space="preserve">Control de versiones</w:t>
      </w:r>
    </w:p>
    <w:tbl>
      <w:tblPr>
        <w:tblStyle w:val="Table"/>
        <w:tblW w:type="pct" w:w="5000"/>
        <w:tblLayout w:type="fixed"/>
        <w:tblLook w:firstRow="1" w:lastRow="0" w:firstColumn="0" w:lastColumn="0" w:noHBand="0" w:noVBand="0" w:val="0020"/>
      </w:tblPr>
      <w:tblGrid>
        <w:gridCol w:w="968"/>
        <w:gridCol w:w="1056"/>
        <w:gridCol w:w="4576"/>
        <w:gridCol w:w="1320"/>
      </w:tblGrid>
      <w:tr>
        <w:trPr>
          <w:tblHeader w:val="on"/>
        </w:trPr>
        <w:tc>
          <w:tcPr/>
          <w:p>
            <w:pPr>
              <w:pStyle w:val="Compact"/>
            </w:pPr>
            <w:r>
              <w:t xml:space="preserve">Versión</w:t>
            </w:r>
          </w:p>
        </w:tc>
        <w:tc>
          <w:tcPr/>
          <w:p>
            <w:pPr>
              <w:pStyle w:val="Compact"/>
            </w:pPr>
            <w:r>
              <w:t xml:space="preserve">Fecha</w:t>
            </w:r>
          </w:p>
        </w:tc>
        <w:tc>
          <w:tcPr/>
          <w:p>
            <w:pPr>
              <w:pStyle w:val="Compact"/>
            </w:pPr>
            <w:r>
              <w:t xml:space="preserve">Cambios</w:t>
            </w:r>
          </w:p>
        </w:tc>
        <w:tc>
          <w:tcPr/>
          <w:p>
            <w:pPr>
              <w:pStyle w:val="Compact"/>
            </w:pPr>
            <w:r>
              <w:t xml:space="preserve">Estado</w:t>
            </w:r>
          </w:p>
        </w:tc>
      </w:tr>
      <w:tr>
        <w:tc>
          <w:tcPr/>
          <w:p>
            <w:pPr>
              <w:pStyle w:val="Compact"/>
            </w:pPr>
            <w:r>
              <w:t xml:space="preserve">1.0</w:t>
            </w:r>
          </w:p>
        </w:tc>
        <w:tc>
          <w:tcPr/>
          <w:p>
            <w:pPr>
              <w:pStyle w:val="Compact"/>
            </w:pPr>
            <w:r>
              <w:t xml:space="preserve">14 de septiembre de 2026</w:t>
            </w:r>
          </w:p>
        </w:tc>
        <w:tc>
          <w:tcPr/>
          <w:p>
            <w:pPr>
              <w:pStyle w:val="Compact"/>
            </w:pPr>
            <w:r>
              <w:t xml:space="preserve">Contrato Marco CREDIX1: términos y condiciones, contrato de línea de crédito, pagaré y contrato marco con Coopcentral en un solo documento</w:t>
            </w:r>
          </w:p>
        </w:tc>
        <w:tc>
          <w:tcPr/>
          <w:p>
            <w:pPr>
              <w:pStyle w:val="Compact"/>
            </w:pPr>
            <w:r>
              <w:t xml:space="preserve">Reemplazada</w:t>
            </w:r>
          </w:p>
        </w:tc>
      </w:tr>
      <w:tr>
        <w:tc>
          <w:tcPr/>
          <w:p>
            <w:pPr>
              <w:pStyle w:val="Compact"/>
            </w:pPr>
            <w:r>
              <w:t xml:space="preserve">2.0</w:t>
            </w:r>
          </w:p>
        </w:tc>
        <w:tc>
          <w:tcPr/>
          <w:p>
            <w:pPr>
              <w:pStyle w:val="Compact"/>
            </w:pPr>
            <w:r>
              <w:t xml:space="preserve">5 de octubre de 2026</w:t>
            </w:r>
          </w:p>
        </w:tc>
        <w:tc>
          <w:tcPr/>
          <w:p>
            <w:pPr>
              <w:pStyle w:val="Compact"/>
            </w:pPr>
            <w:r>
              <w:t xml:space="preserve">Los términos y condiciones pasan a resumen en lenguaje claro con remisiones. El contrato marco con Coopcentral sale a documento aparte; el cliente conserva la adhesión, con constancia de recibo de Coopcentral. Se incorporan como anexos la tabla de costos (sin porcentajes de usura) y las autorizaciones (once casillas, la undécima voluntaria para datos biométricos, conforme al artículo 6 del Decreto 1377 de 2013). Nueva cláusula vigésima primera de cobranza conforme a los artículos 2, 3, 4, 6 y 7 de la Ley 2300 de 2023. Pagaré con espacios en blanco llenados según la carta de instrucciones (artículo 622 del Código de Comercio). Campos nuevos en el Bloque A para los plazos que no tenían campo. Anexo 3 con canales y causales objetivas de terminación. Modalidad de crédito de consumo y ordinario</w:t>
            </w:r>
          </w:p>
        </w:tc>
        <w:tc>
          <w:tcPr/>
          <w:p>
            <w:pPr>
              <w:pStyle w:val="Compact"/>
            </w:pPr>
            <w:r>
              <w:t xml:space="preserve">Reemplazada</w:t>
            </w:r>
          </w:p>
        </w:tc>
      </w:tr>
      <w:tr>
        <w:tc>
          <w:tcPr/>
          <w:p>
            <w:pPr>
              <w:pStyle w:val="Compact"/>
            </w:pPr>
            <w:r>
              <w:t xml:space="preserve">2.1</w:t>
            </w:r>
          </w:p>
        </w:tc>
        <w:tc>
          <w:tcPr/>
          <w:p>
            <w:pPr>
              <w:pStyle w:val="Compact"/>
            </w:pPr>
            <w:r>
              <w:t xml:space="preserve">6 de octubre de 2026</w:t>
            </w:r>
          </w:p>
        </w:tc>
        <w:tc>
          <w:tcPr/>
          <w:p>
            <w:pPr>
              <w:pStyle w:val="Compact"/>
            </w:pPr>
            <w:r>
              <w:t xml:space="preserve">Anexo 3: datos de contacto de la Superintendencia de Industria y Comercio, la Superintendencia Financiera, Coopcentral y su Defensor del Consumidor Financiero, tomados de sus sitios oficiales</w:t>
            </w:r>
          </w:p>
        </w:tc>
        <w:tc>
          <w:tcPr/>
          <w:p>
            <w:pPr>
              <w:pStyle w:val="Compact"/>
            </w:pPr>
            <w:r>
              <w:t xml:space="preserve">Vigente</w:t>
            </w:r>
          </w:p>
        </w:tc>
      </w:tr>
    </w:tbl>
    <w:bookmarkEnd w:id="965"/>
    <w:sectPr>
      <w:headerReference r:id="rId901" w:type="default"/>
      <w:footerReference r:id="rId902" w:type="default"/>
      <w:pgSz w:h="15840" w:w="12240"/>
      <w:pgMar w:bottom="1440" w:footer="720" w:gutter="0" w:header="720" w:left="1440" w:right="1440" w:top="1440"/>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p>
    <w:pPr>
      <w:pBdr>
        <w:top w:val="single" w:sz="4" w:space="4" w:color="E2E6EB"/>
      </w:pBdr>
      <w:spacing w:before="0" w:after="0"/>
      <w:jc w:val="center"/>
    </w:pPr>
    <w:r>
      <w:rPr>
        <w:rFonts w:asciiTheme="majorHAnsi" w:hAnsiTheme="majorHAnsi"/>
        <w:color w:val="6B6F7A"/>
        <w:sz w:val="16"/>
      </w:rPr>
      <w:t xml:space="preserve">Página </w:t>
    </w:r>
    <w:r>
      <w:rPr>
        <w:rFonts w:asciiTheme="majorHAnsi" w:hAnsiTheme="majorHAnsi"/>
        <w:color w:val="6B6F7A"/>
        <w:sz w:val="16"/>
      </w:rPr>
      <w:fldChar w:fldCharType="begin"/>
    </w:r>
    <w:r>
      <w:instrText>PAGE</w:instrText>
    </w:r>
    <w:r>
      <w:fldChar w:fldCharType="end"/>
    </w:r>
    <w:r>
      <w:rPr>
        <w:rFonts w:asciiTheme="majorHAnsi" w:hAnsiTheme="majorHAnsi"/>
        <w:color w:val="6B6F7A"/>
        <w:sz w:val="16"/>
      </w:rPr>
      <w:t xml:space="preserve"> de </w:t>
    </w:r>
    <w:r>
      <w:rPr>
        <w:rFonts w:asciiTheme="majorHAnsi" w:hAnsiTheme="majorHAnsi"/>
        <w:color w:val="6B6F7A"/>
        <w:sz w:val="16"/>
      </w:rPr>
      <w:fldChar w:fldCharType="begin"/>
    </w:r>
    <w:r>
      <w:instrText>NUMPAGES</w:instrTex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pBdr>
        <w:bottom w:val="single" w:sz="4" w:space="6" w:color="E2E6EB"/>
      </w:pBdr>
      <w:spacing w:after="0"/>
      <w:jc w:val="left"/>
    </w:pPr>
    <w:r>
      <w:drawing>
        <wp:inline distT="0" distB="0" distL="0" distR="0">
          <wp:extent cx="613410" cy="118872"/>
          <wp:effectExtent l="0" t="0" r="0" b="0"/>
          <wp:docPr id="101" name="Bedrock Abogados"/>
          <wp:cNvGraphicFramePr>
            <a:graphicFrameLocks noChangeAspect="1"/>
          </wp:cNvGraphicFramePr>
          <a:graphic>
            <a:graphicData uri="http://schemas.openxmlformats.org/drawingml/2006/picture">
              <pic:pic>
                <pic:nvPicPr>
                  <pic:cNvPr id="101" name="Bedrock Abogados"/>
                  <pic:cNvPicPr/>
                </pic:nvPicPr>
                <pic:blipFill>
                  <a:blip r:embed="rIdLogo1"/>
                  <a:stretch>
                    <a:fillRect/>
                  </a:stretch>
                </pic:blipFill>
                <pic:spPr>
                  <a:xfrm>
                    <a:off x="0" y="0"/>
                    <a:ext cx="613410" cy="118872"/>
                  </a:xfrm>
                  <a:prstGeom prst="rect">
                    <a:avLst/>
                  </a:prstGeom>
                </pic:spPr>
              </pic:pic>
            </a:graphicData>
          </a:graphic>
        </wp:inline>
      </w:drawing>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1"/>
        <w:szCs w:val="21"/>
        <w:lang w:bidi="ar-SA" w:eastAsia="zh-CN" w:val="en-US"/>
      </w:rPr>
    </w:rPrDefault>
    <w:pPrDefault>
      <w:pPr>
        <w:spacing w:after="160" w:line="312" w:lineRule="auto"/>
        <w:jc w:val="both"/>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jc w:val="left"/>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jc w:val="left"/>
      <w:outlineLvl w:val="0"/>
    </w:pPr>
    <w:rPr>
      <w:rFonts w:asciiTheme="majorHAnsi" w:cstheme="majorBidi" w:eastAsiaTheme="majorEastAsia" w:hAnsiTheme="majorHAnsi"/>
      <w:b/>
      <w:color w:val="1B1D36"/>
      <w:sz w:val="42"/>
      <w:szCs w:val="42"/>
    </w:rPr>
  </w:style>
  <w:style w:styleId="Heading2" w:type="paragraph">
    <w:name w:val="heading 2"/>
    <w:basedOn w:val="Normal"/>
    <w:next w:val="BodyText"/>
    <w:link w:val="Heading2Char"/>
    <w:uiPriority w:val="9"/>
    <w:semiHidden/>
    <w:unhideWhenUsed/>
    <w:qFormat/>
    <w:rsid w:val="00A10FD9"/>
    <w:pPr>
      <w:keepNext/>
      <w:keepLines/>
      <w:spacing w:after="80" w:before="160"/>
      <w:jc w:val="left"/>
      <w:outlineLvl w:val="1"/>
    </w:pPr>
    <w:rPr>
      <w:rFonts w:asciiTheme="majorHAnsi" w:cstheme="majorBidi" w:eastAsiaTheme="majorEastAsia" w:hAnsiTheme="majorHAnsi"/>
      <w:b/>
      <w:color w:val="224D6E"/>
      <w:sz w:val="30"/>
      <w:szCs w:val="30"/>
    </w:rPr>
  </w:style>
  <w:style w:styleId="Heading3" w:type="paragraph">
    <w:name w:val="heading 3"/>
    <w:basedOn w:val="Normal"/>
    <w:next w:val="BodyText"/>
    <w:link w:val="Heading3Char"/>
    <w:uiPriority w:val="9"/>
    <w:semiHidden/>
    <w:unhideWhenUsed/>
    <w:qFormat/>
    <w:rsid w:val="00A10FD9"/>
    <w:pPr>
      <w:keepNext/>
      <w:keepLines/>
      <w:spacing w:after="80" w:before="160"/>
      <w:jc w:val="left"/>
      <w:outlineLvl w:val="2"/>
    </w:pPr>
    <w:rPr>
      <w:rFonts w:asciiTheme="majorHAnsi" w:cstheme="majorBidi" w:eastAsiaTheme="majorEastAsia" w:hAnsiTheme="majorHAnsi"/>
      <w:b/>
      <w:color w:val="224D6E"/>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Eyebrow" w:type="paragraph">
    <w:name w:val="Eyebrow"/>
    <w:basedOn w:val="Normal"/>
    <w:qFormat/>
    <w:pPr>
      <w:spacing w:after="60" w:before="0"/>
      <w:jc w:val="left"/>
    </w:pPr>
    <w:rPr>
      <w:rFonts w:asciiTheme="majorHAnsi" w:hAnsiTheme="majorHAnsi"/>
      <w:b/>
      <w:caps/>
      <w:color w:val="224D6E"/>
      <w:spacing w:val="60"/>
      <w:sz w:val="17"/>
      <w:szCs w:val="17"/>
    </w:rPr>
  </w:style>
  <w:style w:customStyle="1" w:styleId="PortadaTitulo" w:type="paragraph">
    <w:name w:val="Portada Titulo"/>
    <w:basedOn w:val="Normal"/>
    <w:qFormat/>
    <w:pPr>
      <w:spacing w:after="200" w:before="120" w:line="288" w:lineRule="auto"/>
      <w:jc w:val="left"/>
    </w:pPr>
    <w:rPr>
      <w:rFonts w:asciiTheme="majorHAnsi" w:hAnsiTheme="majorHAnsi"/>
      <w:b/>
      <w:color w:val="1B1D36"/>
      <w:sz w:val="54"/>
      <w:szCs w:val="54"/>
    </w:rPr>
  </w:style>
  <w:style w:customStyle="1" w:styleId="Lede" w:type="paragraph">
    <w:name w:val="Lede"/>
    <w:basedOn w:val="Normal"/>
    <w:qFormat/>
    <w:pPr>
      <w:spacing w:after="320" w:before="0"/>
      <w:jc w:val="left"/>
    </w:pPr>
    <w:rPr>
      <w:color w:val="000000"/>
      <w:sz w:val="24"/>
      <w:szCs w:val="24"/>
    </w:rPr>
  </w:style>
  <w:style w:customStyle="1" w:styleId="LineaAcento" w:type="paragraph">
    <w:name w:val="Linea Acento"/>
    <w:basedOn w:val="Normal"/>
    <w:qFormat/>
    <w:pPr>
      <w:pBdr>
        <w:bottom w:color="E9CDA5" w:space="0" w:sz="18" w:val="single"/>
      </w:pBdr>
      <w:spacing w:after="200" w:before="0"/>
      <w:ind w:right="7600"/>
    </w:pPr>
    <w:rPr>
      <w:sz w:val="2"/>
      <w:szCs w:val="2"/>
    </w:rPr>
  </w:style>
  <w:style w:customStyle="1" w:styleId="ResumenTitulo" w:type="paragraph">
    <w:name w:val="Resumen Titulo"/>
    <w:basedOn w:val="Normal"/>
    <w:qFormat/>
    <w:pPr>
      <w:spacing w:after="120" w:before="200"/>
      <w:jc w:val="left"/>
    </w:pPr>
    <w:rPr>
      <w:rFonts w:asciiTheme="majorHAnsi" w:hAnsiTheme="majorHAnsi"/>
      <w:b/>
      <w:caps/>
      <w:color w:val="6B6F7A"/>
      <w:spacing w:val="40"/>
      <w:sz w:val="18"/>
      <w:szCs w:val="18"/>
    </w:rPr>
  </w:style>
  <w:style w:customStyle="1" w:styleId="ResumenItem" w:type="paragraph">
    <w:name w:val="Resumen Item"/>
    <w:basedOn w:val="Normal"/>
    <w:qFormat/>
    <w:pPr>
      <w:pBdr>
        <w:left w:color="224D6E" w:space="8" w:sz="18" w:val="single"/>
      </w:pBdr>
      <w:spacing w:after="60" w:before="60"/>
      <w:ind w:left="160"/>
      <w:jc w:val="left"/>
    </w:pPr>
    <w:rPr>
      <w:sz w:val="20"/>
      <w:szCs w:val="20"/>
    </w:rPr>
  </w:style>
  <w:style w:customStyle="1" w:styleId="FinePrint" w:type="paragraph">
    <w:name w:val="Fine Print"/>
    <w:basedOn w:val="Normal"/>
    <w:qFormat/>
    <w:pPr>
      <w:spacing w:after="0" w:before="240"/>
      <w:jc w:val="left"/>
    </w:pPr>
    <w:rPr>
      <w:i/>
      <w:color w:val="6B6F7A"/>
      <w:sz w:val="16"/>
      <w:szCs w:val="16"/>
    </w:rPr>
  </w:style>
  <w:style w:customStyle="1" w:styleId="Campo" w:type="character">
    <w:name w:val="Campo"/>
    <w:qFormat/>
    <w:rPr>
      <w:shd w:color="auto" w:fill="FFF3D6" w:val="clear"/>
      <w:color w:val="6B5218"/>
    </w:rPr>
  </w:style>
  <w:style w:type="paragraph" w:customStyle="1" w:styleId="LineaAcento">
    <w:name w:val="LineaAcento"/>
    <w:basedOn w:val="BodyText"/>
    <w:qFormat/>
  </w:style>
  <w:style w:type="paragraph" w:customStyle="1" w:styleId="PortadaTitulo">
    <w:name w:val="PortadaTitulo"/>
    <w:basedOn w:val="BodyText"/>
    <w:qFormat/>
  </w:style>
  <w:style w:type="paragraph" w:customStyle="1" w:styleId="ResumenItem">
    <w:name w:val="ResumenItem"/>
    <w:basedOn w:val="BodyText"/>
    <w:qFormat/>
  </w:style>
  <w:style w:type="paragraph" w:customStyle="1" w:styleId="ResumenTitulo">
    <w:name w:val="ResumenTitulo"/>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910" Target="numbering.xml" /><Relationship Type="http://schemas.openxmlformats.org/officeDocument/2006/relationships/styles" Id="rId909" Target="styles.xml" /><Relationship Type="http://schemas.openxmlformats.org/officeDocument/2006/relationships/settings" Id="rId908" Target="settings.xml" /><Relationship Type="http://schemas.openxmlformats.org/officeDocument/2006/relationships/webSettings" Id="rId907" Target="webSettings.xml" /><Relationship Type="http://schemas.openxmlformats.org/officeDocument/2006/relationships/fontTable" Id="rId906" Target="fontTable.xml" /><Relationship Type="http://schemas.openxmlformats.org/officeDocument/2006/relationships/theme" Id="rId905" Target="theme/theme1.xml" /><Relationship Type="http://schemas.openxmlformats.org/officeDocument/2006/relationships/footnotes" Id="rId904" Target="footnotes.xml" /><Relationship Type="http://schemas.openxmlformats.org/officeDocument/2006/relationships/comments" Id="rId903" Target="comments.xml" /><Relationship Id="rId901" Target="header1.xml" Type="http://schemas.openxmlformats.org/officeDocument/2006/relationships/header" /><Relationship Id="rId902" Target="footer1.xml" Type="http://schemas.openxmlformats.org/officeDocument/2006/relationships/footer" /><Relationship Type="http://schemas.openxmlformats.org/officeDocument/2006/relationships/image" Id="rId911" Target="media/rId911.png" /></Relationships>
</file>

<file path=word/_rels/footnotes.xml.rels><?xml version="1.0" encoding="UTF-8"?><Relationships xmlns="http://schemas.openxmlformats.org/package/2006/relationships" />
</file>

<file path=word/_rels/header1.xml.rels><?xml version="1.0" encoding="UTF-8" standalone="yes"?><Relationships xmlns="http://schemas.openxmlformats.org/package/2006/relationships"><Relationship Id="rIdLogo1" Type="http://schemas.openxmlformats.org/officeDocument/2006/relationships/image" Target="media/logo-bedrock-horizontal.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Montserra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n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2026-10-06T20:53:26Z</dcterms:created>
  <dcterms:modified xsi:type="dcterms:W3CDTF">2026-10-06T20:53:26Z</dcterms:modified>
</cp:coreProperties>
</file>

<file path=docProps/custom.xml><?xml version="1.0" encoding="utf-8"?>
<Properties xmlns="http://schemas.openxmlformats.org/officeDocument/2006/custom-properties" xmlns:vt="http://schemas.openxmlformats.org/officeDocument/2006/docPropsVTypes"/>
</file>