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CREDIX1 · Contrato con aliado · Banco Cooperativo Coopcentral y EHOLDINGS FLORIDA S.A.S.</w:t>
      </w:r>
    </w:p>
    <w:p>
      <w:pPr>
        <w:pStyle w:val="PortadaTitulo"/>
      </w:pPr>
      <w:r>
        <w:t xml:space="preserve">Contrato marco de garantía mobiliaria de control</w:t>
      </w:r>
    </w:p>
    <w:p>
      <w:pPr>
        <w:pStyle w:val="LineaAcento"/>
      </w:pPr>
      <w:r>
        <w:t xml:space="preserve"> </w:t>
      </w:r>
    </w:p>
    <w:p>
      <w:pPr>
        <w:pStyle w:val="Lede"/>
      </w:pPr>
      <w:r>
        <w:t xml:space="preserve">Contrato entre Coopcentral y EHOLDINGS que regula la constitución, la operación y la ejecución de las garantías mobiliarias de control sobre las cuentas de ahorros de los clientes de CREDIX1. Se firma una vez; cada cliente se adhiere después.</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Contrato</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6 de octubre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Coopcentral y EHOLDINGS</w:t>
            </w:r>
          </w:p>
        </w:tc>
      </w:tr>
    </w:tbl>
    <w:p>
      <w:pPr>
        <w:pStyle w:val="ResumenTitulo"/>
      </w:pPr>
      <w:r>
        <w:t xml:space="preserve">Resumen del documento</w:t>
      </w:r>
    </w:p>
    <w:p>
      <w:pPr>
        <w:pStyle w:val="ResumenItem"/>
      </w:pPr>
      <w:r>
        <w:t xml:space="preserve">Coopcentral sigue las instrucciones de EHOLDINGS sobre las cuentas de los clientes que se adhieran, bajo control absoluto o dinámico.</w:t>
      </w:r>
    </w:p>
    <w:p>
      <w:pPr>
        <w:pStyle w:val="ResumenItem"/>
      </w:pPr>
      <w:r>
        <w:t xml:space="preserve">EHOLDINGS inscribe cada garantía en el Registro de Garantías Mobiliarias; el programa de prevención de lavado de activos de Coopcentral prevalece sobre cualquier instrucción.</w:t>
      </w:r>
    </w:p>
    <w:p>
      <w:pPr>
        <w:pStyle w:val="ResumenItem"/>
      </w:pPr>
      <w:r>
        <w:t xml:space="preserve">Quedan por negociar con Coopcentral la compensación (cláusula sexta), los plazos de la cláusula quinta y los anexos A, B y C.</w:t>
      </w:r>
    </w:p>
    <w:p>
      <w:r>
        <w:br w:type="page"/>
      </w:r>
    </w:p>
    <w:bookmarkStart w:id="914" w:name="identificación-de-las-partes"/>
    <w:p>
      <w:pPr>
        <w:pStyle w:val="Heading1"/>
      </w:pPr>
      <w:r>
        <w:t xml:space="preserve">Identificación de las partes</w:t>
      </w:r>
    </w:p>
    <w:tbl>
      <w:tblPr>
        <w:tblStyle w:val="Table"/>
        <w:tblW w:type="pct" w:w="5000"/>
        <w:tblLayout w:type="fixed"/>
        <w:tblLook w:firstRow="1" w:lastRow="0" w:firstColumn="0" w:lastColumn="0" w:noHBand="0" w:noVBand="0" w:val="0020"/>
      </w:tblPr>
      <w:tblGrid>
        <w:gridCol w:w="1584"/>
        <w:gridCol w:w="3564"/>
        <w:gridCol w:w="2772"/>
      </w:tblGrid>
      <w:tr>
        <w:trPr>
          <w:tblHeader w:val="on"/>
        </w:trPr>
        <w:tc>
          <w:tcPr/>
          <w:p>
            <w:pPr>
              <w:pStyle w:val="Compact"/>
            </w:pPr>
            <w:r>
              <w:t xml:space="preserve">Campo</w:t>
            </w:r>
          </w:p>
        </w:tc>
        <w:tc>
          <w:tcPr/>
          <w:p>
            <w:pPr>
              <w:pStyle w:val="Compact"/>
            </w:pPr>
            <w:r>
              <w:t xml:space="preserve">Coopcentral</w:t>
            </w:r>
          </w:p>
        </w:tc>
        <w:tc>
          <w:tcPr/>
          <w:p>
            <w:pPr>
              <w:pStyle w:val="Compact"/>
            </w:pPr>
            <w:r>
              <w:t xml:space="preserve">EHOLDINGS</w:t>
            </w:r>
          </w:p>
        </w:tc>
      </w:tr>
      <w:tr>
        <w:tc>
          <w:tcPr/>
          <w:p>
            <w:pPr>
              <w:pStyle w:val="Compact"/>
            </w:pPr>
            <w:r>
              <w:t xml:space="preserve">Razón social</w:t>
            </w:r>
          </w:p>
        </w:tc>
        <w:tc>
          <w:tcPr/>
          <w:p>
            <w:pPr>
              <w:pStyle w:val="Compact"/>
            </w:pPr>
            <w:r>
              <w:t xml:space="preserve">Banco Cooperativo Coopcentral</w:t>
            </w:r>
          </w:p>
        </w:tc>
        <w:tc>
          <w:tcPr/>
          <w:p>
            <w:pPr>
              <w:pStyle w:val="Compact"/>
            </w:pPr>
            <w:r>
              <w:t xml:space="preserve">EHOLDINGS FLORIDA S.A.S., sigla CREDIX1 S.A.S.</w:t>
            </w:r>
          </w:p>
        </w:tc>
      </w:tr>
      <w:tr>
        <w:tc>
          <w:tcPr/>
          <w:p>
            <w:pPr>
              <w:pStyle w:val="Compact"/>
            </w:pPr>
            <w:r>
              <w:t xml:space="preserve">NIT</w:t>
            </w:r>
          </w:p>
        </w:tc>
        <w:tc>
          <w:tcPr/>
          <w:p>
            <w:pPr>
              <w:pStyle w:val="Compact"/>
            </w:pPr>
            <w:r>
              <w:t xml:space="preserve">890203088-9</w:t>
            </w:r>
          </w:p>
        </w:tc>
        <w:tc>
          <w:tcPr/>
          <w:p>
            <w:pPr>
              <w:pStyle w:val="Compact"/>
            </w:pPr>
            <w:r>
              <w:t xml:space="preserve">[•]</w:t>
            </w:r>
          </w:p>
        </w:tc>
      </w:tr>
      <w:tr>
        <w:tc>
          <w:tcPr/>
          <w:p>
            <w:pPr>
              <w:pStyle w:val="Compact"/>
            </w:pPr>
            <w:r>
              <w:t xml:space="preserve">Representante legal</w:t>
            </w:r>
          </w:p>
        </w:tc>
        <w:tc>
          <w:tcPr/>
          <w:p>
            <w:pPr>
              <w:pStyle w:val="Compact"/>
            </w:pPr>
            <w:r>
              <w:t xml:space="preserve">[•]</w:t>
            </w:r>
          </w:p>
        </w:tc>
        <w:tc>
          <w:tcPr/>
          <w:p>
            <w:pPr>
              <w:pStyle w:val="Compact"/>
            </w:pPr>
            <w:r>
              <w:t xml:space="preserve">[•]</w:t>
            </w:r>
          </w:p>
        </w:tc>
      </w:tr>
      <w:tr>
        <w:tc>
          <w:tcPr/>
          <w:p>
            <w:pPr>
              <w:pStyle w:val="Compact"/>
            </w:pPr>
            <w:r>
              <w:t xml:space="preserve">Domicilio</w:t>
            </w:r>
          </w:p>
        </w:tc>
        <w:tc>
          <w:tcPr/>
          <w:p>
            <w:pPr>
              <w:pStyle w:val="Compact"/>
            </w:pPr>
            <w:r>
              <w:t xml:space="preserve">Bogotá D.C.</w:t>
            </w:r>
          </w:p>
        </w:tc>
        <w:tc>
          <w:tcPr/>
          <w:p>
            <w:pPr>
              <w:pStyle w:val="Compact"/>
            </w:pPr>
            <w:r>
              <w:t xml:space="preserve">Envigado, Antioquia</w:t>
            </w:r>
          </w:p>
        </w:tc>
      </w:tr>
      <w:tr>
        <w:tc>
          <w:tcPr/>
          <w:p>
            <w:pPr>
              <w:pStyle w:val="Compact"/>
            </w:pPr>
            <w:r>
              <w:t xml:space="preserve">Calidad</w:t>
            </w:r>
          </w:p>
        </w:tc>
        <w:tc>
          <w:tcPr/>
          <w:p>
            <w:pPr>
              <w:pStyle w:val="Compact"/>
            </w:pPr>
            <w:r>
              <w:t xml:space="preserve">Entidad depositaria, vigilada por la Superintendencia Financiera de Colombia</w:t>
            </w:r>
          </w:p>
        </w:tc>
        <w:tc>
          <w:tcPr/>
          <w:p>
            <w:pPr>
              <w:pStyle w:val="Compact"/>
            </w:pPr>
            <w:r>
              <w:t xml:space="preserve">Acreedor garantizado</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 operativo</w:t>
            </w:r>
          </w:p>
        </w:tc>
        <w:tc>
          <w:tcPr/>
          <w:p>
            <w:pPr>
              <w:pStyle w:val="Compact"/>
            </w:pPr>
            <w:r>
              <w:t xml:space="preserve">Valor</w:t>
            </w:r>
          </w:p>
        </w:tc>
      </w:tr>
      <w:tr>
        <w:tc>
          <w:tcPr/>
          <w:p>
            <w:pPr>
              <w:pStyle w:val="Compact"/>
            </w:pPr>
            <w:r>
              <w:t xml:space="preserve">Plazo para inscribir cada garantía en el Registro de Garantías Mobiliarias (días hábiles desde la adhesión)</w:t>
            </w:r>
          </w:p>
        </w:tc>
        <w:tc>
          <w:tcPr/>
          <w:p>
            <w:pPr>
              <w:pStyle w:val="Compact"/>
            </w:pPr>
            <w:r>
              <w:t xml:space="preserve">[•]</w:t>
            </w:r>
          </w:p>
        </w:tc>
      </w:tr>
      <w:tr>
        <w:tc>
          <w:tcPr/>
          <w:p>
            <w:pPr>
              <w:pStyle w:val="Compact"/>
            </w:pPr>
            <w:r>
              <w:t xml:space="preserve">Plazo máximo de Coopcentral para verificar una instrucción de pago directo (horas hábiles)</w:t>
            </w:r>
          </w:p>
        </w:tc>
        <w:tc>
          <w:tcPr/>
          <w:p>
            <w:pPr>
              <w:pStyle w:val="Compact"/>
            </w:pPr>
            <w:r>
              <w:t xml:space="preserve">[•]</w:t>
            </w:r>
          </w:p>
        </w:tc>
      </w:tr>
      <w:tr>
        <w:tc>
          <w:tcPr/>
          <w:p>
            <w:pPr>
              <w:pStyle w:val="Compact"/>
            </w:pPr>
            <w:r>
              <w:t xml:space="preserve">Plazo máximo de Coopcentral para ejecutar una instrucción verificada (horas hábiles)</w:t>
            </w:r>
          </w:p>
        </w:tc>
        <w:tc>
          <w:tcPr/>
          <w:p>
            <w:pPr>
              <w:pStyle w:val="Compact"/>
            </w:pPr>
            <w:r>
              <w:t xml:space="preserve">[•]</w:t>
            </w:r>
          </w:p>
        </w:tc>
      </w:tr>
      <w:tr>
        <w:tc>
          <w:tcPr/>
          <w:p>
            <w:pPr>
              <w:pStyle w:val="Compact"/>
            </w:pPr>
            <w:r>
              <w:t xml:space="preserve">Plazo máximo de Coopcentral para ejecutar una instrucción de liberación (horas hábiles)</w:t>
            </w:r>
          </w:p>
        </w:tc>
        <w:tc>
          <w:tcPr/>
          <w:p>
            <w:pPr>
              <w:pStyle w:val="Compact"/>
            </w:pPr>
            <w:r>
              <w:t xml:space="preserve">[•]</w:t>
            </w:r>
          </w:p>
        </w:tc>
      </w:tr>
      <w:tr>
        <w:tc>
          <w:tcPr/>
          <w:p>
            <w:pPr>
              <w:pStyle w:val="Compact"/>
            </w:pPr>
            <w:r>
              <w:t xml:space="preserve">Antelación para denunciar el contrato (días calendario)</w:t>
            </w:r>
          </w:p>
        </w:tc>
        <w:tc>
          <w:tcPr/>
          <w:p>
            <w:pPr>
              <w:pStyle w:val="Compact"/>
            </w:pPr>
            <w:r>
              <w:t xml:space="preserve">[•]</w:t>
            </w:r>
          </w:p>
        </w:tc>
      </w:tr>
    </w:tbl>
    <w:p>
      <w:pPr>
        <w:pStyle w:val="BodyText"/>
      </w:pPr>
      <w:r>
        <w:t xml:space="preserve">Entre Banco Cooperativo Coopcentral, entidad vigilada por la Superintendencia Financiera de Colombia, en adelante Coopcentral o la entidad depositaria, y EHOLDINGS FLORIDA S.A.S., en adelante EHOLDINGS o el acreedor garantizado, se celebra el presente contrato marco, que regula las condiciones bajo las cuales Coopcentral acepta constituir y ejecutar garantías mobiliarias de control sobre las cuentas de ahorros de los clientes de EHOLDINGS que se vinculen al servicio CREDIX1, conforme a la Ley 1676 de 2013.</w:t>
      </w:r>
    </w:p>
    <w:bookmarkEnd w:id="914"/>
    <w:bookmarkStart w:id="915" w:name="cláusula-primera.-objeto"/>
    <w:p>
      <w:pPr>
        <w:pStyle w:val="Heading1"/>
      </w:pPr>
      <w:r>
        <w:t xml:space="preserve">Cláusula primera. Objeto</w:t>
      </w:r>
    </w:p>
    <w:p>
      <w:pPr>
        <w:pStyle w:val="FirstParagraph"/>
      </w:pPr>
      <w:r>
        <w:t xml:space="preserve">Este contrato establece el mecanismo mediante el cual, respecto de cada cliente que suscriba la adhesión individual, Coopcentral acepta y se obliga a seguir las instrucciones de EHOLDINGS sobre el manejo y el pago de los fondos depositados en la respectiva cuenta de ahorros.</w:t>
      </w:r>
    </w:p>
    <w:p>
      <w:pPr>
        <w:pStyle w:val="BodyText"/>
      </w:pPr>
      <w:r>
        <w:t xml:space="preserve">EHOLDINGS actúa como acreedor garantizado bajo una garantía mobiliaria de control constituida conforme a los artículos 3, 9, 14 y 34 de la Ley 1676 de 2013.</w:t>
      </w:r>
    </w:p>
    <w:bookmarkEnd w:id="915"/>
    <w:bookmarkStart w:id="916" w:name="Xc0176031c97944b790a5312f7415870122a9f4a"/>
    <w:p>
      <w:pPr>
        <w:pStyle w:val="Heading1"/>
      </w:pPr>
      <w:r>
        <w:t xml:space="preserve">Cláusula segunda. Modalidad y alcance del control</w:t>
      </w:r>
    </w:p>
    <w:p>
      <w:pPr>
        <w:pStyle w:val="FirstParagraph"/>
      </w:pPr>
      <w:r>
        <w:t xml:space="preserve">Cada adhesión individual especifica la modalidad de control elegida por el cliente.</w:t>
      </w:r>
    </w:p>
    <w:p>
      <w:pPr>
        <w:pStyle w:val="Compact"/>
        <w:numPr>
          <w:ilvl w:val="0"/>
          <w:numId w:val="1001"/>
        </w:numPr>
      </w:pPr>
      <w:r>
        <w:t xml:space="preserve">Control absoluto: el saldo depositado queda inmovilizado en su totalidad desde la fecha de adhesión, sin que el cliente pueda disponer de ninguna porción mientras la garantía esté vigente.</w:t>
      </w:r>
    </w:p>
    <w:p>
      <w:pPr>
        <w:pStyle w:val="Compact"/>
        <w:numPr>
          <w:ilvl w:val="0"/>
          <w:numId w:val="1001"/>
        </w:numPr>
      </w:pPr>
      <w:r>
        <w:t xml:space="preserve">Control dinámico: queda inmovilizado el saldo insoluto del cupo utilizado por el cliente más el colchón que defina la adhesión individual, y el excedente se libera automáticamente conforme el cliente pague o reduzca su utilización.</w:t>
      </w:r>
    </w:p>
    <w:p>
      <w:pPr>
        <w:pStyle w:val="FirstParagraph"/>
      </w:pPr>
      <w:r>
        <w:t xml:space="preserve">En ambas modalidades el control es efectivo desde la fecha de adhesión, conforme al artículo 3 de la Ley 1676 de 2013. Ese artículo no exige que el garante pierda toda facultad de disposición para que la garantía se perfeccione. Las partes acuerdan, dentro de ese margen legal, el alcance operativo de cada modalidad.</w:t>
      </w:r>
    </w:p>
    <w:bookmarkEnd w:id="916"/>
    <w:bookmarkStart w:id="917" w:name="cláusula-tercera.-prelación"/>
    <w:p>
      <w:pPr>
        <w:pStyle w:val="Heading1"/>
      </w:pPr>
      <w:r>
        <w:t xml:space="preserve">Cláusula tercera. Prelación</w:t>
      </w:r>
    </w:p>
    <w:p>
      <w:pPr>
        <w:pStyle w:val="FirstParagraph"/>
      </w:pPr>
      <w:r>
        <w:t xml:space="preserve">Coopcentral reconoce que, conforme al artículo 55, numeral 2, de la Ley 1676 de 2013, la prelación de EHOLDINGS como acreedor garantizado se cuenta desde la fecha de adquisición del control sobre cada cuenta, con independencia de garantías inscritas con anterioridad por terceros en el Registro de Garantías Mobiliarias.</w:t>
      </w:r>
    </w:p>
    <w:bookmarkEnd w:id="917"/>
    <w:bookmarkStart w:id="918" w:name="cláusula-cuarta.-inscripción-registral"/>
    <w:p>
      <w:pPr>
        <w:pStyle w:val="Heading1"/>
      </w:pPr>
      <w:r>
        <w:t xml:space="preserve">Cláusula cuarta. Inscripción registral</w:t>
      </w:r>
    </w:p>
    <w:p>
      <w:pPr>
        <w:pStyle w:val="FirstParagraph"/>
      </w:pPr>
      <w:r>
        <w:t xml:space="preserve">EHOLDINGS inscribe cada garantía mobiliaria constituida bajo este mecanismo en el Registro de Garantías Mobiliarias administrado por Confecámaras, dentro del plazo de la tabla de parámetros contado desde la adhesión, y mantiene vigente esa inscripción mediante las renovaciones que correspondan.</w:t>
      </w:r>
    </w:p>
    <w:p>
      <w:pPr>
        <w:pStyle w:val="BodyText"/>
      </w:pPr>
      <w:r>
        <w:t xml:space="preserve">Coopcentral no asume obligación alguna de inscripción.</w:t>
      </w:r>
    </w:p>
    <w:bookmarkEnd w:id="918"/>
    <w:bookmarkStart w:id="920" w:name="X38422b3377ccf2c56edfca290fb6db0e49a6fd6"/>
    <w:p>
      <w:pPr>
        <w:pStyle w:val="Heading1"/>
      </w:pPr>
      <w:r>
        <w:t xml:space="preserve">Cláusula quinta. Aspectos operativos del control</w:t>
      </w:r>
    </w:p>
    <w:p>
      <w:pPr>
        <w:pStyle w:val="FirstParagraph"/>
      </w:pPr>
      <w:r>
        <w:t xml:space="preserve">Las partes acuerdan en el Anexo B los canales de comunicación, los horarios de corte y la plataforma tecnológica mediante los cuales:</w:t>
      </w:r>
    </w:p>
    <w:p>
      <w:pPr>
        <w:pStyle w:val="Compact"/>
        <w:numPr>
          <w:ilvl w:val="0"/>
          <w:numId w:val="1002"/>
        </w:numPr>
      </w:pPr>
      <w:r>
        <w:t xml:space="preserve">Coopcentral consulta a EHOLDINGS antes de autorizar cualquier egreso de una cuenta bajo control absoluto.</w:t>
      </w:r>
    </w:p>
    <w:p>
      <w:pPr>
        <w:pStyle w:val="Compact"/>
        <w:numPr>
          <w:ilvl w:val="0"/>
          <w:numId w:val="1002"/>
        </w:numPr>
      </w:pPr>
      <w:r>
        <w:t xml:space="preserve">Coopcentral verifica el saldo de cobertura bajo control dinámico.</w:t>
      </w:r>
    </w:p>
    <w:p>
      <w:pPr>
        <w:pStyle w:val="Compact"/>
        <w:numPr>
          <w:ilvl w:val="0"/>
          <w:numId w:val="1002"/>
        </w:numPr>
      </w:pPr>
      <w:r>
        <w:t xml:space="preserve">EHOLDINGS instruye el pago directo en caso de incumplimiento del cliente respectivo.</w:t>
      </w:r>
    </w:p>
    <w:bookmarkStart w:id="919" w:name="Xc86d3ec9fee8867982d2452d127e974b7d31a91"/>
    <w:p>
      <w:pPr>
        <w:pStyle w:val="Heading2"/>
      </w:pPr>
      <w:r>
        <w:t xml:space="preserve">Soportes de la instrucción de pago directo</w:t>
      </w:r>
    </w:p>
    <w:p>
      <w:pPr>
        <w:pStyle w:val="FirstParagraph"/>
      </w:pPr>
      <w:r>
        <w:t xml:space="preserve">Toda instrucción de pago directo se acompaña de:</w:t>
      </w:r>
    </w:p>
    <w:p>
      <w:pPr>
        <w:pStyle w:val="Compact"/>
        <w:numPr>
          <w:ilvl w:val="0"/>
          <w:numId w:val="1003"/>
        </w:numPr>
      </w:pPr>
      <w:r>
        <w:t xml:space="preserve">Certificación de la mora firmada por el representante legal de EHOLDINGS, con el monto según la liquidación entregada al cliente.</w:t>
      </w:r>
    </w:p>
    <w:p>
      <w:pPr>
        <w:pStyle w:val="Compact"/>
        <w:numPr>
          <w:ilvl w:val="0"/>
          <w:numId w:val="1003"/>
        </w:numPr>
      </w:pPr>
      <w:r>
        <w:t xml:space="preserve">Extracto del período incumplido.</w:t>
      </w:r>
    </w:p>
    <w:p>
      <w:pPr>
        <w:pStyle w:val="Compact"/>
        <w:numPr>
          <w:ilvl w:val="0"/>
          <w:numId w:val="1003"/>
        </w:numPr>
      </w:pPr>
      <w:r>
        <w:t xml:space="preserve">Prueba del envío al cliente de la notificación de incumplimiento, de la liquidación y del vencimiento del plazo de objeción, o de la resolución de la objeción.</w:t>
      </w:r>
    </w:p>
    <w:p>
      <w:pPr>
        <w:pStyle w:val="FirstParagraph"/>
      </w:pPr>
      <w:r>
        <w:t xml:space="preserve">Coopcentral verifica que los soportes estén completos dentro del plazo de la tabla de parámetros y ejecuta la instrucción verificada dentro del plazo allí fijado. Coopcentral no evalúa el fondo de la deuda.</w:t>
      </w:r>
    </w:p>
    <w:bookmarkEnd w:id="919"/>
    <w:bookmarkEnd w:id="920"/>
    <w:bookmarkStart w:id="921" w:name="cláusula-sexta.-compensación-bancaria"/>
    <w:p>
      <w:pPr>
        <w:pStyle w:val="Heading1"/>
      </w:pPr>
      <w:r>
        <w:t xml:space="preserve">Cláusula sexta. Compensación bancaria</w:t>
      </w:r>
    </w:p>
    <w:p>
      <w:pPr>
        <w:pStyle w:val="FirstParagraph"/>
      </w:pPr>
      <w:r>
        <w:t xml:space="preserve">Coopcentral [subordina / no subordina] su derecho de compensación, previsto en el artículo 34 de la Ley 1676 de 2013, sobre los recursos controlados bajo este mecanismo, en favor de la prelación de EHOLDINGS como acreedor garantizado.</w:t>
      </w:r>
    </w:p>
    <w:p>
      <w:pPr>
        <w:pStyle w:val="BodyText"/>
      </w:pPr>
      <w:r>
        <w:t xml:space="preserve">Coopcentral conserva en todo caso su derecho de compensación sobre cualquier otro producto o saldo del cliente no cubierto por este contrato.</w:t>
      </w:r>
    </w:p>
    <w:bookmarkEnd w:id="921"/>
    <w:bookmarkStart w:id="922" w:name="cláusula-séptima.-adhesión-de-clientes"/>
    <w:p>
      <w:pPr>
        <w:pStyle w:val="Heading1"/>
      </w:pPr>
      <w:r>
        <w:t xml:space="preserve">Cláusula séptima. Adhesión de clientes</w:t>
      </w:r>
    </w:p>
    <w:p>
      <w:pPr>
        <w:pStyle w:val="FirstParagraph"/>
      </w:pPr>
      <w:r>
        <w:t xml:space="preserve">Cada cliente de EHOLDINGS que constituya una garantía mobiliaria bajo este mecanismo suscribe la adhesión individual incluida en el contrato del cliente CREDIX1. En ella identifica la cuenta gravada, el monto controlado y la modalidad de control elegida, acepta expresamente el alcance del control y autoriza el levantamiento de la reserva bancaria.</w:t>
      </w:r>
    </w:p>
    <w:p>
      <w:pPr>
        <w:pStyle w:val="BodyText"/>
      </w:pPr>
      <w:r>
        <w:t xml:space="preserve">EHOLDINGS remite a Coopcentral cada adhesión suscrita. Coopcentral deja constancia de recibo en la misma adhesión y solo reconoce el control respecto de las cuentas identificadas en una adhesión debidamente suscrita y recibida.</w:t>
      </w:r>
    </w:p>
    <w:bookmarkEnd w:id="922"/>
    <w:bookmarkStart w:id="923" w:name="Xdadb7ecfafbbf6d51bbb050196291cfc84eca7d"/>
    <w:p>
      <w:pPr>
        <w:pStyle w:val="Heading1"/>
      </w:pPr>
      <w:r>
        <w:t xml:space="preserve">Cláusula octava. Levantamiento de la reserva bancaria</w:t>
      </w:r>
    </w:p>
    <w:p>
      <w:pPr>
        <w:pStyle w:val="FirstParagraph"/>
      </w:pPr>
      <w:r>
        <w:t xml:space="preserve">El cliente autoriza expresamente, en la adhesión, el levantamiento de la reserva bancaria sobre la información de su cuenta necesaria para ejecutar este contrato: saldo, movimientos e intentos de disposición, exclusivamente para los fines de este mecanismo.</w:t>
      </w:r>
    </w:p>
    <w:p>
      <w:pPr>
        <w:pStyle w:val="BodyText"/>
      </w:pPr>
      <w:r>
        <w:t xml:space="preserve">Sin esa autorización, Coopcentral no comparte información de la cuenta con EHOLDINGS.</w:t>
      </w:r>
    </w:p>
    <w:bookmarkEnd w:id="923"/>
    <w:bookmarkStart w:id="924" w:name="X16959b571e9f97619ac6eab54530de853fe988c"/>
    <w:p>
      <w:pPr>
        <w:pStyle w:val="Heading1"/>
      </w:pPr>
      <w:r>
        <w:t xml:space="preserve">Cláusula novena. Obligaciones de Coopcentral</w:t>
      </w:r>
    </w:p>
    <w:p>
      <w:pPr>
        <w:pStyle w:val="FirstParagraph"/>
      </w:pPr>
      <w:r>
        <w:t xml:space="preserve">Coopcentral se obliga a:</w:t>
      </w:r>
    </w:p>
    <w:p>
      <w:pPr>
        <w:pStyle w:val="Compact"/>
        <w:numPr>
          <w:ilvl w:val="0"/>
          <w:numId w:val="1004"/>
        </w:numPr>
      </w:pPr>
      <w:r>
        <w:t xml:space="preserve">Bloquear la disposición de los recursos de cada cuenta adherida en los términos de la modalidad de control aplicable, desde la fecha de adhesión.</w:t>
      </w:r>
    </w:p>
    <w:p>
      <w:pPr>
        <w:pStyle w:val="Compact"/>
        <w:numPr>
          <w:ilvl w:val="0"/>
          <w:numId w:val="1004"/>
        </w:numPr>
      </w:pPr>
      <w:r>
        <w:t xml:space="preserve">Seguir las instrucciones de pago directo y de liberación de EHOLDINGS dentro de los plazos de la tabla de parámetros.</w:t>
      </w:r>
    </w:p>
    <w:p>
      <w:pPr>
        <w:pStyle w:val="Compact"/>
        <w:numPr>
          <w:ilvl w:val="0"/>
          <w:numId w:val="1004"/>
        </w:numPr>
      </w:pPr>
      <w:r>
        <w:t xml:space="preserve">Reportar a EHOLDINGS los movimientos e intentos de disposición sobre las cuentas gravadas.</w:t>
      </w:r>
    </w:p>
    <w:p>
      <w:pPr>
        <w:pStyle w:val="Compact"/>
        <w:numPr>
          <w:ilvl w:val="0"/>
          <w:numId w:val="1004"/>
        </w:numPr>
      </w:pPr>
      <w:r>
        <w:t xml:space="preserve">Mantener el bloqueo o el mecanismo dinámico hasta recibir instrucción de liberación de EHOLDINGS.</w:t>
      </w:r>
    </w:p>
    <w:p>
      <w:pPr>
        <w:pStyle w:val="Compact"/>
        <w:numPr>
          <w:ilvl w:val="0"/>
          <w:numId w:val="1004"/>
        </w:numPr>
      </w:pPr>
      <w:r>
        <w:t xml:space="preserve">Notificar de inmediato a EHOLDINGS cualquier embargo, medida cautelar u orden de autoridad que afecte una cuenta adherida.</w:t>
      </w:r>
    </w:p>
    <w:p>
      <w:pPr>
        <w:pStyle w:val="Compact"/>
        <w:numPr>
          <w:ilvl w:val="0"/>
          <w:numId w:val="1004"/>
        </w:numPr>
      </w:pPr>
      <w:r>
        <w:t xml:space="preserve">Suspender la ejecución de cualquier instrucción de EHOLDINGS que su programa de prevención de lavado de activos exija suspender, conforme a la cláusula décima segunda.</w:t>
      </w:r>
    </w:p>
    <w:bookmarkEnd w:id="924"/>
    <w:bookmarkStart w:id="925" w:name="X149e6337ef74c3e9dadee810671f7984668e115"/>
    <w:p>
      <w:pPr>
        <w:pStyle w:val="Heading1"/>
      </w:pPr>
      <w:r>
        <w:t xml:space="preserve">Cláusula décima. Obligaciones de EHOLDINGS</w:t>
      </w:r>
    </w:p>
    <w:p>
      <w:pPr>
        <w:pStyle w:val="FirstParagraph"/>
      </w:pPr>
      <w:r>
        <w:t xml:space="preserve">EHOLDINGS se obliga a:</w:t>
      </w:r>
    </w:p>
    <w:p>
      <w:pPr>
        <w:pStyle w:val="Compact"/>
        <w:numPr>
          <w:ilvl w:val="0"/>
          <w:numId w:val="1005"/>
        </w:numPr>
      </w:pPr>
      <w:r>
        <w:t xml:space="preserve">Instruir oportunamente la liberación de los recursos cuando el cliente cancele o termine su relación sin saldo pendiente, cuando ejerza el retracto o cuando corresponda liberar el excedente bajo control dinámico o por mínimo vital.</w:t>
      </w:r>
    </w:p>
    <w:p>
      <w:pPr>
        <w:pStyle w:val="Compact"/>
        <w:numPr>
          <w:ilvl w:val="0"/>
          <w:numId w:val="1005"/>
        </w:numPr>
      </w:pPr>
      <w:r>
        <w:t xml:space="preserve">Mantener actualizado el registro de las garantías constituidas bajo este mecanismo en el Registro de Garantías Mobiliarias.</w:t>
      </w:r>
    </w:p>
    <w:p>
      <w:pPr>
        <w:pStyle w:val="Compact"/>
        <w:numPr>
          <w:ilvl w:val="0"/>
          <w:numId w:val="1005"/>
        </w:numPr>
      </w:pPr>
      <w:r>
        <w:t xml:space="preserve">Responder frente a Coopcentral por las instrucciones que imparta.</w:t>
      </w:r>
    </w:p>
    <w:p>
      <w:pPr>
        <w:pStyle w:val="Compact"/>
        <w:numPr>
          <w:ilvl w:val="0"/>
          <w:numId w:val="1005"/>
        </w:numPr>
      </w:pPr>
      <w:r>
        <w:t xml:space="preserve">Suspender de inmediato cualquier instrucción de pago directo pendiente frente a una cuenta cuyo titular haya radicado un trámite de insolvencia de persona natural no comerciante, conforme a la Ley 2445 de 2025, salvo que el incumplimiento fuera cierto y estuviera avisado con anterioridad a la radicación.</w:t>
      </w:r>
    </w:p>
    <w:p>
      <w:pPr>
        <w:pStyle w:val="Compact"/>
        <w:numPr>
          <w:ilvl w:val="0"/>
          <w:numId w:val="1005"/>
        </w:numPr>
      </w:pPr>
      <w:r>
        <w:t xml:space="preserve">Mantener vigente un programa de prevención de lavado de activos propio, con oficial de cumplimiento designado, y compartir con Coopcentral la información que este contrato o la ley exijan.</w:t>
      </w:r>
    </w:p>
    <w:bookmarkEnd w:id="925"/>
    <w:bookmarkStart w:id="926" w:name="X0a78f48e9495c20cd15aa1eff35d8a843bfb881"/>
    <w:p>
      <w:pPr>
        <w:pStyle w:val="Heading1"/>
      </w:pPr>
      <w:r>
        <w:t xml:space="preserve">Cláusula décima primera. Embargos de terceros y jurisdicción coactiva</w:t>
      </w:r>
    </w:p>
    <w:p>
      <w:pPr>
        <w:pStyle w:val="FirstParagraph"/>
      </w:pPr>
      <w:r>
        <w:t xml:space="preserve">Notificado un embargo de terceros o una orden de jurisdicción coactiva sobre una cuenta adherida, Coopcentral la atiende conforme a su deber legal de colaboración con la justicia e informa de inmediato a EHOLDINGS. Ambas partes evalúan la aplicación de la inembargabilidad de depósitos de ahorro de personas naturales del artículo 594 del Código General del Proceso.</w:t>
      </w:r>
    </w:p>
    <w:p>
      <w:pPr>
        <w:pStyle w:val="BodyText"/>
      </w:pPr>
      <w:r>
        <w:t xml:space="preserve">Esta cláusula no habilita a Coopcentral a desconocer la prelación de EHOLDINGS por la sola existencia del embargo.</w:t>
      </w:r>
    </w:p>
    <w:bookmarkEnd w:id="926"/>
    <w:bookmarkStart w:id="927" w:name="X8dbb14762af88534b295c24e05fca53e6769037"/>
    <w:p>
      <w:pPr>
        <w:pStyle w:val="Heading1"/>
      </w:pPr>
      <w:r>
        <w:t xml:space="preserve">Cláusula décima segunda. Prevalencia del programa de prevención de lavado de activos de Coopcentral</w:t>
      </w:r>
    </w:p>
    <w:p>
      <w:pPr>
        <w:pStyle w:val="FirstParagraph"/>
      </w:pPr>
      <w:r>
        <w:t xml:space="preserve">El programa de prevención de lavado de activos y financiación del terrorismo de Coopcentral prevalece sobre cualquier instrucción de EHOLDINGS.</w:t>
      </w:r>
    </w:p>
    <w:p>
      <w:pPr>
        <w:pStyle w:val="BodyText"/>
      </w:pPr>
      <w:r>
        <w:t xml:space="preserve">Coopcentral puede suspender la ejecución de una instrucción, informando a EHOLDINGS los motivos generales de la suspensión dentro de lo que le permita la reserva legal. La suspensión no es incumplimiento de este contrato ni genera responsabilidad de Coopcentral frente a EHOLDINGS.</w:t>
      </w:r>
    </w:p>
    <w:bookmarkEnd w:id="927"/>
    <w:bookmarkStart w:id="928" w:name="X2b4d2779da9678d70610aeef123880e6f98d3e9"/>
    <w:p>
      <w:pPr>
        <w:pStyle w:val="Heading1"/>
      </w:pPr>
      <w:r>
        <w:t xml:space="preserve">Cláusula décima tercera. Rendimientos y costos tributarios</w:t>
      </w:r>
    </w:p>
    <w:p>
      <w:pPr>
        <w:pStyle w:val="FirstParagraph"/>
      </w:pPr>
      <w:r>
        <w:t xml:space="preserve">Los recursos controlados no generan rendimiento alguno a favor de EHOLDINGS. Los rendimientos que Coopcentral reconozca al cliente por su cuenta de ahorros y el gravamen a los movimientos financieros de los débitos que se practiquen se rigen por las condiciones generales del producto de ahorro de Coopcentral y por la normativa tributaria vigente.</w:t>
      </w:r>
    </w:p>
    <w:bookmarkEnd w:id="928"/>
    <w:bookmarkStart w:id="929" w:name="Xec9a8f8ee758d26cb80c1e95d6a368aa620f7d1"/>
    <w:p>
      <w:pPr>
        <w:pStyle w:val="Heading1"/>
      </w:pPr>
      <w:r>
        <w:t xml:space="preserve">Cláusula décima cuarta. Remuneración a Coopcentral</w:t>
      </w:r>
    </w:p>
    <w:p>
      <w:pPr>
        <w:pStyle w:val="FirstParagraph"/>
      </w:pPr>
      <w:r>
        <w:t xml:space="preserve">Coopcentral percibe por la operación de este mecanismo la remuneración pactada en el Anexo A, que las partes ajustan periódicamente de común acuerdo.</w:t>
      </w:r>
    </w:p>
    <w:bookmarkEnd w:id="929"/>
    <w:bookmarkStart w:id="930" w:name="Xb0b68d56845aab90ff1b7842b229a48b7e4f11b"/>
    <w:p>
      <w:pPr>
        <w:pStyle w:val="Heading1"/>
      </w:pPr>
      <w:r>
        <w:t xml:space="preserve">Cláusula décima quinta. Responsabilidad y régimen de fallas</w:t>
      </w:r>
    </w:p>
    <w:p>
      <w:pPr>
        <w:pStyle w:val="FirstParagraph"/>
      </w:pPr>
      <w:r>
        <w:t xml:space="preserve">Hay falla de ejecución, a cargo de Coopcentral, cuando el banco no ejecuta dentro de los plazos pactados una instrucción válida y soportada de EHOLDINGS. Hay falla de instrucción, a cargo de EHOLDINGS, cuando la instrucción cursa sin sustento en un evento de incumplimiento válidamente configurado y notificado al cliente.</w:t>
      </w:r>
    </w:p>
    <w:p>
      <w:pPr>
        <w:pStyle w:val="BodyText"/>
      </w:pPr>
      <w:r>
        <w:t xml:space="preserve">Cada parte indemniza a la otra por los perjuicios que le cause su propia falla, sin que esta cláusula genere responsabilidad solidaria frente al cliente.</w:t>
      </w:r>
    </w:p>
    <w:bookmarkEnd w:id="930"/>
    <w:bookmarkStart w:id="931" w:name="Xde3525519e0c259b9f86a374890beb0229876f8"/>
    <w:p>
      <w:pPr>
        <w:pStyle w:val="Heading1"/>
      </w:pPr>
      <w:r>
        <w:t xml:space="preserve">Cláusula décima sexta. Acuerdos de nivel de servicio y contingencia</w:t>
      </w:r>
    </w:p>
    <w:p>
      <w:pPr>
        <w:pStyle w:val="FirstParagraph"/>
      </w:pPr>
      <w:r>
        <w:t xml:space="preserve">Los acuerdos de nivel de servicio (canales, horarios de corte, tiempos máximos de respuesta) y el plan de contingencia operativa ante indisponibilidad de la plataforma de integración constan en el Anexo B.</w:t>
      </w:r>
    </w:p>
    <w:bookmarkEnd w:id="931"/>
    <w:bookmarkStart w:id="932" w:name="X0326e57dedddc19e792d89ff002fa434c67121a"/>
    <w:p>
      <w:pPr>
        <w:pStyle w:val="Heading1"/>
      </w:pPr>
      <w:r>
        <w:t xml:space="preserve">Cláusula décima séptima. Vigencia y terminación</w:t>
      </w:r>
    </w:p>
    <w:p>
      <w:pPr>
        <w:pStyle w:val="FirstParagraph"/>
      </w:pPr>
      <w:r>
        <w:t xml:space="preserve">Este contrato rige por el término que las partes acuerden y se renueva automáticamente salvo denuncia con la antelación de la tabla de parámetros.</w:t>
      </w:r>
    </w:p>
    <w:p>
      <w:pPr>
        <w:pStyle w:val="BodyText"/>
      </w:pPr>
      <w:r>
        <w:t xml:space="preserve">La terminación no afecta las garantías ya constituidas bajo adhesiones vigentes al momento de la terminación. El mecanismo de liquidación ordenada de la cartera viva, si el contrato termina sin mecanismo de continuidad, consta en el Anexo C.</w:t>
      </w:r>
    </w:p>
    <w:bookmarkEnd w:id="932"/>
    <w:bookmarkStart w:id="933" w:name="cláusula-décima-octava.-ley-aplicable"/>
    <w:p>
      <w:pPr>
        <w:pStyle w:val="Heading1"/>
      </w:pPr>
      <w:r>
        <w:t xml:space="preserve">Cláusula décima octava. Ley aplicable</w:t>
      </w:r>
    </w:p>
    <w:p>
      <w:pPr>
        <w:pStyle w:val="FirstParagraph"/>
      </w:pPr>
      <w:r>
        <w:t xml:space="preserve">Este contrato se rige por las leyes de la República de Colombia, en particular la Ley 1676 de 2013 y sus decretos reglamentarios, y por el régimen de protección al consumidor financiero de la Ley 1328 de 2009 en lo que corresponda a la relación de Coopcentral con el cliente.</w:t>
      </w:r>
    </w:p>
    <w:bookmarkEnd w:id="933"/>
    <w:bookmarkStart w:id="934" w:name="firmas"/>
    <w:p>
      <w:pPr>
        <w:pStyle w:val="Heading1"/>
      </w:pPr>
      <w:r>
        <w:t xml:space="preserve">Firmas</w:t>
      </w:r>
    </w:p>
    <w:p>
      <w:pPr>
        <w:pStyle w:val="FirstParagraph"/>
      </w:pPr>
      <w:r>
        <w:t xml:space="preserve">Para constancia, se firma en [ciudad], a los [•] días del mes de [•] de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Banco Cooperativo Coopcentral</w:t>
            </w:r>
          </w:p>
        </w:tc>
        <w:tc>
          <w:tcPr/>
          <w:p>
            <w:pPr>
              <w:pStyle w:val="Compact"/>
            </w:pPr>
            <w:r>
              <w:t xml:space="preserve">EHOLDINGS FLORIDA S.A.S.</w:t>
            </w:r>
          </w:p>
        </w:tc>
      </w:tr>
      <w:tr>
        <w:tc>
          <w:tcPr/>
          <w:p>
            <w:pPr>
              <w:pStyle w:val="Compact"/>
            </w:pPr>
            <w:r>
              <w:t xml:space="preserve">Representante legal: [•]</w:t>
            </w:r>
          </w:p>
        </w:tc>
        <w:tc>
          <w:tcPr/>
          <w:p>
            <w:pPr>
              <w:pStyle w:val="Compact"/>
            </w:pPr>
            <w:r>
              <w:t xml:space="preserve">Representante legal: [•]</w:t>
            </w:r>
          </w:p>
        </w:tc>
      </w:tr>
      <w:tr>
        <w:tc>
          <w:tcPr/>
          <w:p>
            <w:pPr>
              <w:pStyle w:val="Compact"/>
            </w:pPr>
            <w:r>
              <w:t xml:space="preserve">NIT: [•]</w:t>
            </w:r>
          </w:p>
        </w:tc>
        <w:tc>
          <w:tcPr/>
          <w:p>
            <w:pPr>
              <w:pStyle w:val="Compact"/>
            </w:pPr>
            <w:r>
              <w:t xml:space="preserve">NIT: [•]</w:t>
            </w:r>
          </w:p>
        </w:tc>
      </w:tr>
      <w:tr>
        <w:tc>
          <w:tcPr/>
          <w:p>
            <w:pPr>
              <w:pStyle w:val="Compact"/>
            </w:pPr>
            <w:r>
              <w:t xml:space="preserve">Firma:</w:t>
            </w:r>
          </w:p>
        </w:tc>
        <w:tc>
          <w:tcPr/>
          <w:p>
            <w:pPr>
              <w:pStyle w:val="Compact"/>
            </w:pPr>
            <w:r>
              <w:t xml:space="preserve">Firma:</w:t>
            </w:r>
          </w:p>
        </w:tc>
      </w:tr>
      <w:tr>
        <w:tc>
          <w:tcPr/>
          <w:p>
            <w:pPr>
              <w:pStyle w:val="Compact"/>
            </w:pPr>
          </w:p>
        </w:tc>
        <w:tc>
          <w:tcPr/>
          <w:p>
            <w:pPr>
              <w:pStyle w:val="Compact"/>
            </w:pPr>
          </w:p>
        </w:tc>
      </w:tr>
    </w:tbl>
    <w:bookmarkEnd w:id="934"/>
    <w:bookmarkStart w:id="935" w:name="anexos-por-acordar"/>
    <w:p>
      <w:pPr>
        <w:pStyle w:val="Heading1"/>
      </w:pPr>
      <w:r>
        <w:t xml:space="preserve">Anexos por acordar</w:t>
      </w:r>
    </w:p>
    <w:tbl>
      <w:tblPr>
        <w:tblStyle w:val="Table"/>
        <w:tblW w:type="pct" w:w="5000"/>
        <w:tblLayout w:type="fixed"/>
        <w:tblLook w:firstRow="1" w:lastRow="0" w:firstColumn="0" w:lastColumn="0" w:noHBand="0" w:noVBand="0" w:val="0020"/>
      </w:tblPr>
      <w:tblGrid>
        <w:gridCol w:w="638"/>
        <w:gridCol w:w="5237"/>
        <w:gridCol w:w="2043"/>
      </w:tblGrid>
      <w:tr>
        <w:trPr>
          <w:tblHeader w:val="on"/>
        </w:trPr>
        <w:tc>
          <w:tcPr/>
          <w:p>
            <w:pPr>
              <w:pStyle w:val="Compact"/>
            </w:pPr>
            <w:r>
              <w:t xml:space="preserve">Anexo</w:t>
            </w:r>
          </w:p>
        </w:tc>
        <w:tc>
          <w:tcPr/>
          <w:p>
            <w:pPr>
              <w:pStyle w:val="Compact"/>
            </w:pPr>
            <w:r>
              <w:t xml:space="preserve">Contenido</w:t>
            </w:r>
          </w:p>
        </w:tc>
        <w:tc>
          <w:tcPr/>
          <w:p>
            <w:pPr>
              <w:pStyle w:val="Compact"/>
            </w:pPr>
            <w:r>
              <w:t xml:space="preserve">Estado</w:t>
            </w:r>
          </w:p>
        </w:tc>
      </w:tr>
      <w:tr>
        <w:tc>
          <w:tcPr/>
          <w:p>
            <w:pPr>
              <w:pStyle w:val="Compact"/>
            </w:pPr>
            <w:r>
              <w:t xml:space="preserve">A</w:t>
            </w:r>
          </w:p>
        </w:tc>
        <w:tc>
          <w:tcPr/>
          <w:p>
            <w:pPr>
              <w:pStyle w:val="Compact"/>
            </w:pPr>
            <w:r>
              <w:t xml:space="preserve">Remuneración a Coopcentral</w:t>
            </w:r>
          </w:p>
        </w:tc>
        <w:tc>
          <w:tcPr/>
          <w:p>
            <w:pPr>
              <w:pStyle w:val="Compact"/>
            </w:pPr>
            <w:r>
              <w:t xml:space="preserve">Por negociar con Coopcentral</w:t>
            </w:r>
          </w:p>
        </w:tc>
      </w:tr>
      <w:tr>
        <w:tc>
          <w:tcPr/>
          <w:p>
            <w:pPr>
              <w:pStyle w:val="Compact"/>
            </w:pPr>
            <w:r>
              <w:t xml:space="preserve">B</w:t>
            </w:r>
          </w:p>
        </w:tc>
        <w:tc>
          <w:tcPr/>
          <w:p>
            <w:pPr>
              <w:pStyle w:val="Compact"/>
            </w:pPr>
            <w:r>
              <w:t xml:space="preserve">Acuerdos de nivel de servicio, canales, horarios de corte, plataforma de integración y plan de contingencia</w:t>
            </w:r>
          </w:p>
        </w:tc>
        <w:tc>
          <w:tcPr/>
          <w:p>
            <w:pPr>
              <w:pStyle w:val="Compact"/>
            </w:pPr>
            <w:r>
              <w:t xml:space="preserve">Por negociar con Coopcentral</w:t>
            </w:r>
          </w:p>
        </w:tc>
      </w:tr>
      <w:tr>
        <w:tc>
          <w:tcPr/>
          <w:p>
            <w:pPr>
              <w:pStyle w:val="Compact"/>
            </w:pPr>
            <w:r>
              <w:t xml:space="preserve">C</w:t>
            </w:r>
          </w:p>
        </w:tc>
        <w:tc>
          <w:tcPr/>
          <w:p>
            <w:pPr>
              <w:pStyle w:val="Compact"/>
            </w:pPr>
            <w:r>
              <w:t xml:space="preserve">Liquidación ordenada de la cartera viva si el contrato termina sin mecanismo de continuidad</w:t>
            </w:r>
          </w:p>
        </w:tc>
        <w:tc>
          <w:tcPr/>
          <w:p>
            <w:pPr>
              <w:pStyle w:val="Compact"/>
            </w:pPr>
            <w:r>
              <w:t xml:space="preserve">Por negociar con Coopcentral</w:t>
            </w:r>
          </w:p>
        </w:tc>
      </w:tr>
    </w:tbl>
    <w:p>
      <w:pPr>
        <w:pStyle w:val="BodyText"/>
      </w:pPr>
      <w:r>
        <w:t xml:space="preserve">El formato de adhesión individual es el incluido en el contrato del cliente CREDIX1.</w:t>
      </w:r>
    </w:p>
    <w:bookmarkEnd w:id="935"/>
    <w:bookmarkStart w:id="936"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990"/>
        <w:gridCol w:w="1080"/>
        <w:gridCol w:w="4500"/>
        <w:gridCol w:w="1350"/>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Estado</w:t>
            </w:r>
          </w:p>
        </w:tc>
      </w:tr>
      <w:tr>
        <w:tc>
          <w:tcPr/>
          <w:p>
            <w:pPr>
              <w:pStyle w:val="Compact"/>
            </w:pPr>
            <w:r>
              <w:t xml:space="preserve">1.0</w:t>
            </w:r>
          </w:p>
        </w:tc>
        <w:tc>
          <w:tcPr/>
          <w:p>
            <w:pPr>
              <w:pStyle w:val="Compact"/>
            </w:pPr>
            <w:r>
              <w:t xml:space="preserve">14 de septiembre de 2026</w:t>
            </w:r>
          </w:p>
        </w:tc>
        <w:tc>
          <w:tcPr/>
          <w:p>
            <w:pPr>
              <w:pStyle w:val="Compact"/>
            </w:pPr>
            <w:r>
              <w:t xml:space="preserve">Sección IV del Contrato Marco CREDIX1, sin firma de Coopcentral</w:t>
            </w:r>
          </w:p>
        </w:tc>
        <w:tc>
          <w:tcPr/>
          <w:p>
            <w:pPr>
              <w:pStyle w:val="Compact"/>
            </w:pPr>
            <w:r>
              <w:t xml:space="preserve">Reemplazada</w:t>
            </w:r>
          </w:p>
        </w:tc>
      </w:tr>
      <w:tr>
        <w:tc>
          <w:tcPr/>
          <w:p>
            <w:pPr>
              <w:pStyle w:val="Compact"/>
            </w:pPr>
            <w:r>
              <w:t xml:space="preserve">2.0</w:t>
            </w:r>
          </w:p>
        </w:tc>
        <w:tc>
          <w:tcPr/>
          <w:p>
            <w:pPr>
              <w:pStyle w:val="Compact"/>
            </w:pPr>
            <w:r>
              <w:t xml:space="preserve">5 de octubre de 2026</w:t>
            </w:r>
          </w:p>
        </w:tc>
        <w:tc>
          <w:tcPr/>
          <w:p>
            <w:pPr>
              <w:pStyle w:val="Compact"/>
            </w:pPr>
            <w:r>
              <w:t xml:space="preserve">Contrato autónomo con identificación y firma de ambas partes. Tabla de parámetros con los plazos de inscripción, verificación, ejecución, liberación y denuncia. Soportes de la instrucción de pago directo (cláusula quinta). Constancia de recibo de cada adhesión por Coopcentral (cláusula séptima). Anexos A, B y C identificados como pendientes de negociación</w:t>
            </w:r>
          </w:p>
        </w:tc>
        <w:tc>
          <w:tcPr/>
          <w:p>
            <w:pPr>
              <w:pStyle w:val="Compact"/>
            </w:pPr>
            <w:r>
              <w:t xml:space="preserve">Reemplazada</w:t>
            </w:r>
          </w:p>
        </w:tc>
      </w:tr>
      <w:tr>
        <w:tc>
          <w:tcPr/>
          <w:p>
            <w:pPr>
              <w:pStyle w:val="Compact"/>
            </w:pPr>
            <w:r>
              <w:t xml:space="preserve">2.1</w:t>
            </w:r>
          </w:p>
        </w:tc>
        <w:tc>
          <w:tcPr/>
          <w:p>
            <w:pPr>
              <w:pStyle w:val="Compact"/>
            </w:pPr>
            <w:r>
              <w:t xml:space="preserve">6 de octubre de 2026</w:t>
            </w:r>
          </w:p>
        </w:tc>
        <w:tc>
          <w:tcPr/>
          <w:p>
            <w:pPr>
              <w:pStyle w:val="Compact"/>
            </w:pPr>
            <w:r>
              <w:t xml:space="preserve">NIT y domicilio de Coopcentral, tomados de su certificado expedido por la Superintendencia Financiera</w:t>
            </w:r>
          </w:p>
        </w:tc>
        <w:tc>
          <w:tcPr/>
          <w:p>
            <w:pPr>
              <w:pStyle w:val="Compact"/>
            </w:pPr>
            <w:r>
              <w:t xml:space="preserve">Vigente</w:t>
            </w:r>
          </w:p>
        </w:tc>
      </w:tr>
    </w:tbl>
    <w:bookmarkEnd w:id="936"/>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2026-10-06T20:53:26Z</dcterms:created>
  <dcterms:modified xsi:type="dcterms:W3CDTF">2026-10-06T20:53:26Z</dcterms:modified>
</cp:coreProperties>
</file>

<file path=docProps/custom.xml><?xml version="1.0" encoding="utf-8"?>
<Properties xmlns="http://schemas.openxmlformats.org/officeDocument/2006/custom-properties" xmlns:vt="http://schemas.openxmlformats.org/officeDocument/2006/docPropsVTypes"/>
</file>