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911.png" ContentType="image/png"/>
  <Override PartName="/word/media/logo-bedrock-horizontal.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1691640" cy="329184"/>
            <wp:effectExtent b="0" l="0" r="0" t="0"/>
            <wp:docPr descr="" title="" id="912" name="Picture"/>
            <a:graphic>
              <a:graphicData uri="http://schemas.openxmlformats.org/drawingml/2006/picture">
                <pic:pic>
                  <pic:nvPicPr>
                    <pic:cNvPr descr="logo-bedrock-horizontal.png" id="913" name="Picture"/>
                    <pic:cNvPicPr>
                      <a:picLocks noChangeArrowheads="1" noChangeAspect="1"/>
                    </pic:cNvPicPr>
                  </pic:nvPicPr>
                  <pic:blipFill>
                    <a:blip r:embed="rId911"/>
                    <a:stretch>
                      <a:fillRect/>
                    </a:stretch>
                  </pic:blipFill>
                  <pic:spPr bwMode="auto">
                    <a:xfrm>
                      <a:off x="0" y="0"/>
                      <a:ext cx="1691640" cy="329184"/>
                    </a:xfrm>
                    <a:prstGeom prst="rect">
                      <a:avLst/>
                    </a:prstGeom>
                    <a:noFill/>
                    <a:ln w="9525">
                      <a:noFill/>
                      <a:headEnd/>
                      <a:tailEnd/>
                    </a:ln>
                  </pic:spPr>
                </pic:pic>
              </a:graphicData>
            </a:graphic>
          </wp:inline>
        </w:drawing>
      </w:r>
    </w:p>
    <w:p>
      <w:pPr>
        <w:pStyle w:val="Eyebrow"/>
      </w:pPr>
      <w:r>
        <w:t xml:space="preserve">Factus S.A.S. · Plataforma de Facturación Electrónica · NIT 901.724.254-1</w:t>
      </w:r>
    </w:p>
    <w:p>
      <w:pPr>
        <w:pStyle w:val="PortadaTitulo"/>
      </w:pPr>
      <w:r>
        <w:t xml:space="preserve">Términos y Condiciones de Servicio</w:t>
      </w:r>
    </w:p>
    <w:p>
      <w:pPr>
        <w:pStyle w:val="LineaAcento"/>
      </w:pPr>
      <w:r>
        <w:t xml:space="preserve"> </w:t>
      </w:r>
    </w:p>
    <w:p>
      <w:pPr>
        <w:pStyle w:val="Lede"/>
      </w:pPr>
      <w:r>
        <w:t xml:space="preserve">Términos y Condiciones que rigen la relación entre FACTUS (proveedor de tecnología de facturación electrónica) y Clientes Finales que utilizan la plataforma para emitir documentos electrónicos ante la DIAN.</w:t>
      </w:r>
    </w:p>
    <w:p>
      <w:r>
        <w:br w:type="page"/>
      </w:r>
    </w:p>
    <w:bookmarkStart w:id="914" w:name="resumen-ejecutivo"/>
    <w:p>
      <w:pPr>
        <w:pStyle w:val="Heading1"/>
      </w:pPr>
      <w:r>
        <w:t xml:space="preserve">Resumen Ejecutivo</w:t>
      </w:r>
    </w:p>
    <w:p>
      <w:pPr>
        <w:pStyle w:val="FirstParagraph"/>
      </w:pPr>
      <w:r>
        <w:t xml:space="preserve">Estos Términos y Condiciones regulan el acceso y uso de la plataforma de facturación electrónica de</w:t>
      </w:r>
      <w:r>
        <w:t xml:space="preserve"> </w:t>
      </w:r>
      <w:r>
        <w:rPr>
          <w:b/>
          <w:bCs/>
        </w:rPr>
        <w:t xml:space="preserve">FACTUS S.A.S.</w:t>
      </w:r>
      <w:r>
        <w:t xml:space="preserve"> </w:t>
      </w:r>
      <w:r>
        <w:t xml:space="preserve">(en adelante,</w:t>
      </w:r>
      <w:r>
        <w:t xml:space="preserve"> </w:t>
      </w:r>
      <w:r>
        <w:rPr>
          <w:b/>
          <w:bCs/>
        </w:rPr>
        <w:t xml:space="preserve">“FACTUS”</w:t>
      </w:r>
      <w:r>
        <w:t xml:space="preserve"> </w:t>
      </w:r>
      <w:r>
        <w:t xml:space="preserve">o</w:t>
      </w:r>
      <w:r>
        <w:t xml:space="preserve"> </w:t>
      </w:r>
      <w:r>
        <w:rPr>
          <w:b/>
          <w:bCs/>
        </w:rPr>
        <w:t xml:space="preserve">“la Plataforma”</w:t>
      </w:r>
      <w:r>
        <w:t xml:space="preserve">) por parte de empresas y personas naturales que deseen emitir documentos electrónicos (Facturas, Notas Débito, Notas Crédito, Documentos Soporte, Nómina Electrónica) ante la Dirección de Impuestos y Aduanas Nacionales (</w:t>
      </w:r>
      <w:r>
        <w:rPr>
          <w:b/>
          <w:bCs/>
        </w:rPr>
        <w:t xml:space="preserve">“DIAN”</w:t>
      </w:r>
      <w:r>
        <w:t xml:space="preserve">).</w:t>
      </w:r>
    </w:p>
    <w:p>
      <w:pPr>
        <w:pStyle w:val="BodyText"/>
      </w:pPr>
      <w:r>
        <w:rPr>
          <w:b/>
          <w:bCs/>
        </w:rPr>
        <w:t xml:space="preserve">Punto crítico:</w:t>
      </w:r>
      <w:r>
        <w:t xml:space="preserve"> </w:t>
      </w:r>
      <w:r>
        <w:t xml:space="preserve">FACTUS es un canal tecnológico. FACTUS no es contador, no es abogado, no determina si tus documentos cumplen normas tributarias. Tú (Cliente) eres responsable de:</w:t>
      </w:r>
      <w:r>
        <w:t xml:space="preserve"> </w:t>
      </w:r>
      <w:r>
        <w:t xml:space="preserve">- Validar que los datos en tus documentos son correctos y legales.</w:t>
      </w:r>
      <w:r>
        <w:t xml:space="preserve"> </w:t>
      </w:r>
      <w:r>
        <w:t xml:space="preserve">- Cumplir normas tributarias de la DIAN.</w:t>
      </w:r>
      <w:r>
        <w:t xml:space="preserve"> </w:t>
      </w:r>
      <w:r>
        <w:t xml:space="preserve">- Cargue de rangos, solicitud de habilitaciones y trámites ante DIAN (si aplica).</w:t>
      </w:r>
    </w:p>
    <w:p>
      <w:pPr>
        <w:pStyle w:val="BodyText"/>
      </w:pPr>
      <w:r>
        <w:t xml:space="preserve">Si incumples normas tributarias, FACTUS no es responsable. La responsabilidad es tuya y puede resultar en multa, auditoría o sanción de la DIAN.</w:t>
      </w:r>
    </w:p>
    <w:p>
      <w:r>
        <w:pict>
          <v:rect style="width:0;height:1.5pt" o:hralign="center" o:hrstd="t" o:hr="t"/>
        </w:pict>
      </w:r>
    </w:p>
    <w:bookmarkEnd w:id="914"/>
    <w:bookmarkStart w:id="915" w:name="identificación-de-factus"/>
    <w:p>
      <w:pPr>
        <w:pStyle w:val="Heading1"/>
      </w:pPr>
      <w:r>
        <w:t xml:space="preserve">1. Identificación de FACTUS</w:t>
      </w:r>
    </w:p>
    <w:p>
      <w:pPr>
        <w:pStyle w:val="FirstParagraph"/>
      </w:pPr>
      <w:r>
        <w:rPr>
          <w:b/>
          <w:bCs/>
        </w:rPr>
        <w:t xml:space="preserve">Nombre:</w:t>
      </w:r>
      <w:r>
        <w:t xml:space="preserve"> </w:t>
      </w:r>
      <w:r>
        <w:t xml:space="preserve">FACTUS S.A.S.</w:t>
      </w:r>
      <w:r>
        <w:br/>
      </w:r>
      <w:r>
        <w:rPr>
          <w:b/>
          <w:bCs/>
        </w:rPr>
        <w:t xml:space="preserve">NIT:</w:t>
      </w:r>
      <w:r>
        <w:t xml:space="preserve"> </w:t>
      </w:r>
      <w:r>
        <w:t xml:space="preserve">901.724.254-1</w:t>
      </w:r>
      <w:r>
        <w:br/>
      </w:r>
      <w:r>
        <w:rPr>
          <w:b/>
          <w:bCs/>
        </w:rPr>
        <w:t xml:space="preserve">Domicilio:</w:t>
      </w:r>
      <w:r>
        <w:t xml:space="preserve"> </w:t>
      </w:r>
      <w:r>
        <w:t xml:space="preserve">San Gil, Santander, Colombia</w:t>
      </w:r>
      <w:r>
        <w:br/>
      </w:r>
      <w:r>
        <w:rPr>
          <w:b/>
          <w:bCs/>
        </w:rPr>
        <w:t xml:space="preserve">Sitio web:</w:t>
      </w:r>
      <w:r>
        <w:t xml:space="preserve"> </w:t>
      </w:r>
      <w:r>
        <w:t xml:space="preserve">www.factus.com.co (o URL del reseller)</w:t>
      </w:r>
      <w:r>
        <w:br/>
      </w:r>
      <w:r>
        <w:rPr>
          <w:b/>
          <w:bCs/>
        </w:rPr>
        <w:t xml:space="preserve">Correo de soporte:</w:t>
      </w:r>
      <w:r>
        <w:t xml:space="preserve"> </w:t>
      </w:r>
      <w:r>
        <w:t xml:space="preserve">soporte@factus.com.co</w:t>
      </w:r>
      <w:r>
        <w:br/>
      </w:r>
      <w:r>
        <w:rPr>
          <w:b/>
          <w:bCs/>
        </w:rPr>
        <w:t xml:space="preserve">Teléfono:</w:t>
      </w:r>
      <w:r>
        <w:t xml:space="preserve"> </w:t>
      </w:r>
      <w:r>
        <w:t xml:space="preserve">[número vigente]</w:t>
      </w:r>
      <w:r>
        <w:br/>
      </w:r>
      <w:r>
        <w:rPr>
          <w:b/>
          <w:bCs/>
        </w:rPr>
        <w:t xml:space="preserve">Horarios de atención:</w:t>
      </w:r>
      <w:r>
        <w:t xml:space="preserve"> </w:t>
      </w:r>
      <w:r>
        <w:t xml:space="preserve">Lunes a viernes, 8:00 a.m. a 6:00 p.m. (hora Colombia)</w:t>
      </w:r>
    </w:p>
    <w:p>
      <w:pPr>
        <w:pStyle w:val="BodyText"/>
      </w:pPr>
      <w:r>
        <w:t xml:space="preserve">FACTUS es un</w:t>
      </w:r>
      <w:r>
        <w:t xml:space="preserve"> </w:t>
      </w:r>
      <w:r>
        <w:rPr>
          <w:b/>
          <w:bCs/>
        </w:rPr>
        <w:t xml:space="preserve">Facturador Electrónico autorizado por la DIAN</w:t>
      </w:r>
      <w:r>
        <w:t xml:space="preserve"> </w:t>
      </w:r>
      <w:r>
        <w:t xml:space="preserve">conforme a Resolución 000165 de 2023 y Oficio DIAN 13246 de 2025. Esto implica:</w:t>
      </w:r>
    </w:p>
    <w:p>
      <w:pPr>
        <w:pStyle w:val="Compact"/>
        <w:numPr>
          <w:ilvl w:val="0"/>
          <w:numId w:val="1001"/>
        </w:numPr>
      </w:pPr>
      <w:r>
        <w:t xml:space="preserve">La plataforma ha sido sometida a auditoría técnica DIAN y cumple especificaciones de seguridad, cifrado (TLS 1.2+), autenticación (Decreto 2364/2012), y disponibilidad requeridas.</w:t>
      </w:r>
    </w:p>
    <w:p>
      <w:pPr>
        <w:pStyle w:val="Compact"/>
        <w:numPr>
          <w:ilvl w:val="0"/>
          <w:numId w:val="1001"/>
        </w:numPr>
      </w:pPr>
      <w:r>
        <w:t xml:space="preserve">El software es propiedad intelectual de FACTUS; está bajo licencia de uso no exclusiva para el Cliente.</w:t>
      </w:r>
    </w:p>
    <w:p>
      <w:pPr>
        <w:pStyle w:val="Compact"/>
        <w:numPr>
          <w:ilvl w:val="0"/>
          <w:numId w:val="1001"/>
        </w:numPr>
      </w:pPr>
      <w:r>
        <w:t xml:space="preserve">Transmisiones ante DIAN se realizan conforme protocolos de comunicación DIAN vigentes; la aceptación o rechazo es decisión exclusiva de sistemas DIAN.</w:t>
      </w:r>
    </w:p>
    <w:p>
      <w:pPr>
        <w:pStyle w:val="FirstParagraph"/>
      </w:pPr>
      <w:r>
        <w:rPr>
          <w:b/>
          <w:bCs/>
        </w:rPr>
        <w:t xml:space="preserve">FACTUS es únicamente un proveedor de tecnología. FACTUS NO actúa como:</w:t>
      </w:r>
    </w:p>
    <w:p>
      <w:pPr>
        <w:pStyle w:val="Compact"/>
        <w:numPr>
          <w:ilvl w:val="0"/>
          <w:numId w:val="1002"/>
        </w:numPr>
      </w:pPr>
      <w:r>
        <w:rPr>
          <w:b/>
          <w:bCs/>
        </w:rPr>
        <w:t xml:space="preserve">Contador público o asesor tributario:</w:t>
      </w:r>
      <w:r>
        <w:t xml:space="preserve"> </w:t>
      </w:r>
      <w:r>
        <w:t xml:space="preserve">No valida legalidad tributaria, exactitud de datos, cumplimiento de obligaciones ante la DIAN.</w:t>
      </w:r>
    </w:p>
    <w:p>
      <w:pPr>
        <w:pStyle w:val="Compact"/>
        <w:numPr>
          <w:ilvl w:val="0"/>
          <w:numId w:val="1002"/>
        </w:numPr>
      </w:pPr>
      <w:r>
        <w:rPr>
          <w:b/>
          <w:bCs/>
        </w:rPr>
        <w:t xml:space="preserve">Abogado o asesor legal:</w:t>
      </w:r>
      <w:r>
        <w:t xml:space="preserve"> </w:t>
      </w:r>
      <w:r>
        <w:t xml:space="preserve">No interpreta normas tributarias, no aconseja sobre obligaciones legales o consecuencias incumplimiento.</w:t>
      </w:r>
    </w:p>
    <w:p>
      <w:pPr>
        <w:pStyle w:val="Compact"/>
        <w:numPr>
          <w:ilvl w:val="0"/>
          <w:numId w:val="1002"/>
        </w:numPr>
      </w:pPr>
      <w:r>
        <w:rPr>
          <w:b/>
          <w:bCs/>
        </w:rPr>
        <w:t xml:space="preserve">Autoridad tributaria:</w:t>
      </w:r>
      <w:r>
        <w:t xml:space="preserve"> </w:t>
      </w:r>
      <w:r>
        <w:t xml:space="preserve">No toma decisiones sobre aceptación, rechazo, cambio de estado de documentos. Esas decisiones son exclusivas de DIAN.</w:t>
      </w:r>
    </w:p>
    <w:p>
      <w:pPr>
        <w:pStyle w:val="Compact"/>
        <w:numPr>
          <w:ilvl w:val="0"/>
          <w:numId w:val="1002"/>
        </w:numPr>
      </w:pPr>
      <w:r>
        <w:rPr>
          <w:b/>
          <w:bCs/>
        </w:rPr>
        <w:t xml:space="preserve">Auditor o validador de información:</w:t>
      </w:r>
      <w:r>
        <w:t xml:space="preserve"> </w:t>
      </w:r>
      <w:r>
        <w:t xml:space="preserve">No verifica que datos en documentos sean correctos, completos, o legales.</w:t>
      </w:r>
    </w:p>
    <w:p>
      <w:r>
        <w:pict>
          <v:rect style="width:0;height:1.5pt" o:hralign="center" o:hrstd="t" o:hr="t"/>
        </w:pict>
      </w:r>
    </w:p>
    <w:bookmarkEnd w:id="915"/>
    <w:bookmarkStart w:id="916" w:name="objeto-y-alcance"/>
    <w:p>
      <w:pPr>
        <w:pStyle w:val="Heading1"/>
      </w:pPr>
      <w:r>
        <w:t xml:space="preserve">2. Objeto y Alcance</w:t>
      </w:r>
    </w:p>
    <w:p>
      <w:pPr>
        <w:pStyle w:val="FirstParagraph"/>
      </w:pPr>
      <w:r>
        <w:t xml:space="preserve">2.1</w:t>
      </w:r>
      <w:r>
        <w:t xml:space="preserve"> </w:t>
      </w:r>
      <w:r>
        <w:rPr>
          <w:b/>
          <w:bCs/>
        </w:rPr>
        <w:t xml:space="preserve">Servicios Incluidos:</w:t>
      </w:r>
      <w:r>
        <w:t xml:space="preserve"> </w:t>
      </w:r>
      <w:r>
        <w:t xml:space="preserve">Acceso a la plataforma de facturación electrónica que permite:</w:t>
      </w:r>
    </w:p>
    <w:p>
      <w:pPr>
        <w:pStyle w:val="Compact"/>
        <w:numPr>
          <w:ilvl w:val="0"/>
          <w:numId w:val="1003"/>
        </w:numPr>
      </w:pPr>
      <w:r>
        <w:rPr>
          <w:b/>
          <w:bCs/>
        </w:rPr>
        <w:t xml:space="preserve">Emisión de Documentos Tributarios:</w:t>
      </w:r>
      <w:r>
        <w:t xml:space="preserve"> </w:t>
      </w:r>
      <w:r>
        <w:t xml:space="preserve">Facturas Electrónicas, Notas Débito, Notas Crédito y Documentos Soporte Electrónicos conforme Resolución 000019/2012 DIAN, con generación de comprobantes de radicación en tiempo real.</w:t>
      </w:r>
    </w:p>
    <w:p>
      <w:pPr>
        <w:pStyle w:val="Compact"/>
        <w:numPr>
          <w:ilvl w:val="0"/>
          <w:numId w:val="1003"/>
        </w:numPr>
      </w:pPr>
      <w:r>
        <w:rPr>
          <w:b/>
          <w:bCs/>
        </w:rPr>
        <w:t xml:space="preserve">Emisión de Nómina Electrónica:</w:t>
      </w:r>
      <w:r>
        <w:t xml:space="preserve"> </w:t>
      </w:r>
      <w:r>
        <w:t xml:space="preserve">Conforme Resolución 1796/2014 DIAN, cuando paquete contratado lo incluya.</w:t>
      </w:r>
    </w:p>
    <w:p>
      <w:pPr>
        <w:pStyle w:val="Compact"/>
        <w:numPr>
          <w:ilvl w:val="0"/>
          <w:numId w:val="1003"/>
        </w:numPr>
      </w:pPr>
      <w:r>
        <w:rPr>
          <w:b/>
          <w:bCs/>
        </w:rPr>
        <w:t xml:space="preserve">Gestión de Eventos Radian:</w:t>
      </w:r>
      <w:r>
        <w:t xml:space="preserve"> </w:t>
      </w:r>
      <w:r>
        <w:t xml:space="preserve">Consulta en tiempo real de eventos de recepción, aceptación, rechazo y notificaciones generadas por receptor (cliente del Cliente) a través del sistema Radian DIAN.</w:t>
      </w:r>
    </w:p>
    <w:p>
      <w:pPr>
        <w:pStyle w:val="Compact"/>
        <w:numPr>
          <w:ilvl w:val="0"/>
          <w:numId w:val="1003"/>
        </w:numPr>
      </w:pPr>
      <w:r>
        <w:rPr>
          <w:b/>
          <w:bCs/>
        </w:rPr>
        <w:t xml:space="preserve">Reportes Técnicos de Radicación:</w:t>
      </w:r>
      <w:r>
        <w:t xml:space="preserve"> </w:t>
      </w:r>
      <w:r>
        <w:t xml:space="preserve">Descarga de comprobantes de radicación, estados de transmisión, detalles técnicos de respuesta DIAN, y trazabilidad completa de documentos emitidos.</w:t>
      </w:r>
    </w:p>
    <w:p>
      <w:pPr>
        <w:pStyle w:val="Compact"/>
        <w:numPr>
          <w:ilvl w:val="0"/>
          <w:numId w:val="1003"/>
        </w:numPr>
      </w:pPr>
      <w:r>
        <w:rPr>
          <w:b/>
          <w:bCs/>
        </w:rPr>
        <w:t xml:space="preserve">Ambiente de Pruebas (Sandbox):</w:t>
      </w:r>
      <w:r>
        <w:t xml:space="preserve"> </w:t>
      </w:r>
      <w:r>
        <w:t xml:space="preserve">Acceso a entorno separado con datos de demostración para validación de procesos, integraciones y flujos antes de operación en ambiente de producción.</w:t>
      </w:r>
    </w:p>
    <w:p>
      <w:pPr>
        <w:pStyle w:val="FirstParagraph"/>
      </w:pPr>
      <w:r>
        <w:t xml:space="preserve">2.2</w:t>
      </w:r>
      <w:r>
        <w:t xml:space="preserve"> </w:t>
      </w:r>
      <w:r>
        <w:rPr>
          <w:b/>
          <w:bCs/>
        </w:rPr>
        <w:t xml:space="preserve">Modalidades:</w:t>
      </w:r>
    </w:p>
    <w:p>
      <w:pPr>
        <w:pStyle w:val="Compact"/>
        <w:numPr>
          <w:ilvl w:val="0"/>
          <w:numId w:val="1004"/>
        </w:numPr>
      </w:pPr>
      <w:r>
        <w:rPr>
          <w:b/>
          <w:bCs/>
        </w:rPr>
        <w:t xml:space="preserve">Paquete Facturación:</w:t>
      </w:r>
      <w:r>
        <w:t xml:space="preserve"> </w:t>
      </w:r>
      <w:r>
        <w:t xml:space="preserve">Facturación + Documentos Soporte + consulta Radian.</w:t>
      </w:r>
    </w:p>
    <w:p>
      <w:pPr>
        <w:pStyle w:val="Compact"/>
        <w:numPr>
          <w:ilvl w:val="0"/>
          <w:numId w:val="1004"/>
        </w:numPr>
      </w:pPr>
      <w:r>
        <w:rPr>
          <w:b/>
          <w:bCs/>
        </w:rPr>
        <w:t xml:space="preserve">Paquete Nómina:</w:t>
      </w:r>
      <w:r>
        <w:t xml:space="preserve"> </w:t>
      </w:r>
      <w:r>
        <w:t xml:space="preserve">Nómina Electrónica + Documentos Soporte.</w:t>
      </w:r>
    </w:p>
    <w:p>
      <w:pPr>
        <w:pStyle w:val="Compact"/>
        <w:numPr>
          <w:ilvl w:val="0"/>
          <w:numId w:val="1004"/>
        </w:numPr>
      </w:pPr>
      <w:r>
        <w:rPr>
          <w:b/>
          <w:bCs/>
        </w:rPr>
        <w:t xml:space="preserve">Bolsa Multifacturador:</w:t>
      </w:r>
      <w:r>
        <w:t xml:space="preserve"> </w:t>
      </w:r>
      <w:r>
        <w:t xml:space="preserve">Todos los servicios en una bolsa (requiere certificado por cada NIT adicional).</w:t>
      </w:r>
    </w:p>
    <w:p>
      <w:pPr>
        <w:pStyle w:val="FirstParagraph"/>
      </w:pPr>
      <w:r>
        <w:t xml:space="preserve">2.3</w:t>
      </w:r>
      <w:r>
        <w:t xml:space="preserve"> </w:t>
      </w:r>
      <w:r>
        <w:rPr>
          <w:b/>
          <w:bCs/>
        </w:rPr>
        <w:t xml:space="preserve">Lo que NO está incluido:</w:t>
      </w:r>
    </w:p>
    <w:p>
      <w:pPr>
        <w:pStyle w:val="Compact"/>
        <w:numPr>
          <w:ilvl w:val="0"/>
          <w:numId w:val="1005"/>
        </w:numPr>
      </w:pPr>
      <w:r>
        <w:t xml:space="preserve">Emisión de certificados digitales (se adquieren con la plataforma; costo adicional si certificados adicionales).</w:t>
      </w:r>
    </w:p>
    <w:p>
      <w:pPr>
        <w:pStyle w:val="Compact"/>
        <w:numPr>
          <w:ilvl w:val="0"/>
          <w:numId w:val="1005"/>
        </w:numPr>
      </w:pPr>
      <w:r>
        <w:t xml:space="preserve">Asesoría tributaria o legal.</w:t>
      </w:r>
    </w:p>
    <w:p>
      <w:pPr>
        <w:pStyle w:val="Compact"/>
        <w:numPr>
          <w:ilvl w:val="0"/>
          <w:numId w:val="1005"/>
        </w:numPr>
      </w:pPr>
      <w:r>
        <w:t xml:space="preserve">Integración personalizada de APIs.</w:t>
      </w:r>
    </w:p>
    <w:p>
      <w:pPr>
        <w:pStyle w:val="Compact"/>
        <w:numPr>
          <w:ilvl w:val="0"/>
          <w:numId w:val="1005"/>
        </w:numPr>
      </w:pPr>
      <w:r>
        <w:t xml:space="preserve">Soporte técnico básico SI contratas a través de un</w:t>
      </w:r>
      <w:r>
        <w:t xml:space="preserve"> </w:t>
      </w:r>
      <w:r>
        <w:rPr>
          <w:b/>
          <w:bCs/>
        </w:rPr>
        <w:t xml:space="preserve">reseller</w:t>
      </w:r>
      <w:r>
        <w:t xml:space="preserve"> </w:t>
      </w:r>
      <w:r>
        <w:t xml:space="preserve">— en ese caso, el reseller es responsable del soporte. FACTUS solo responde a fallas de plataforma.</w:t>
      </w:r>
    </w:p>
    <w:p>
      <w:r>
        <w:pict>
          <v:rect style="width:0;height:1.5pt" o:hralign="center" o:hrstd="t" o:hr="t"/>
        </w:pict>
      </w:r>
    </w:p>
    <w:bookmarkEnd w:id="916"/>
    <w:bookmarkStart w:id="917" w:name="condiciones-de-acceso-y-aceptación"/>
    <w:p>
      <w:pPr>
        <w:pStyle w:val="Heading1"/>
      </w:pPr>
      <w:r>
        <w:t xml:space="preserve">3. Condiciones de Acceso y Aceptación</w:t>
      </w:r>
    </w:p>
    <w:p>
      <w:pPr>
        <w:pStyle w:val="FirstParagraph"/>
      </w:pPr>
      <w:r>
        <w:t xml:space="preserve">3.1</w:t>
      </w:r>
      <w:r>
        <w:t xml:space="preserve"> </w:t>
      </w:r>
      <w:r>
        <w:rPr>
          <w:b/>
          <w:bCs/>
        </w:rPr>
        <w:t xml:space="preserve">Aceptación de TyC:</w:t>
      </w:r>
      <w:r>
        <w:t xml:space="preserve"> </w:t>
      </w:r>
      <w:r>
        <w:t xml:space="preserve">Al hacer clic en</w:t>
      </w:r>
      <w:r>
        <w:t xml:space="preserve"> </w:t>
      </w:r>
      <w:r>
        <w:t xml:space="preserve">“ACEPTO”</w:t>
      </w:r>
      <w:r>
        <w:t xml:space="preserve"> </w:t>
      </w:r>
      <w:r>
        <w:t xml:space="preserve">o usar la plataforma, aceptas completamente estos Términos y Condiciones. Si no aceptas, no puedes usar el servicio.</w:t>
      </w:r>
    </w:p>
    <w:p>
      <w:pPr>
        <w:pStyle w:val="BodyText"/>
      </w:pPr>
      <w:r>
        <w:t xml:space="preserve">3.2</w:t>
      </w:r>
      <w:r>
        <w:t xml:space="preserve"> </w:t>
      </w:r>
      <w:r>
        <w:rPr>
          <w:b/>
          <w:bCs/>
        </w:rPr>
        <w:t xml:space="preserve">Requisitos para Contratar:</w:t>
      </w:r>
    </w:p>
    <w:p>
      <w:pPr>
        <w:pStyle w:val="Compact"/>
        <w:numPr>
          <w:ilvl w:val="0"/>
          <w:numId w:val="1006"/>
        </w:numPr>
      </w:pPr>
      <w:r>
        <w:t xml:space="preserve">Ser empresa o persona natural inscrita en el RUT de la DIAN.</w:t>
      </w:r>
    </w:p>
    <w:p>
      <w:pPr>
        <w:pStyle w:val="Compact"/>
        <w:numPr>
          <w:ilvl w:val="0"/>
          <w:numId w:val="1006"/>
        </w:numPr>
      </w:pPr>
      <w:r>
        <w:t xml:space="preserve">Tener Número de Identificación Tributaria (NIT) vigente.</w:t>
      </w:r>
    </w:p>
    <w:p>
      <w:pPr>
        <w:pStyle w:val="Compact"/>
        <w:numPr>
          <w:ilvl w:val="0"/>
          <w:numId w:val="1006"/>
        </w:numPr>
      </w:pPr>
      <w:r>
        <w:t xml:space="preserve">Tener autorización de rango de numeración ante la DIAN (si aplica).</w:t>
      </w:r>
    </w:p>
    <w:p>
      <w:pPr>
        <w:pStyle w:val="Compact"/>
        <w:numPr>
          <w:ilvl w:val="0"/>
          <w:numId w:val="1006"/>
        </w:numPr>
      </w:pPr>
      <w:r>
        <w:t xml:space="preserve">No estar incluido en listas de lavado de activos, financiación del terrorismo, o PEP (Persona Políticamente Expuesta).</w:t>
      </w:r>
    </w:p>
    <w:p>
      <w:pPr>
        <w:pStyle w:val="Compact"/>
        <w:numPr>
          <w:ilvl w:val="0"/>
          <w:numId w:val="1006"/>
        </w:numPr>
      </w:pPr>
      <w:r>
        <w:t xml:space="preserve">Cumplir con legislación tributaria vigente.</w:t>
      </w:r>
    </w:p>
    <w:p>
      <w:pPr>
        <w:pStyle w:val="FirstParagraph"/>
      </w:pPr>
      <w:r>
        <w:t xml:space="preserve">3.3</w:t>
      </w:r>
      <w:r>
        <w:t xml:space="preserve"> </w:t>
      </w:r>
      <w:r>
        <w:rPr>
          <w:b/>
          <w:bCs/>
        </w:rPr>
        <w:t xml:space="preserve">Verificación Identidad:</w:t>
      </w:r>
      <w:r>
        <w:t xml:space="preserve"> </w:t>
      </w:r>
      <w:r>
        <w:t xml:space="preserve">FACTUS se reserva derecho de solicitar documentos de verificación (RUT, Certificado de Existencia y Representación Legal, cédula de representante, etc.) conforme obligaciones de prevención de lavado de activos (Ley 1960 de 2019).</w:t>
      </w:r>
    </w:p>
    <w:p>
      <w:pPr>
        <w:pStyle w:val="BodyText"/>
      </w:pPr>
      <w:r>
        <w:t xml:space="preserve">3.4</w:t>
      </w:r>
      <w:r>
        <w:t xml:space="preserve"> </w:t>
      </w:r>
      <w:r>
        <w:rPr>
          <w:b/>
          <w:bCs/>
        </w:rPr>
        <w:t xml:space="preserve">Menores de Edad:</w:t>
      </w:r>
      <w:r>
        <w:t xml:space="preserve"> </w:t>
      </w:r>
      <w:r>
        <w:t xml:space="preserve">No está permitido a menores de 18 años contratar. Acceso es solo para personas con capacidad legal.</w:t>
      </w:r>
    </w:p>
    <w:p>
      <w:r>
        <w:pict>
          <v:rect style="width:0;height:1.5pt" o:hralign="center" o:hrstd="t" o:hr="t"/>
        </w:pict>
      </w:r>
    </w:p>
    <w:bookmarkEnd w:id="917"/>
    <w:bookmarkStart w:id="918" w:name="prestación-de-servicio"/>
    <w:p>
      <w:pPr>
        <w:pStyle w:val="Heading1"/>
      </w:pPr>
      <w:r>
        <w:t xml:space="preserve">4. Prestación de Servicio</w:t>
      </w:r>
    </w:p>
    <w:p>
      <w:pPr>
        <w:pStyle w:val="FirstParagraph"/>
      </w:pPr>
      <w:r>
        <w:t xml:space="preserve">4.1</w:t>
      </w:r>
      <w:r>
        <w:t xml:space="preserve"> </w:t>
      </w:r>
      <w:r>
        <w:rPr>
          <w:b/>
          <w:bCs/>
        </w:rPr>
        <w:t xml:space="preserve">Acceso a la Plataforma:</w:t>
      </w:r>
    </w:p>
    <w:p>
      <w:pPr>
        <w:pStyle w:val="Compact"/>
        <w:numPr>
          <w:ilvl w:val="0"/>
          <w:numId w:val="1007"/>
        </w:numPr>
      </w:pPr>
      <w:r>
        <w:t xml:space="preserve">FACTUS proporciona credenciales de acceso (usuario y contraseña) para acceso seguro.</w:t>
      </w:r>
    </w:p>
    <w:p>
      <w:pPr>
        <w:pStyle w:val="Compact"/>
        <w:numPr>
          <w:ilvl w:val="0"/>
          <w:numId w:val="1007"/>
        </w:numPr>
      </w:pPr>
      <w:r>
        <w:t xml:space="preserve">El Cliente es responsable de mantener confidencialidad de credenciales.</w:t>
      </w:r>
    </w:p>
    <w:p>
      <w:pPr>
        <w:pStyle w:val="Compact"/>
        <w:numPr>
          <w:ilvl w:val="0"/>
          <w:numId w:val="1007"/>
        </w:numPr>
      </w:pPr>
      <w:r>
        <w:t xml:space="preserve">El Cliente es responsable de cualquier actividad en su cuenta (incluso si no fue él quien actúo).</w:t>
      </w:r>
    </w:p>
    <w:p>
      <w:pPr>
        <w:pStyle w:val="FirstParagraph"/>
      </w:pPr>
      <w:r>
        <w:t xml:space="preserve">4.2</w:t>
      </w:r>
      <w:r>
        <w:t xml:space="preserve"> </w:t>
      </w:r>
      <w:r>
        <w:rPr>
          <w:b/>
          <w:bCs/>
        </w:rPr>
        <w:t xml:space="preserve">Disponibilidad y Acuerdo de Nivel de Servicio (SLA):</w:t>
      </w:r>
    </w:p>
    <w:p>
      <w:pPr>
        <w:pStyle w:val="Compact"/>
        <w:numPr>
          <w:ilvl w:val="0"/>
          <w:numId w:val="1008"/>
        </w:numPr>
      </w:pPr>
      <w:r>
        <w:t xml:space="preserve">FACTUS garantiza disponibilidad operativa de</w:t>
      </w:r>
      <w:r>
        <w:t xml:space="preserve"> </w:t>
      </w:r>
      <w:r>
        <w:rPr>
          <w:b/>
          <w:bCs/>
        </w:rPr>
        <w:t xml:space="preserve">99 % del tiempo</w:t>
      </w:r>
      <w:r>
        <w:t xml:space="preserve"> </w:t>
      </w:r>
      <w:r>
        <w:t xml:space="preserve">durante horario hábil de prestación (lunes a viernes, 8:00 a.m. a 6:00 p.m. hora Colombia). Esto corresponde a máximo 2.1 horas de indisponibilidad mensual en ese horario.</w:t>
      </w:r>
    </w:p>
    <w:p>
      <w:pPr>
        <w:pStyle w:val="Compact"/>
        <w:numPr>
          <w:ilvl w:val="0"/>
          <w:numId w:val="1008"/>
        </w:numPr>
      </w:pPr>
      <w:r>
        <w:rPr>
          <w:b/>
          <w:bCs/>
        </w:rPr>
        <w:t xml:space="preserve">Indisponibilidad = plataforma no accesible para emisión, consulta o descarga de documentos.</w:t>
      </w:r>
    </w:p>
    <w:p>
      <w:pPr>
        <w:pStyle w:val="Compact"/>
        <w:numPr>
          <w:ilvl w:val="0"/>
          <w:numId w:val="1008"/>
        </w:numPr>
      </w:pPr>
      <w:r>
        <w:rPr>
          <w:b/>
          <w:bCs/>
        </w:rPr>
        <w:t xml:space="preserve">Exclusiones del SLA (no computan como incumplimiento):</w:t>
      </w:r>
      <w:r>
        <w:t xml:space="preserve"> </w:t>
      </w:r>
      <w:r>
        <w:t xml:space="preserve">(i) fines de semana, festivos colombianos y días no hábiles; (ii) mantenimiento preventivo notificado con 48 horas de anticipación (máximo 4 horas mensuales); (iii) eventos de fuerza mayor (desastres naturales, conflictos armados, epidemias); (iv) indisponibilidad de servicios terceros (caída plataforma DIAN, cortes de ISP del Cliente, ataques DDoS dirigidos a infraestructura DIAN).</w:t>
      </w:r>
    </w:p>
    <w:p>
      <w:pPr>
        <w:pStyle w:val="FirstParagraph"/>
      </w:pPr>
      <w:r>
        <w:t xml:space="preserve">4.3</w:t>
      </w:r>
      <w:r>
        <w:t xml:space="preserve"> </w:t>
      </w:r>
      <w:r>
        <w:rPr>
          <w:b/>
          <w:bCs/>
        </w:rPr>
        <w:t xml:space="preserve">Certificados Digitales:</w:t>
      </w:r>
    </w:p>
    <w:p>
      <w:pPr>
        <w:pStyle w:val="Compact"/>
        <w:numPr>
          <w:ilvl w:val="0"/>
          <w:numId w:val="1009"/>
        </w:numPr>
      </w:pPr>
      <w:r>
        <w:t xml:space="preserve">Gestión de certificados: 1-3 días hábiles (depende del proveedor de certificación).</w:t>
      </w:r>
    </w:p>
    <w:p>
      <w:pPr>
        <w:pStyle w:val="Compact"/>
        <w:numPr>
          <w:ilvl w:val="0"/>
          <w:numId w:val="1009"/>
        </w:numPr>
      </w:pPr>
      <w:r>
        <w:t xml:space="preserve">Si certificado expira por culpa del Cliente (no lo renovó), FACTUS cobra arancel por reinscripción.</w:t>
      </w:r>
    </w:p>
    <w:p>
      <w:pPr>
        <w:pStyle w:val="Compact"/>
        <w:numPr>
          <w:ilvl w:val="0"/>
          <w:numId w:val="1009"/>
        </w:numPr>
      </w:pPr>
      <w:r>
        <w:t xml:space="preserve">Si certificado se vence mientras está en trámite con FACTUS, no hay cargo adicional.</w:t>
      </w:r>
    </w:p>
    <w:p>
      <w:pPr>
        <w:pStyle w:val="FirstParagraph"/>
      </w:pPr>
      <w:r>
        <w:t xml:space="preserve">4.4</w:t>
      </w:r>
      <w:r>
        <w:t xml:space="preserve"> </w:t>
      </w:r>
      <w:r>
        <w:rPr>
          <w:b/>
          <w:bCs/>
        </w:rPr>
        <w:t xml:space="preserve">Cambios y Actualizaciones:</w:t>
      </w:r>
    </w:p>
    <w:p>
      <w:pPr>
        <w:pStyle w:val="Compact"/>
        <w:numPr>
          <w:ilvl w:val="0"/>
          <w:numId w:val="1010"/>
        </w:numPr>
      </w:pPr>
      <w:r>
        <w:t xml:space="preserve">FACTUS puede hacer cambios, parches de seguridad y actualizaciones de software.</w:t>
      </w:r>
    </w:p>
    <w:p>
      <w:pPr>
        <w:pStyle w:val="Compact"/>
        <w:numPr>
          <w:ilvl w:val="0"/>
          <w:numId w:val="1010"/>
        </w:numPr>
      </w:pPr>
      <w:r>
        <w:t xml:space="preserve">Cambios menores se notifican con 48 horas de anticipación.</w:t>
      </w:r>
    </w:p>
    <w:p>
      <w:pPr>
        <w:pStyle w:val="Compact"/>
        <w:numPr>
          <w:ilvl w:val="0"/>
          <w:numId w:val="1010"/>
        </w:numPr>
      </w:pPr>
      <w:r>
        <w:t xml:space="preserve">Cambios mayores se comunican con mayor anticipación.</w:t>
      </w:r>
    </w:p>
    <w:p>
      <w:pPr>
        <w:pStyle w:val="Compact"/>
        <w:numPr>
          <w:ilvl w:val="0"/>
          <w:numId w:val="1010"/>
        </w:numPr>
      </w:pPr>
      <w:r>
        <w:t xml:space="preserve">Actualizaciones de seguridad pueden ser inmediatas (sin previo aviso) si hay vulnerabilidad detectada.</w:t>
      </w:r>
    </w:p>
    <w:p>
      <w:r>
        <w:pict>
          <v:rect style="width:0;height:1.5pt" o:hralign="center" o:hrstd="t" o:hr="t"/>
        </w:pict>
      </w:r>
    </w:p>
    <w:bookmarkEnd w:id="918"/>
    <w:bookmarkStart w:id="919" w:name="obligaciones-del-cliente"/>
    <w:p>
      <w:pPr>
        <w:pStyle w:val="Heading1"/>
      </w:pPr>
      <w:r>
        <w:t xml:space="preserve">5. Obligaciones del Cliente</w:t>
      </w:r>
    </w:p>
    <w:p>
      <w:pPr>
        <w:pStyle w:val="FirstParagraph"/>
      </w:pPr>
      <w:r>
        <w:t xml:space="preserve">5.1 El Cliente se obliga a:</w:t>
      </w:r>
    </w:p>
    <w:p>
      <w:pPr>
        <w:pStyle w:val="Compact"/>
        <w:numPr>
          <w:ilvl w:val="0"/>
          <w:numId w:val="1011"/>
        </w:numPr>
      </w:pPr>
      <w:r>
        <w:t xml:space="preserve">Usar la plataforma solo para emitir documentos electrónicos conforme normas DIAN.</w:t>
      </w:r>
    </w:p>
    <w:p>
      <w:pPr>
        <w:pStyle w:val="Compact"/>
        <w:numPr>
          <w:ilvl w:val="0"/>
          <w:numId w:val="1011"/>
        </w:numPr>
      </w:pPr>
      <w:r>
        <w:t xml:space="preserve">Cargar datos correctos y completos en sus documentos.</w:t>
      </w:r>
    </w:p>
    <w:p>
      <w:pPr>
        <w:pStyle w:val="Compact"/>
        <w:numPr>
          <w:ilvl w:val="0"/>
          <w:numId w:val="1011"/>
        </w:numPr>
      </w:pPr>
      <w:r>
        <w:t xml:space="preserve">Validar documentos antes de emitir (datos del cliente, valores, impuestos, etc.).</w:t>
      </w:r>
    </w:p>
    <w:p>
      <w:pPr>
        <w:pStyle w:val="Compact"/>
        <w:numPr>
          <w:ilvl w:val="0"/>
          <w:numId w:val="1011"/>
        </w:numPr>
      </w:pPr>
      <w:r>
        <w:t xml:space="preserve">Cumplir normas tributarias vigentes (declaraciones, pagos de impuestos, etc.).</w:t>
      </w:r>
    </w:p>
    <w:p>
      <w:pPr>
        <w:pStyle w:val="Compact"/>
        <w:numPr>
          <w:ilvl w:val="0"/>
          <w:numId w:val="1011"/>
        </w:numPr>
      </w:pPr>
      <w:r>
        <w:t xml:space="preserve">Solicitar y cargar autorización de rangos ante la DIAN (si aplica).</w:t>
      </w:r>
    </w:p>
    <w:p>
      <w:pPr>
        <w:pStyle w:val="Compact"/>
        <w:numPr>
          <w:ilvl w:val="0"/>
          <w:numId w:val="1011"/>
        </w:numPr>
      </w:pPr>
      <w:r>
        <w:t xml:space="preserve">Mantener confidencialidad de credenciales.</w:t>
      </w:r>
    </w:p>
    <w:p>
      <w:pPr>
        <w:pStyle w:val="Compact"/>
        <w:numPr>
          <w:ilvl w:val="0"/>
          <w:numId w:val="1011"/>
        </w:numPr>
      </w:pPr>
      <w:r>
        <w:t xml:space="preserve">Notificar a FACTUS inmediatamente si detecta acceso no autorizado a su cuenta.</w:t>
      </w:r>
    </w:p>
    <w:p>
      <w:pPr>
        <w:pStyle w:val="Compact"/>
        <w:numPr>
          <w:ilvl w:val="0"/>
          <w:numId w:val="1011"/>
        </w:numPr>
      </w:pPr>
      <w:r>
        <w:t xml:space="preserve">Cumplir con leyes y regulaciones vigentes.</w:t>
      </w:r>
    </w:p>
    <w:p>
      <w:pPr>
        <w:pStyle w:val="FirstParagraph"/>
      </w:pPr>
      <w:r>
        <w:t xml:space="preserve">5.2</w:t>
      </w:r>
      <w:r>
        <w:t xml:space="preserve"> </w:t>
      </w:r>
      <w:r>
        <w:rPr>
          <w:b/>
          <w:bCs/>
        </w:rPr>
        <w:t xml:space="preserve">Prohibiciones Expresas:</w:t>
      </w:r>
      <w:r>
        <w:t xml:space="preserve"> </w:t>
      </w:r>
      <w:r>
        <w:t xml:space="preserve">El Cliente se abstendrá de:</w:t>
      </w:r>
    </w:p>
    <w:p>
      <w:pPr>
        <w:pStyle w:val="Compact"/>
        <w:numPr>
          <w:ilvl w:val="0"/>
          <w:numId w:val="1012"/>
        </w:numPr>
      </w:pPr>
      <w:r>
        <w:t xml:space="preserve">Intentar acceso no autorizado a infraestructura, servidores, bases de datos, aplicaciones o información de otros usuarios, incluyendo técnicas de ingeniería inversa, análisis de vulnerabilidades, inyección de código o ataques de denegación de servicio (DDoS).</w:t>
      </w:r>
    </w:p>
    <w:p>
      <w:pPr>
        <w:pStyle w:val="Compact"/>
        <w:numPr>
          <w:ilvl w:val="0"/>
          <w:numId w:val="1012"/>
        </w:numPr>
      </w:pPr>
      <w:r>
        <w:t xml:space="preserve">Utilizar la plataforma para emisión de documentos que, a su conocimiento o razonablemente debería conocer, contienen falsedad en datos, incumplen normas tributarias vigentes, facilitan operaciones de lavado de activos, financiamiento del terrorismo o fraude conforme Ley 1960/2019 (prevención de lavado de activos) y Código Penal Colombiano.</w:t>
      </w:r>
    </w:p>
    <w:p>
      <w:pPr>
        <w:pStyle w:val="Compact"/>
        <w:numPr>
          <w:ilvl w:val="0"/>
          <w:numId w:val="1012"/>
        </w:numPr>
      </w:pPr>
      <w:r>
        <w:t xml:space="preserve">Reproducir, adaptar, traducir, crear trabajos derivados, o distribuir bajo ninguna forma (comercial o no comercial) el código fuente, aplicaciones, interfaces, metodologías, especificaciones técnicas o documentación de FACTUS.</w:t>
      </w:r>
    </w:p>
    <w:p>
      <w:pPr>
        <w:pStyle w:val="Compact"/>
        <w:numPr>
          <w:ilvl w:val="0"/>
          <w:numId w:val="1012"/>
        </w:numPr>
      </w:pPr>
      <w:r>
        <w:t xml:space="preserve">Modificar, descompilar o intentar obtener acceso a componentes internos de la plataforma.</w:t>
      </w:r>
    </w:p>
    <w:p>
      <w:pPr>
        <w:pStyle w:val="Compact"/>
        <w:numPr>
          <w:ilvl w:val="0"/>
          <w:numId w:val="1012"/>
        </w:numPr>
      </w:pPr>
      <w:r>
        <w:t xml:space="preserve">Cargar documentos o información que sabes son incompletos, incorrectos, o incumplen obligaciones tributarias ante DIAN.</w:t>
      </w:r>
    </w:p>
    <w:p>
      <w:pPr>
        <w:pStyle w:val="FirstParagraph"/>
      </w:pPr>
      <w:r>
        <w:t xml:space="preserve">5.3</w:t>
      </w:r>
      <w:r>
        <w:t xml:space="preserve"> </w:t>
      </w:r>
      <w:r>
        <w:rPr>
          <w:b/>
          <w:bCs/>
        </w:rPr>
        <w:t xml:space="preserve">Validación Propios Datos:</w:t>
      </w:r>
      <w:r>
        <w:t xml:space="preserve"> </w:t>
      </w:r>
      <w:r>
        <w:t xml:space="preserve">El Cliente es</w:t>
      </w:r>
      <w:r>
        <w:t xml:space="preserve"> </w:t>
      </w:r>
      <w:r>
        <w:rPr>
          <w:b/>
          <w:bCs/>
        </w:rPr>
        <w:t xml:space="preserve">único responsable</w:t>
      </w:r>
      <w:r>
        <w:t xml:space="preserve"> </w:t>
      </w:r>
      <w:r>
        <w:t xml:space="preserve">de validar que:</w:t>
      </w:r>
    </w:p>
    <w:p>
      <w:pPr>
        <w:pStyle w:val="Compact"/>
        <w:numPr>
          <w:ilvl w:val="0"/>
          <w:numId w:val="1013"/>
        </w:numPr>
      </w:pPr>
      <w:r>
        <w:t xml:space="preserve">Razón social y NIT son correctos.</w:t>
      </w:r>
    </w:p>
    <w:p>
      <w:pPr>
        <w:pStyle w:val="Compact"/>
        <w:numPr>
          <w:ilvl w:val="0"/>
          <w:numId w:val="1013"/>
        </w:numPr>
      </w:pPr>
      <w:r>
        <w:t xml:space="preserve">Datos de clientes/proveedores incluidos en documentos son exactos.</w:t>
      </w:r>
    </w:p>
    <w:p>
      <w:pPr>
        <w:pStyle w:val="Compact"/>
        <w:numPr>
          <w:ilvl w:val="0"/>
          <w:numId w:val="1013"/>
        </w:numPr>
      </w:pPr>
      <w:r>
        <w:t xml:space="preserve">Valores, cantidades e impuestos están bien calculados.</w:t>
      </w:r>
    </w:p>
    <w:p>
      <w:pPr>
        <w:pStyle w:val="Compact"/>
        <w:numPr>
          <w:ilvl w:val="0"/>
          <w:numId w:val="1013"/>
        </w:numPr>
      </w:pPr>
      <w:r>
        <w:t xml:space="preserve">No hay duplicación de numeración.</w:t>
      </w:r>
    </w:p>
    <w:p>
      <w:pPr>
        <w:pStyle w:val="FirstParagraph"/>
      </w:pPr>
      <w:r>
        <w:t xml:space="preserve">FACTUS NO valida nada de esto antes de radicar. Si cargues datos incorrectos y la DIAN rechaza documentos,</w:t>
      </w:r>
      <w:r>
        <w:t xml:space="preserve"> </w:t>
      </w:r>
      <w:r>
        <w:rPr>
          <w:b/>
          <w:bCs/>
        </w:rPr>
        <w:t xml:space="preserve">es tu responsabilidad</w:t>
      </w:r>
      <w:r>
        <w:t xml:space="preserve">.</w:t>
      </w:r>
    </w:p>
    <w:p>
      <w:r>
        <w:pict>
          <v:rect style="width:0;height:1.5pt" o:hralign="center" o:hrstd="t" o:hr="t"/>
        </w:pict>
      </w:r>
    </w:p>
    <w:bookmarkEnd w:id="919"/>
    <w:bookmarkStart w:id="920" w:name="responsabilidad-de-factus-limitada"/>
    <w:p>
      <w:pPr>
        <w:pStyle w:val="Heading1"/>
      </w:pPr>
      <w:r>
        <w:t xml:space="preserve">6. Responsabilidad de FACTUS (Limitada)</w:t>
      </w:r>
    </w:p>
    <w:p>
      <w:pPr>
        <w:pStyle w:val="FirstParagraph"/>
      </w:pPr>
      <w:r>
        <w:t xml:space="preserve">6.1</w:t>
      </w:r>
      <w:r>
        <w:t xml:space="preserve"> </w:t>
      </w:r>
      <w:r>
        <w:rPr>
          <w:b/>
          <w:bCs/>
        </w:rPr>
        <w:t xml:space="preserve">Responsabilidades Asumidas por FACTUS:</w:t>
      </w:r>
    </w:p>
    <w:p>
      <w:pPr>
        <w:pStyle w:val="Compact"/>
        <w:numPr>
          <w:ilvl w:val="0"/>
          <w:numId w:val="1014"/>
        </w:numPr>
      </w:pPr>
      <w:r>
        <w:rPr>
          <w:b/>
          <w:bCs/>
        </w:rPr>
        <w:t xml:space="preserve">Disponibilidad de Infraestructura:</w:t>
      </w:r>
      <w:r>
        <w:t xml:space="preserve"> </w:t>
      </w:r>
      <w:r>
        <w:t xml:space="preserve">Mantener operativa la plataforma, servidores, canales de comunicación y servicios conforme SLA (99 % en horario hábil) especificado en sección 4.2.</w:t>
      </w:r>
    </w:p>
    <w:p>
      <w:pPr>
        <w:pStyle w:val="Compact"/>
        <w:numPr>
          <w:ilvl w:val="0"/>
          <w:numId w:val="1014"/>
        </w:numPr>
      </w:pPr>
      <w:r>
        <w:rPr>
          <w:b/>
          <w:bCs/>
        </w:rPr>
        <w:t xml:space="preserve">Integridad de Datos Almacenados:</w:t>
      </w:r>
      <w:r>
        <w:t xml:space="preserve"> </w:t>
      </w:r>
      <w:r>
        <w:t xml:space="preserve">Preservar sin pérdida, corrupción o alteración no autorizada los documentos y datos transmitidos por el Cliente, durante período de retención obligatorio (mínimo 5 años conforme ley DIAN).</w:t>
      </w:r>
    </w:p>
    <w:p>
      <w:pPr>
        <w:pStyle w:val="Compact"/>
        <w:numPr>
          <w:ilvl w:val="0"/>
          <w:numId w:val="1014"/>
        </w:numPr>
      </w:pPr>
      <w:r>
        <w:rPr>
          <w:b/>
          <w:bCs/>
        </w:rPr>
        <w:t xml:space="preserve">Transmisión Técnica a DIAN:</w:t>
      </w:r>
      <w:r>
        <w:t xml:space="preserve"> </w:t>
      </w:r>
      <w:r>
        <w:t xml:space="preserve">Radicar documentos ante DIAN conforme protocolos de comunicación vigentes, con autenticación por certificado digital, independientemente de si DIAN los acepta o rechaza.</w:t>
      </w:r>
    </w:p>
    <w:p>
      <w:pPr>
        <w:pStyle w:val="Compact"/>
        <w:numPr>
          <w:ilvl w:val="0"/>
          <w:numId w:val="1014"/>
        </w:numPr>
      </w:pPr>
      <w:r>
        <w:rPr>
          <w:b/>
          <w:bCs/>
        </w:rPr>
        <w:t xml:space="preserve">Generación de Comprobantes:</w:t>
      </w:r>
      <w:r>
        <w:t xml:space="preserve"> </w:t>
      </w:r>
      <w:r>
        <w:t xml:space="preserve">Emitir comprobante de radicación con timestamp, número de radicación DIAN, y estado de recepción en tiempo real.</w:t>
      </w:r>
    </w:p>
    <w:p>
      <w:pPr>
        <w:pStyle w:val="Compact"/>
        <w:numPr>
          <w:ilvl w:val="0"/>
          <w:numId w:val="1014"/>
        </w:numPr>
      </w:pPr>
      <w:r>
        <w:rPr>
          <w:b/>
          <w:bCs/>
        </w:rPr>
        <w:t xml:space="preserve">Cumplimiento Normativo Técnico:</w:t>
      </w:r>
      <w:r>
        <w:t xml:space="preserve"> </w:t>
      </w:r>
      <w:r>
        <w:t xml:space="preserve">Mantener plataforma bajo estándares de seguridad (cifrado TLS 1.2+, autenticación Decreto 2364/2012), conforme auditorías DIAN periódicas.</w:t>
      </w:r>
    </w:p>
    <w:p>
      <w:pPr>
        <w:pStyle w:val="FirstParagraph"/>
      </w:pPr>
      <w:r>
        <w:t xml:space="preserve">6.2</w:t>
      </w:r>
      <w:r>
        <w:t xml:space="preserve"> </w:t>
      </w:r>
      <w:r>
        <w:rPr>
          <w:b/>
          <w:bCs/>
        </w:rPr>
        <w:t xml:space="preserve">Exoneraciones Expresas — Lo que NO Responde FACTUS:</w:t>
      </w:r>
    </w:p>
    <w:p>
      <w:pPr>
        <w:pStyle w:val="Compact"/>
        <w:numPr>
          <w:ilvl w:val="0"/>
          <w:numId w:val="1015"/>
        </w:numPr>
      </w:pPr>
      <w:r>
        <w:rPr>
          <w:b/>
          <w:bCs/>
        </w:rPr>
        <w:t xml:space="preserve">Validación de Contenido de Documentos:</w:t>
      </w:r>
      <w:r>
        <w:t xml:space="preserve"> </w:t>
      </w:r>
      <w:r>
        <w:t xml:space="preserve">Exactitud, completitud, veracidad, legalidad o conformidad tributaria de datos cargados en documentos. Cliente es único responsable de validar: razón social, NIT, datos de terceros, valores, impuestos, cálculos y cumplimiento de normas DIAN antes de emitir.</w:t>
      </w:r>
    </w:p>
    <w:p>
      <w:pPr>
        <w:pStyle w:val="Compact"/>
        <w:numPr>
          <w:ilvl w:val="0"/>
          <w:numId w:val="1015"/>
        </w:numPr>
      </w:pPr>
      <w:r>
        <w:rPr>
          <w:b/>
          <w:bCs/>
        </w:rPr>
        <w:t xml:space="preserve">Decisiones de Aceptación/Rechazo DIAN:</w:t>
      </w:r>
      <w:r>
        <w:t xml:space="preserve"> </w:t>
      </w:r>
      <w:r>
        <w:t xml:space="preserve">La aceptación, rechazo, cambio de estado, devolución o cualquier acción de plataforma DIAN sobre un documento depende exclusivamente de validaciones internas DIAN ajenas a FACTUS. Transmisión técnica correcta no garantiza aceptación DIAN.</w:t>
      </w:r>
    </w:p>
    <w:p>
      <w:pPr>
        <w:pStyle w:val="Compact"/>
        <w:numPr>
          <w:ilvl w:val="0"/>
          <w:numId w:val="1015"/>
        </w:numPr>
      </w:pPr>
      <w:r>
        <w:rPr>
          <w:b/>
          <w:bCs/>
        </w:rPr>
        <w:t xml:space="preserve">Cumplimiento Tributario del Cliente:</w:t>
      </w:r>
      <w:r>
        <w:t xml:space="preserve"> </w:t>
      </w:r>
      <w:r>
        <w:t xml:space="preserve">Obligaciones de declaración de impuestos (IVA, renta, retención, contribuciones), cargas de rangos de numeración, solicitudes de habilitación de actividades económicas, y procedimientos ante DIAN son responsabilidad exclusiva del Cliente.</w:t>
      </w:r>
    </w:p>
    <w:p>
      <w:pPr>
        <w:pStyle w:val="Compact"/>
        <w:numPr>
          <w:ilvl w:val="0"/>
          <w:numId w:val="1015"/>
        </w:numPr>
      </w:pPr>
      <w:r>
        <w:rPr>
          <w:b/>
          <w:bCs/>
        </w:rPr>
        <w:t xml:space="preserve">Cambios Normativos:</w:t>
      </w:r>
      <w:r>
        <w:t xml:space="preserve"> </w:t>
      </w:r>
      <w:r>
        <w:t xml:space="preserve">Modificaciones a formatos, requisitos técnicos, o políticas DIAN posteriores a la contratación. FACTUS adapta la plataforma a nuevas normas, pero retrasos en adaptación no son incumplimiento si se comunican oportunamente.</w:t>
      </w:r>
    </w:p>
    <w:p>
      <w:pPr>
        <w:pStyle w:val="Compact"/>
        <w:numPr>
          <w:ilvl w:val="0"/>
          <w:numId w:val="1015"/>
        </w:numPr>
      </w:pPr>
      <w:r>
        <w:rPr>
          <w:b/>
          <w:bCs/>
        </w:rPr>
        <w:t xml:space="preserve">Terceros Externos:</w:t>
      </w:r>
      <w:r>
        <w:t xml:space="preserve"> </w:t>
      </w:r>
      <w:r>
        <w:t xml:space="preserve">Actuación, negligencia o incumplimiento de autoridades (DIAN, Superintendencia Financiera), proveedores de certificación digital, operadores de telecomunicaciones, entidades financieras, o plataformas DIAN.</w:t>
      </w:r>
    </w:p>
    <w:p>
      <w:pPr>
        <w:pStyle w:val="Compact"/>
        <w:numPr>
          <w:ilvl w:val="0"/>
          <w:numId w:val="1015"/>
        </w:numPr>
      </w:pPr>
      <w:r>
        <w:rPr>
          <w:b/>
          <w:bCs/>
        </w:rPr>
        <w:t xml:space="preserve">Eventos de Fuerza Mayor:</w:t>
      </w:r>
      <w:r>
        <w:t xml:space="preserve"> </w:t>
      </w:r>
      <w:r>
        <w:t xml:space="preserve">Desastres naturales, conflictos armados, epidemias, ataques terroristas, cortes de energía o telecomunicaciones en zona geográfica que no sea responsabilidad de FACTUS.</w:t>
      </w:r>
    </w:p>
    <w:p>
      <w:pPr>
        <w:pStyle w:val="Compact"/>
        <w:numPr>
          <w:ilvl w:val="0"/>
          <w:numId w:val="1015"/>
        </w:numPr>
      </w:pPr>
      <w:r>
        <w:rPr>
          <w:b/>
          <w:bCs/>
        </w:rPr>
        <w:t xml:space="preserve">Daño Emergente, Lucro Cesante y Daños Indirectos:</w:t>
      </w:r>
      <w:r>
        <w:t xml:space="preserve"> </w:t>
      </w:r>
      <w:r>
        <w:t xml:space="preserve">Bajo ninguna circunstancia FACTUS indemniza pérdidas de ingresos, clientes, oportunidades comerciales, multas tributarias impuestas por DIAN, sanciones administrativas, intereses de mora, o reclamaciones de terceros derivadas de incumplimiento tributario del Cliente.</w:t>
      </w:r>
    </w:p>
    <w:p>
      <w:pPr>
        <w:pStyle w:val="FirstParagraph"/>
      </w:pPr>
      <w:r>
        <w:t xml:space="preserve">6.3</w:t>
      </w:r>
      <w:r>
        <w:t xml:space="preserve"> </w:t>
      </w:r>
      <w:r>
        <w:rPr>
          <w:b/>
          <w:bCs/>
        </w:rPr>
        <w:t xml:space="preserve">Límite Cuantitativo de Responsabilidad:</w:t>
      </w:r>
      <w:r>
        <w:t xml:space="preserve"> </w:t>
      </w:r>
      <w:r>
        <w:t xml:space="preserve">En el evento de incumplimiento demostrado de FACTUS que cause daño material verificable al Cliente, la obligación de indemnización se limita</w:t>
      </w:r>
      <w:r>
        <w:t xml:space="preserve"> </w:t>
      </w:r>
      <w:r>
        <w:rPr>
          <w:b/>
          <w:bCs/>
        </w:rPr>
        <w:t xml:space="preserve">estrictamente</w:t>
      </w:r>
      <w:r>
        <w:t xml:space="preserve"> </w:t>
      </w:r>
      <w:r>
        <w:t xml:space="preserve">a</w:t>
      </w:r>
      <w:r>
        <w:t xml:space="preserve"> </w:t>
      </w:r>
      <w:r>
        <w:rPr>
          <w:b/>
          <w:bCs/>
        </w:rPr>
        <w:t xml:space="preserve">un (1) mes del valor del servicio contratado</w:t>
      </w:r>
      <w:r>
        <w:t xml:space="preserve">, sin que en caso alguno la suma total de indemnidades pueda exceder este monto durante la vigencia del Contrato.</w:t>
      </w:r>
    </w:p>
    <w:p>
      <w:pPr>
        <w:pStyle w:val="BodyText"/>
      </w:pPr>
      <w:r>
        <w:t xml:space="preserve">6.4</w:t>
      </w:r>
      <w:r>
        <w:t xml:space="preserve"> </w:t>
      </w:r>
      <w:r>
        <w:rPr>
          <w:b/>
          <w:bCs/>
        </w:rPr>
        <w:t xml:space="preserve">Entrega</w:t>
      </w:r>
      <w:r>
        <w:rPr>
          <w:b/>
          <w:bCs/>
        </w:rPr>
        <w:t xml:space="preserve"> </w:t>
      </w:r>
      <w:r>
        <w:rPr>
          <w:b/>
          <w:bCs/>
        </w:rPr>
        <w:t xml:space="preserve">“Tal Cual”</w:t>
      </w:r>
      <w:r>
        <w:rPr>
          <w:b/>
          <w:bCs/>
        </w:rPr>
        <w:t xml:space="preserve"> </w:t>
      </w:r>
      <w:r>
        <w:rPr>
          <w:b/>
          <w:bCs/>
        </w:rPr>
        <w:t xml:space="preserve">(As-Is):</w:t>
      </w:r>
      <w:r>
        <w:t xml:space="preserve"> </w:t>
      </w:r>
      <w:r>
        <w:t xml:space="preserve">La plataforma se proporciona en estado operacional actual (</w:t>
      </w:r>
      <w:r>
        <w:t xml:space="preserve">“as-is”</w:t>
      </w:r>
      <w:r>
        <w:t xml:space="preserve">), con capacidades y limitaciones técnicas presentes al momento de contratación. FACTUS no garantiza plataforma libre de errores, pero se compromete a identificar y corregir defectos conforme prioridades SLA (sección 4.2). Mejoras y nuevas funcionalidades son iniciativas discrecionales de FACTUS, no obligaciones contractuales.</w:t>
      </w:r>
    </w:p>
    <w:p>
      <w:r>
        <w:pict>
          <v:rect style="width:0;height:1.5pt" o:hralign="center" o:hrstd="t" o:hr="t"/>
        </w:pict>
      </w:r>
    </w:p>
    <w:bookmarkEnd w:id="920"/>
    <w:bookmarkStart w:id="921" w:name="protección-de-datos-personales"/>
    <w:p>
      <w:pPr>
        <w:pStyle w:val="Heading1"/>
      </w:pPr>
      <w:r>
        <w:t xml:space="preserve">7. Protección de Datos Personales</w:t>
      </w:r>
    </w:p>
    <w:p>
      <w:pPr>
        <w:pStyle w:val="FirstParagraph"/>
      </w:pPr>
      <w:r>
        <w:t xml:space="preserve">7.1</w:t>
      </w:r>
      <w:r>
        <w:t xml:space="preserve"> </w:t>
      </w:r>
      <w:r>
        <w:rPr>
          <w:b/>
          <w:bCs/>
        </w:rPr>
        <w:t xml:space="preserve">Datos que FACTUS Recibe:</w:t>
      </w:r>
    </w:p>
    <w:p>
      <w:pPr>
        <w:pStyle w:val="Compact"/>
        <w:numPr>
          <w:ilvl w:val="0"/>
          <w:numId w:val="1016"/>
        </w:numPr>
      </w:pPr>
      <w:r>
        <w:t xml:space="preserve">Información tributaria (NIT, razón social, dirección fiscal).</w:t>
      </w:r>
    </w:p>
    <w:p>
      <w:pPr>
        <w:pStyle w:val="Compact"/>
        <w:numPr>
          <w:ilvl w:val="0"/>
          <w:numId w:val="1016"/>
        </w:numPr>
      </w:pPr>
      <w:r>
        <w:t xml:space="preserve">Datos de contacto (email, teléfono).</w:t>
      </w:r>
    </w:p>
    <w:p>
      <w:pPr>
        <w:pStyle w:val="Compact"/>
        <w:numPr>
          <w:ilvl w:val="0"/>
          <w:numId w:val="1016"/>
        </w:numPr>
      </w:pPr>
      <w:r>
        <w:t xml:space="preserve">Datos de clientes/proveedores que incluyes en documentos (nombre, ID, dirección).</w:t>
      </w:r>
    </w:p>
    <w:p>
      <w:pPr>
        <w:pStyle w:val="FirstParagraph"/>
      </w:pPr>
      <w:r>
        <w:t xml:space="preserve">7.2</w:t>
      </w:r>
      <w:r>
        <w:t xml:space="preserve"> </w:t>
      </w:r>
      <w:r>
        <w:rPr>
          <w:b/>
          <w:bCs/>
        </w:rPr>
        <w:t xml:space="preserve">Cumplimiento Normativo:</w:t>
      </w:r>
    </w:p>
    <w:p>
      <w:pPr>
        <w:pStyle w:val="Compact"/>
        <w:numPr>
          <w:ilvl w:val="0"/>
          <w:numId w:val="1017"/>
        </w:numPr>
      </w:pPr>
      <w:r>
        <w:t xml:space="preserve">FACTUS cumple Ley 1581 de 2012 (Protección de Datos Personales) y Decreto 1377 de 2013.</w:t>
      </w:r>
    </w:p>
    <w:p>
      <w:pPr>
        <w:pStyle w:val="Compact"/>
        <w:numPr>
          <w:ilvl w:val="0"/>
          <w:numId w:val="1017"/>
        </w:numPr>
      </w:pPr>
      <w:r>
        <w:t xml:space="preserve">Datos se tratan exclusivamente para:</w:t>
      </w:r>
    </w:p>
    <w:p>
      <w:pPr>
        <w:pStyle w:val="Compact"/>
        <w:numPr>
          <w:ilvl w:val="1"/>
          <w:numId w:val="1018"/>
        </w:numPr>
      </w:pPr>
      <w:r>
        <w:t xml:space="preserve">Emisión y radicación de documentos ante DIAN.</w:t>
      </w:r>
    </w:p>
    <w:p>
      <w:pPr>
        <w:pStyle w:val="Compact"/>
        <w:numPr>
          <w:ilvl w:val="1"/>
          <w:numId w:val="1018"/>
        </w:numPr>
      </w:pPr>
      <w:r>
        <w:t xml:space="preserve">Gestión técnica de la plataforma.</w:t>
      </w:r>
    </w:p>
    <w:p>
      <w:pPr>
        <w:pStyle w:val="Compact"/>
        <w:numPr>
          <w:ilvl w:val="1"/>
          <w:numId w:val="1018"/>
        </w:numPr>
      </w:pPr>
      <w:r>
        <w:t xml:space="preserve">Cumplimiento de obligaciones legales.</w:t>
      </w:r>
    </w:p>
    <w:p>
      <w:pPr>
        <w:pStyle w:val="FirstParagraph"/>
      </w:pPr>
      <w:r>
        <w:t xml:space="preserve">7.3</w:t>
      </w:r>
      <w:r>
        <w:t xml:space="preserve"> </w:t>
      </w:r>
      <w:r>
        <w:rPr>
          <w:b/>
          <w:bCs/>
        </w:rPr>
        <w:t xml:space="preserve">Retención de Datos:</w:t>
      </w:r>
    </w:p>
    <w:p>
      <w:pPr>
        <w:pStyle w:val="Compact"/>
        <w:numPr>
          <w:ilvl w:val="0"/>
          <w:numId w:val="1019"/>
        </w:numPr>
      </w:pPr>
      <w:r>
        <w:t xml:space="preserve">FACTUS retiene documentos y datos</w:t>
      </w:r>
      <w:r>
        <w:t xml:space="preserve"> </w:t>
      </w:r>
      <w:r>
        <w:rPr>
          <w:b/>
          <w:bCs/>
        </w:rPr>
        <w:t xml:space="preserve">5 años mínimo</w:t>
      </w:r>
      <w:r>
        <w:t xml:space="preserve"> </w:t>
      </w:r>
      <w:r>
        <w:t xml:space="preserve">(obligación DIAN).</w:t>
      </w:r>
    </w:p>
    <w:p>
      <w:pPr>
        <w:pStyle w:val="Compact"/>
        <w:numPr>
          <w:ilvl w:val="0"/>
          <w:numId w:val="1019"/>
        </w:numPr>
      </w:pPr>
      <w:r>
        <w:t xml:space="preserve">Después de 5 años, se destruyen de forma segura.</w:t>
      </w:r>
    </w:p>
    <w:p>
      <w:pPr>
        <w:pStyle w:val="Compact"/>
        <w:numPr>
          <w:ilvl w:val="0"/>
          <w:numId w:val="1019"/>
        </w:numPr>
      </w:pPr>
      <w:r>
        <w:t xml:space="preserve">Si cancelas servicio, datos se conservan 5 años; tienes 10 días para solicitarlos en copia.</w:t>
      </w:r>
    </w:p>
    <w:p>
      <w:pPr>
        <w:pStyle w:val="FirstParagraph"/>
      </w:pPr>
      <w:r>
        <w:t xml:space="preserve">7.4</w:t>
      </w:r>
      <w:r>
        <w:t xml:space="preserve"> </w:t>
      </w:r>
      <w:r>
        <w:rPr>
          <w:b/>
          <w:bCs/>
        </w:rPr>
        <w:t xml:space="preserve">Autorización de Datos de Terceros:</w:t>
      </w:r>
    </w:p>
    <w:p>
      <w:pPr>
        <w:pStyle w:val="Compact"/>
        <w:numPr>
          <w:ilvl w:val="0"/>
          <w:numId w:val="1020"/>
        </w:numPr>
      </w:pPr>
      <w:r>
        <w:t xml:space="preserve">Si incluyes datos de clientes/proveedores en documentos,</w:t>
      </w:r>
      <w:r>
        <w:t xml:space="preserve"> </w:t>
      </w:r>
      <w:r>
        <w:rPr>
          <w:b/>
          <w:bCs/>
        </w:rPr>
        <w:t xml:space="preserve">garantizas que tenías autorización de ellos</w:t>
      </w:r>
      <w:r>
        <w:t xml:space="preserve"> </w:t>
      </w:r>
      <w:r>
        <w:t xml:space="preserve">o que es información pública/tributaria.</w:t>
      </w:r>
    </w:p>
    <w:p>
      <w:pPr>
        <w:pStyle w:val="Compact"/>
        <w:numPr>
          <w:ilvl w:val="0"/>
          <w:numId w:val="1020"/>
        </w:numPr>
      </w:pPr>
      <w:r>
        <w:rPr>
          <w:b/>
          <w:bCs/>
        </w:rPr>
        <w:t xml:space="preserve">FACTUS no es responsable</w:t>
      </w:r>
      <w:r>
        <w:t xml:space="preserve"> </w:t>
      </w:r>
      <w:r>
        <w:t xml:space="preserve">si tu cliente declara después que no lo autorizaste. Eso es asunto tuyo con tu cliente.</w:t>
      </w:r>
    </w:p>
    <w:p>
      <w:pPr>
        <w:pStyle w:val="FirstParagraph"/>
      </w:pPr>
      <w:r>
        <w:t xml:space="preserve">7.5</w:t>
      </w:r>
      <w:r>
        <w:t xml:space="preserve"> </w:t>
      </w:r>
      <w:r>
        <w:rPr>
          <w:b/>
          <w:bCs/>
        </w:rPr>
        <w:t xml:space="preserve">Derechos de Titulares:</w:t>
      </w:r>
    </w:p>
    <w:p>
      <w:pPr>
        <w:pStyle w:val="Compact"/>
        <w:numPr>
          <w:ilvl w:val="0"/>
          <w:numId w:val="1021"/>
        </w:numPr>
      </w:pPr>
      <w:r>
        <w:t xml:space="preserve">Personas incluidas en documentos que radiques (clientes, proveedores) pueden solicitar rectificación o supresión conforme ley.</w:t>
      </w:r>
    </w:p>
    <w:p>
      <w:pPr>
        <w:pStyle w:val="Compact"/>
        <w:numPr>
          <w:ilvl w:val="0"/>
          <w:numId w:val="1021"/>
        </w:numPr>
      </w:pPr>
      <w:r>
        <w:t xml:space="preserve">Contactan a FACTUS; FACTUS las refiere a ti (Cliente), pues tú eres responsable de la información.</w:t>
      </w:r>
    </w:p>
    <w:p>
      <w:r>
        <w:pict>
          <v:rect style="width:0;height:1.5pt" o:hralign="center" o:hrstd="t" o:hr="t"/>
        </w:pict>
      </w:r>
    </w:p>
    <w:bookmarkEnd w:id="921"/>
    <w:bookmarkStart w:id="922" w:name="confidencialidad"/>
    <w:p>
      <w:pPr>
        <w:pStyle w:val="Heading1"/>
      </w:pPr>
      <w:r>
        <w:t xml:space="preserve">8. Confidencialidad</w:t>
      </w:r>
    </w:p>
    <w:p>
      <w:pPr>
        <w:pStyle w:val="FirstParagraph"/>
      </w:pPr>
      <w:r>
        <w:t xml:space="preserve">8.1</w:t>
      </w:r>
      <w:r>
        <w:t xml:space="preserve"> </w:t>
      </w:r>
      <w:r>
        <w:rPr>
          <w:b/>
          <w:bCs/>
        </w:rPr>
        <w:t xml:space="preserve">Información Tuya:</w:t>
      </w:r>
    </w:p>
    <w:p>
      <w:pPr>
        <w:pStyle w:val="Compact"/>
        <w:numPr>
          <w:ilvl w:val="0"/>
          <w:numId w:val="1022"/>
        </w:numPr>
      </w:pPr>
      <w:r>
        <w:t xml:space="preserve">FACTUS no comparte tu información con otros clientes ni con terceros (salvo obligación legal).</w:t>
      </w:r>
    </w:p>
    <w:p>
      <w:pPr>
        <w:pStyle w:val="Compact"/>
        <w:numPr>
          <w:ilvl w:val="0"/>
          <w:numId w:val="1022"/>
        </w:numPr>
      </w:pPr>
      <w:r>
        <w:t xml:space="preserve">FACTUS no vende tu data ni la usa para marketing sin tu consentimiento.</w:t>
      </w:r>
    </w:p>
    <w:p>
      <w:pPr>
        <w:pStyle w:val="FirstParagraph"/>
      </w:pPr>
      <w:r>
        <w:t xml:space="preserve">8.2</w:t>
      </w:r>
      <w:r>
        <w:t xml:space="preserve"> </w:t>
      </w:r>
      <w:r>
        <w:rPr>
          <w:b/>
          <w:bCs/>
        </w:rPr>
        <w:t xml:space="preserve">Información Confidencial:</w:t>
      </w:r>
    </w:p>
    <w:p>
      <w:pPr>
        <w:pStyle w:val="Compact"/>
        <w:numPr>
          <w:ilvl w:val="0"/>
          <w:numId w:val="1023"/>
        </w:numPr>
      </w:pPr>
      <w:r>
        <w:t xml:space="preserve">Términos comerciales de tu contrato: Confidenciales entre tú y FACTUS (o tu reseller).</w:t>
      </w:r>
    </w:p>
    <w:p>
      <w:pPr>
        <w:pStyle w:val="Compact"/>
        <w:numPr>
          <w:ilvl w:val="0"/>
          <w:numId w:val="1023"/>
        </w:numPr>
      </w:pPr>
      <w:r>
        <w:t xml:space="preserve">Documentos que radicas: Confidenciales en la plataforma; FACTUS solo los ve a nivel técnico.</w:t>
      </w:r>
    </w:p>
    <w:p>
      <w:pPr>
        <w:pStyle w:val="FirstParagraph"/>
      </w:pPr>
      <w:r>
        <w:t xml:space="preserve">8.3</w:t>
      </w:r>
      <w:r>
        <w:t xml:space="preserve"> </w:t>
      </w:r>
      <w:r>
        <w:rPr>
          <w:b/>
          <w:bCs/>
        </w:rPr>
        <w:t xml:space="preserve">Vigencia:</w:t>
      </w:r>
      <w:r>
        <w:t xml:space="preserve"> </w:t>
      </w:r>
      <w:r>
        <w:t xml:space="preserve">Obligación de confidencialidad sobrevive terminación del contrato por</w:t>
      </w:r>
      <w:r>
        <w:t xml:space="preserve"> </w:t>
      </w:r>
      <w:r>
        <w:rPr>
          <w:b/>
          <w:bCs/>
        </w:rPr>
        <w:t xml:space="preserve">2 años</w:t>
      </w:r>
      <w:r>
        <w:t xml:space="preserve">.</w:t>
      </w:r>
    </w:p>
    <w:p>
      <w:pPr>
        <w:pStyle w:val="BodyText"/>
      </w:pPr>
      <w:r>
        <w:t xml:space="preserve">8.4</w:t>
      </w:r>
      <w:r>
        <w:t xml:space="preserve"> </w:t>
      </w:r>
      <w:r>
        <w:rPr>
          <w:b/>
          <w:bCs/>
        </w:rPr>
        <w:t xml:space="preserve">Excepciones:</w:t>
      </w:r>
      <w:r>
        <w:t xml:space="preserve"> </w:t>
      </w:r>
      <w:r>
        <w:t xml:space="preserve">FACTUS puede revelar información si:</w:t>
      </w:r>
    </w:p>
    <w:p>
      <w:pPr>
        <w:pStyle w:val="Compact"/>
        <w:numPr>
          <w:ilvl w:val="0"/>
          <w:numId w:val="1024"/>
        </w:numPr>
      </w:pPr>
      <w:r>
        <w:t xml:space="preserve">Orden judicial lo ordena.</w:t>
      </w:r>
    </w:p>
    <w:p>
      <w:pPr>
        <w:pStyle w:val="Compact"/>
        <w:numPr>
          <w:ilvl w:val="0"/>
          <w:numId w:val="1024"/>
        </w:numPr>
      </w:pPr>
      <w:r>
        <w:t xml:space="preserve">Obligación legal lo requiere (ejemplo: solicitud DIAN en auditoría).</w:t>
      </w:r>
    </w:p>
    <w:p>
      <w:pPr>
        <w:pStyle w:val="Compact"/>
        <w:numPr>
          <w:ilvl w:val="0"/>
          <w:numId w:val="1024"/>
        </w:numPr>
      </w:pPr>
      <w:r>
        <w:t xml:space="preserve">Necesario para proteger seguridad de plataforma.</w:t>
      </w:r>
    </w:p>
    <w:p>
      <w:r>
        <w:pict>
          <v:rect style="width:0;height:1.5pt" o:hralign="center" o:hrstd="t" o:hr="t"/>
        </w:pict>
      </w:r>
    </w:p>
    <w:bookmarkEnd w:id="922"/>
    <w:bookmarkStart w:id="923" w:name="derecho-de-retracto"/>
    <w:p>
      <w:pPr>
        <w:pStyle w:val="Heading1"/>
      </w:pPr>
      <w:r>
        <w:t xml:space="preserve">9. Derecho de Retracto</w:t>
      </w:r>
    </w:p>
    <w:p>
      <w:pPr>
        <w:pStyle w:val="FirstParagraph"/>
      </w:pPr>
      <w:r>
        <w:t xml:space="preserve">9.1</w:t>
      </w:r>
      <w:r>
        <w:t xml:space="preserve"> </w:t>
      </w:r>
      <w:r>
        <w:rPr>
          <w:b/>
          <w:bCs/>
        </w:rPr>
        <w:t xml:space="preserve">Plazo:</w:t>
      </w:r>
      <w:r>
        <w:t xml:space="preserve"> </w:t>
      </w:r>
      <w:r>
        <w:t xml:space="preserve">El Cliente puede retractarse de este contrato dentro de</w:t>
      </w:r>
      <w:r>
        <w:t xml:space="preserve"> </w:t>
      </w:r>
      <w:r>
        <w:rPr>
          <w:b/>
          <w:bCs/>
        </w:rPr>
        <w:t xml:space="preserve">cinco (5) días calendario</w:t>
      </w:r>
      <w:r>
        <w:t xml:space="preserve"> </w:t>
      </w:r>
      <w:r>
        <w:t xml:space="preserve">contados desde la fecha de aceptación de estos TyC (firma electrónica).</w:t>
      </w:r>
    </w:p>
    <w:p>
      <w:pPr>
        <w:pStyle w:val="BodyText"/>
      </w:pPr>
      <w:r>
        <w:t xml:space="preserve">9.2</w:t>
      </w:r>
      <w:r>
        <w:t xml:space="preserve"> </w:t>
      </w:r>
      <w:r>
        <w:rPr>
          <w:b/>
          <w:bCs/>
        </w:rPr>
        <w:t xml:space="preserve">Condiciones:</w:t>
      </w:r>
    </w:p>
    <w:p>
      <w:pPr>
        <w:pStyle w:val="Compact"/>
        <w:numPr>
          <w:ilvl w:val="0"/>
          <w:numId w:val="1025"/>
        </w:numPr>
      </w:pPr>
      <w:r>
        <w:t xml:space="preserve">Retracto NO aplica si ya has emitido documentos electrónicos en la plataforma.</w:t>
      </w:r>
    </w:p>
    <w:p>
      <w:pPr>
        <w:pStyle w:val="Compact"/>
        <w:numPr>
          <w:ilvl w:val="0"/>
          <w:numId w:val="1025"/>
        </w:numPr>
      </w:pPr>
      <w:r>
        <w:t xml:space="preserve">Si emitiste aunque sea 1 documento, servicio está consumido y no hay retracto.</w:t>
      </w:r>
    </w:p>
    <w:p>
      <w:pPr>
        <w:pStyle w:val="Compact"/>
        <w:numPr>
          <w:ilvl w:val="0"/>
          <w:numId w:val="1025"/>
        </w:numPr>
      </w:pPr>
      <w:r>
        <w:t xml:space="preserve">Retracto SÍ aplica si solo accediste a plataforma pero no emitiste nada.</w:t>
      </w:r>
    </w:p>
    <w:p>
      <w:pPr>
        <w:pStyle w:val="FirstParagraph"/>
      </w:pPr>
      <w:r>
        <w:t xml:space="preserve">9.3</w:t>
      </w:r>
      <w:r>
        <w:t xml:space="preserve"> </w:t>
      </w:r>
      <w:r>
        <w:rPr>
          <w:b/>
          <w:bCs/>
        </w:rPr>
        <w:t xml:space="preserve">Procedimiento:</w:t>
      </w:r>
    </w:p>
    <w:p>
      <w:pPr>
        <w:pStyle w:val="Compact"/>
        <w:numPr>
          <w:ilvl w:val="0"/>
          <w:numId w:val="1026"/>
        </w:numPr>
      </w:pPr>
      <w:r>
        <w:t xml:space="preserve">Cliente envía comunicación escrita indicando:</w:t>
      </w:r>
      <w:r>
        <w:t xml:space="preserve"> </w:t>
      </w:r>
      <w:r>
        <w:t xml:space="preserve">“Me retracto conforme TyC sección 9.”</w:t>
      </w:r>
    </w:p>
    <w:p>
      <w:pPr>
        <w:pStyle w:val="Compact"/>
        <w:numPr>
          <w:ilvl w:val="0"/>
          <w:numId w:val="1026"/>
        </w:numPr>
      </w:pPr>
      <w:r>
        <w:t xml:space="preserve">Incluye: nombre, NIT, cuenta bancaria para reembolso.</w:t>
      </w:r>
    </w:p>
    <w:p>
      <w:pPr>
        <w:pStyle w:val="Compact"/>
        <w:numPr>
          <w:ilvl w:val="0"/>
          <w:numId w:val="1026"/>
        </w:numPr>
      </w:pPr>
      <w:r>
        <w:t xml:space="preserve">FACTUS responde dentro de 1 día hábil confirmando.</w:t>
      </w:r>
    </w:p>
    <w:p>
      <w:pPr>
        <w:pStyle w:val="Compact"/>
        <w:numPr>
          <w:ilvl w:val="0"/>
          <w:numId w:val="1026"/>
        </w:numPr>
      </w:pPr>
      <w:r>
        <w:t xml:space="preserve">Reembolso: Se procesa en máximo 10 días hábiles, descontando certificado digital (costo no recuperable).</w:t>
      </w:r>
    </w:p>
    <w:p>
      <w:pPr>
        <w:pStyle w:val="FirstParagraph"/>
      </w:pPr>
      <w:r>
        <w:t xml:space="preserve">9.4</w:t>
      </w:r>
      <w:r>
        <w:t xml:space="preserve"> </w:t>
      </w:r>
      <w:r>
        <w:rPr>
          <w:b/>
          <w:bCs/>
        </w:rPr>
        <w:t xml:space="preserve">Base Legal:</w:t>
      </w:r>
      <w:r>
        <w:t xml:space="preserve"> </w:t>
      </w:r>
      <w:r>
        <w:t xml:space="preserve">Ley 1480 de 2011 (Estatuto del Consumidor), art. 47-53; Ley 2439 de 2024 (reforma comercio electrónico).</w:t>
      </w:r>
    </w:p>
    <w:p>
      <w:r>
        <w:pict>
          <v:rect style="width:0;height:1.5pt" o:hralign="center" o:hrstd="t" o:hr="t"/>
        </w:pict>
      </w:r>
    </w:p>
    <w:bookmarkEnd w:id="923"/>
    <w:bookmarkStart w:id="924" w:name="terminación-de-servicio"/>
    <w:p>
      <w:pPr>
        <w:pStyle w:val="Heading1"/>
      </w:pPr>
      <w:r>
        <w:t xml:space="preserve">10. Terminación de Servicio</w:t>
      </w:r>
    </w:p>
    <w:p>
      <w:pPr>
        <w:pStyle w:val="FirstParagraph"/>
      </w:pPr>
      <w:r>
        <w:t xml:space="preserve">10.1</w:t>
      </w:r>
      <w:r>
        <w:t xml:space="preserve"> </w:t>
      </w:r>
      <w:r>
        <w:rPr>
          <w:b/>
          <w:bCs/>
        </w:rPr>
        <w:t xml:space="preserve">Por Solicitud del Cliente:</w:t>
      </w:r>
    </w:p>
    <w:p>
      <w:pPr>
        <w:pStyle w:val="Compact"/>
        <w:numPr>
          <w:ilvl w:val="0"/>
          <w:numId w:val="1027"/>
        </w:numPr>
      </w:pPr>
      <w:r>
        <w:t xml:space="preserve">Cliente puede terminar en cualquier momento, notificando con 30 días de anticipación.</w:t>
      </w:r>
    </w:p>
    <w:p>
      <w:pPr>
        <w:pStyle w:val="Compact"/>
        <w:numPr>
          <w:ilvl w:val="0"/>
          <w:numId w:val="1027"/>
        </w:numPr>
      </w:pPr>
      <w:r>
        <w:t xml:space="preserve">Se suspende acceso al terminar plazo; datos se retienen 5 años conforme ley.</w:t>
      </w:r>
    </w:p>
    <w:p>
      <w:pPr>
        <w:pStyle w:val="FirstParagraph"/>
      </w:pPr>
      <w:r>
        <w:t xml:space="preserve">10.2</w:t>
      </w:r>
      <w:r>
        <w:t xml:space="preserve"> </w:t>
      </w:r>
      <w:r>
        <w:rPr>
          <w:b/>
          <w:bCs/>
        </w:rPr>
        <w:t xml:space="preserve">Por Incumplimiento del Cliente:</w:t>
      </w:r>
    </w:p>
    <w:p>
      <w:pPr>
        <w:pStyle w:val="Compact"/>
        <w:numPr>
          <w:ilvl w:val="0"/>
          <w:numId w:val="1028"/>
        </w:numPr>
      </w:pPr>
      <w:r>
        <w:t xml:space="preserve">No pago de 30 días: FACTUS puede suspender acceso inmediatamente.</w:t>
      </w:r>
    </w:p>
    <w:p>
      <w:pPr>
        <w:pStyle w:val="Compact"/>
        <w:numPr>
          <w:ilvl w:val="0"/>
          <w:numId w:val="1028"/>
        </w:numPr>
      </w:pPr>
      <w:r>
        <w:t xml:space="preserve">Falta de pago de 60 días: FACTUS puede dar por terminado el servicio.</w:t>
      </w:r>
    </w:p>
    <w:p>
      <w:pPr>
        <w:pStyle w:val="Compact"/>
        <w:numPr>
          <w:ilvl w:val="0"/>
          <w:numId w:val="1028"/>
        </w:numPr>
      </w:pPr>
      <w:r>
        <w:t xml:space="preserve">Uso indebido (intentos de piratería, fines ilícitos, fraude tributario): Terminación inmediata.</w:t>
      </w:r>
    </w:p>
    <w:p>
      <w:pPr>
        <w:pStyle w:val="FirstParagraph"/>
      </w:pPr>
      <w:r>
        <w:t xml:space="preserve">10.3</w:t>
      </w:r>
      <w:r>
        <w:t xml:space="preserve"> </w:t>
      </w:r>
      <w:r>
        <w:rPr>
          <w:b/>
          <w:bCs/>
        </w:rPr>
        <w:t xml:space="preserve">Por Incumplimiento de FACTUS:</w:t>
      </w:r>
    </w:p>
    <w:p>
      <w:pPr>
        <w:pStyle w:val="Compact"/>
        <w:numPr>
          <w:ilvl w:val="0"/>
          <w:numId w:val="1029"/>
        </w:numPr>
      </w:pPr>
      <w:r>
        <w:t xml:space="preserve">Si indisponibilidad supera 20 días hábiles sin causa: Cliente puede terminar con 30 días de aviso.</w:t>
      </w:r>
    </w:p>
    <w:p>
      <w:pPr>
        <w:pStyle w:val="Compact"/>
        <w:numPr>
          <w:ilvl w:val="0"/>
          <w:numId w:val="1029"/>
        </w:numPr>
      </w:pPr>
      <w:r>
        <w:t xml:space="preserve">Si pérdida de datos: Cliente puede terminar inmediatamente.</w:t>
      </w:r>
    </w:p>
    <w:p>
      <w:pPr>
        <w:pStyle w:val="FirstParagraph"/>
      </w:pPr>
      <w:r>
        <w:t xml:space="preserve">10.4</w:t>
      </w:r>
      <w:r>
        <w:t xml:space="preserve"> </w:t>
      </w:r>
      <w:r>
        <w:rPr>
          <w:b/>
          <w:bCs/>
        </w:rPr>
        <w:t xml:space="preserve">Por Orden de Autoridad:</w:t>
      </w:r>
    </w:p>
    <w:p>
      <w:pPr>
        <w:pStyle w:val="Compact"/>
        <w:numPr>
          <w:ilvl w:val="0"/>
          <w:numId w:val="1030"/>
        </w:numPr>
      </w:pPr>
      <w:r>
        <w:t xml:space="preserve">Si DIAN u otro organismo ordena suspender servicios: Se suspenden sin mediación.</w:t>
      </w:r>
    </w:p>
    <w:p>
      <w:pPr>
        <w:pStyle w:val="FirstParagraph"/>
      </w:pPr>
      <w:r>
        <w:t xml:space="preserve">10.5</w:t>
      </w:r>
      <w:r>
        <w:t xml:space="preserve"> </w:t>
      </w:r>
      <w:r>
        <w:rPr>
          <w:b/>
          <w:bCs/>
        </w:rPr>
        <w:t xml:space="preserve">Consecuencias:</w:t>
      </w:r>
    </w:p>
    <w:p>
      <w:pPr>
        <w:pStyle w:val="Compact"/>
        <w:numPr>
          <w:ilvl w:val="0"/>
          <w:numId w:val="1031"/>
        </w:numPr>
      </w:pPr>
      <w:r>
        <w:t xml:space="preserve">Terminación = pérdida de acceso a plataforma.</w:t>
      </w:r>
    </w:p>
    <w:p>
      <w:pPr>
        <w:pStyle w:val="Compact"/>
        <w:numPr>
          <w:ilvl w:val="0"/>
          <w:numId w:val="1031"/>
        </w:numPr>
      </w:pPr>
      <w:r>
        <w:t xml:space="preserve">Documentos radicados permanecen en histórico DIAN; no se borran.</w:t>
      </w:r>
    </w:p>
    <w:p>
      <w:pPr>
        <w:pStyle w:val="Compact"/>
        <w:numPr>
          <w:ilvl w:val="0"/>
          <w:numId w:val="1031"/>
        </w:numPr>
      </w:pPr>
      <w:r>
        <w:t xml:space="preserve">Datos se retienen/destruyen conforme sección 7.</w:t>
      </w:r>
    </w:p>
    <w:p>
      <w:r>
        <w:pict>
          <v:rect style="width:0;height:1.5pt" o:hralign="center" o:hrstd="t" o:hr="t"/>
        </w:pict>
      </w:r>
    </w:p>
    <w:bookmarkEnd w:id="924"/>
    <w:bookmarkStart w:id="925" w:name="X69b3e9409cf1812275a0f6cdb6f7dd62bfa88e6"/>
    <w:p>
      <w:pPr>
        <w:pStyle w:val="Heading1"/>
      </w:pPr>
      <w:r>
        <w:t xml:space="preserve">11. Limitación de Responsabilidad y Exoneración</w:t>
      </w:r>
    </w:p>
    <w:p>
      <w:pPr>
        <w:pStyle w:val="FirstParagraph"/>
      </w:pPr>
      <w:r>
        <w:t xml:space="preserve">11.1</w:t>
      </w:r>
      <w:r>
        <w:t xml:space="preserve"> </w:t>
      </w:r>
      <w:r>
        <w:rPr>
          <w:b/>
          <w:bCs/>
        </w:rPr>
        <w:t xml:space="preserve">Exclusión de Daños Consecuenciales y Perjuicios Indirectos:</w:t>
      </w:r>
    </w:p>
    <w:p>
      <w:pPr>
        <w:pStyle w:val="BodyText"/>
      </w:pPr>
      <w:r>
        <w:rPr>
          <w:b/>
          <w:bCs/>
        </w:rPr>
        <w:t xml:space="preserve">FACTUS no es responsable bajo ninguna circunstancia por:</w:t>
      </w:r>
    </w:p>
    <w:p>
      <w:pPr>
        <w:pStyle w:val="Compact"/>
        <w:numPr>
          <w:ilvl w:val="0"/>
          <w:numId w:val="1032"/>
        </w:numPr>
      </w:pPr>
      <w:r>
        <w:t xml:space="preserve">Pérdida de beneficios, ingresos no obtenidos, o lucro cesante, independientemente de su causa.</w:t>
      </w:r>
    </w:p>
    <w:p>
      <w:pPr>
        <w:pStyle w:val="Compact"/>
        <w:numPr>
          <w:ilvl w:val="0"/>
          <w:numId w:val="1032"/>
        </w:numPr>
      </w:pPr>
      <w:r>
        <w:t xml:space="preserve">Pérdida, corrupción o inaccessibilidad de datos (excepto si incumplimiento comprobado del SLA de FACTUS persiste por período superior a 20 días hábiles y Cliente notificó por escrito).</w:t>
      </w:r>
    </w:p>
    <w:p>
      <w:pPr>
        <w:pStyle w:val="Compact"/>
        <w:numPr>
          <w:ilvl w:val="0"/>
          <w:numId w:val="1032"/>
        </w:numPr>
      </w:pPr>
      <w:r>
        <w:t xml:space="preserve">Interrupciones, suspensión o terminación de operaciones comerciales del Cliente.</w:t>
      </w:r>
    </w:p>
    <w:p>
      <w:pPr>
        <w:pStyle w:val="Compact"/>
        <w:numPr>
          <w:ilvl w:val="0"/>
          <w:numId w:val="1032"/>
        </w:numPr>
      </w:pPr>
      <w:r>
        <w:t xml:space="preserve">Daño reputacional o lesión de imagen comercial.</w:t>
      </w:r>
    </w:p>
    <w:p>
      <w:pPr>
        <w:pStyle w:val="Compact"/>
        <w:numPr>
          <w:ilvl w:val="0"/>
          <w:numId w:val="1032"/>
        </w:numPr>
      </w:pPr>
      <w:r>
        <w:t xml:space="preserve">Multas, sanciones, intereses de mora o costos de gestión de cobro impuestos por autoridades tributarias (DIAN) a causa de incumplimiento del Cliente.</w:t>
      </w:r>
    </w:p>
    <w:p>
      <w:pPr>
        <w:pStyle w:val="Compact"/>
        <w:numPr>
          <w:ilvl w:val="0"/>
          <w:numId w:val="1032"/>
        </w:numPr>
      </w:pPr>
      <w:r>
        <w:t xml:space="preserve">Reclamos, demandas o acciones de terceros (clientes, proveedores, competidores del Cliente) basadas en contenido de documentos emitidos.</w:t>
      </w:r>
    </w:p>
    <w:p>
      <w:pPr>
        <w:pStyle w:val="FirstParagraph"/>
      </w:pPr>
      <w:r>
        <w:t xml:space="preserve">11.2</w:t>
      </w:r>
      <w:r>
        <w:t xml:space="preserve"> </w:t>
      </w:r>
      <w:r>
        <w:rPr>
          <w:b/>
          <w:bCs/>
        </w:rPr>
        <w:t xml:space="preserve">Responsabilidad Exclusiva del Cliente por Contenido e Información:</w:t>
      </w:r>
    </w:p>
    <w:p>
      <w:pPr>
        <w:pStyle w:val="BodyText"/>
      </w:pPr>
      <w:r>
        <w:rPr>
          <w:b/>
          <w:bCs/>
        </w:rPr>
        <w:t xml:space="preserve">El Cliente asume responsabilidad total por:</w:t>
      </w:r>
    </w:p>
    <w:p>
      <w:pPr>
        <w:pStyle w:val="Compact"/>
        <w:numPr>
          <w:ilvl w:val="0"/>
          <w:numId w:val="1033"/>
        </w:numPr>
      </w:pPr>
      <w:r>
        <w:t xml:space="preserve">Exactitud, completitud y veracidad de información contenida en documentos emitidos (razón social, NIT, datos de terceros, valores, impuestos).</w:t>
      </w:r>
    </w:p>
    <w:p>
      <w:pPr>
        <w:pStyle w:val="Compact"/>
        <w:numPr>
          <w:ilvl w:val="0"/>
          <w:numId w:val="1033"/>
        </w:numPr>
      </w:pPr>
      <w:r>
        <w:t xml:space="preserve">Ilegalidad, falsedad, fraude, o incumplimiento tributario de documentos emitidos.</w:t>
      </w:r>
    </w:p>
    <w:p>
      <w:pPr>
        <w:pStyle w:val="Compact"/>
        <w:numPr>
          <w:ilvl w:val="0"/>
          <w:numId w:val="1033"/>
        </w:numPr>
      </w:pPr>
      <w:r>
        <w:t xml:space="preserve">Cumplimiento de todas las obligaciones tributarias ante DIAN: declaraciones, pagos, cargas de rangos, solicitudes de habilitación.</w:t>
      </w:r>
    </w:p>
    <w:p>
      <w:pPr>
        <w:pStyle w:val="Compact"/>
        <w:numPr>
          <w:ilvl w:val="0"/>
          <w:numId w:val="1033"/>
        </w:numPr>
      </w:pPr>
      <w:r>
        <w:t xml:space="preserve">Autorización previa y consentimiento informado para incluir datos de terceros en documentos.</w:t>
      </w:r>
    </w:p>
    <w:p>
      <w:pPr>
        <w:pStyle w:val="FirstParagraph"/>
      </w:pPr>
      <w:r>
        <w:t xml:space="preserve">Si la DIAN rechaza, devuelve, o modifica estado de documentos por causas atribuibles al Cliente (error en datos, falta de rangos, incumplimiento tributario),</w:t>
      </w:r>
      <w:r>
        <w:t xml:space="preserve"> </w:t>
      </w:r>
      <w:r>
        <w:rPr>
          <w:b/>
          <w:bCs/>
        </w:rPr>
        <w:t xml:space="preserve">FACTUS no es responsable</w:t>
      </w:r>
      <w:r>
        <w:t xml:space="preserve">. La responsabilidad por validación y corrección recae exclusivamente en el Cliente.</w:t>
      </w:r>
    </w:p>
    <w:p>
      <w:pPr>
        <w:pStyle w:val="BodyText"/>
      </w:pPr>
      <w:r>
        <w:t xml:space="preserve">11.3</w:t>
      </w:r>
      <w:r>
        <w:t xml:space="preserve"> </w:t>
      </w:r>
      <w:r>
        <w:rPr>
          <w:b/>
          <w:bCs/>
        </w:rPr>
        <w:t xml:space="preserve">Responsabilidad por Terceros — Resellers e Intermediarios:</w:t>
      </w:r>
    </w:p>
    <w:p>
      <w:pPr>
        <w:pStyle w:val="BodyText"/>
      </w:pPr>
      <w:r>
        <w:t xml:space="preserve">Si Cliente contrató acceso a través de una empresa reseller o intermediaria:</w:t>
      </w:r>
    </w:p>
    <w:p>
      <w:pPr>
        <w:pStyle w:val="Compact"/>
        <w:numPr>
          <w:ilvl w:val="0"/>
          <w:numId w:val="1034"/>
        </w:numPr>
      </w:pPr>
      <w:r>
        <w:t xml:space="preserve">FACTUS no es responsable por actuaciones, negligencia, incumplimiento comercial o técnico de reseller.</w:t>
      </w:r>
    </w:p>
    <w:p>
      <w:pPr>
        <w:pStyle w:val="Compact"/>
        <w:numPr>
          <w:ilvl w:val="0"/>
          <w:numId w:val="1034"/>
        </w:numPr>
      </w:pPr>
      <w:r>
        <w:t xml:space="preserve">Reclamaciones sobre soporte, términos comerciales, precios o calidad de atención deben dirigirse al reseller.</w:t>
      </w:r>
    </w:p>
    <w:p>
      <w:pPr>
        <w:pStyle w:val="Compact"/>
        <w:numPr>
          <w:ilvl w:val="0"/>
          <w:numId w:val="1034"/>
        </w:numPr>
      </w:pPr>
      <w:r>
        <w:t xml:space="preserve">FACTUS solo responde por fallas técnicas comprobadas de su plataforma; el reseller responde por su relación comercial con el Cliente.</w:t>
      </w:r>
    </w:p>
    <w:p>
      <w:pPr>
        <w:pStyle w:val="FirstParagraph"/>
      </w:pPr>
      <w:r>
        <w:t xml:space="preserve">Reclamos de Cliente contra terceros (clientes, proveedores, competidores) por contenido de documentos son responsabilidad exclusiva del Cliente; FACTUS no interviene ni es responsable.</w:t>
      </w:r>
    </w:p>
    <w:p>
      <w:pPr>
        <w:pStyle w:val="BodyText"/>
      </w:pPr>
      <w:r>
        <w:t xml:space="preserve">11.4</w:t>
      </w:r>
      <w:r>
        <w:t xml:space="preserve"> </w:t>
      </w:r>
      <w:r>
        <w:rPr>
          <w:b/>
          <w:bCs/>
        </w:rPr>
        <w:t xml:space="preserve">Fuerza Mayor:</w:t>
      </w:r>
    </w:p>
    <w:p>
      <w:pPr>
        <w:pStyle w:val="BodyText"/>
      </w:pPr>
      <w:r>
        <w:rPr>
          <w:b/>
          <w:bCs/>
        </w:rPr>
        <w:t xml:space="preserve">Eventos de fuerza mayor exoneran a FACTUS de responsabilidad:</w:t>
      </w:r>
    </w:p>
    <w:p>
      <w:pPr>
        <w:pStyle w:val="Compact"/>
        <w:numPr>
          <w:ilvl w:val="0"/>
          <w:numId w:val="1035"/>
        </w:numPr>
      </w:pPr>
      <w:r>
        <w:t xml:space="preserve">Ataques de denegación de servicio (DDoS) dirigidos a infraestructura DIAN o proveedores terceros.</w:t>
      </w:r>
    </w:p>
    <w:p>
      <w:pPr>
        <w:pStyle w:val="Compact"/>
        <w:numPr>
          <w:ilvl w:val="0"/>
          <w:numId w:val="1035"/>
        </w:numPr>
      </w:pPr>
      <w:r>
        <w:t xml:space="preserve">Caída, indisponibilidad o cambios en plataforma DIAN fuera del control de FACTUS.</w:t>
      </w:r>
    </w:p>
    <w:p>
      <w:pPr>
        <w:pStyle w:val="Compact"/>
        <w:numPr>
          <w:ilvl w:val="0"/>
          <w:numId w:val="1035"/>
        </w:numPr>
      </w:pPr>
      <w:r>
        <w:t xml:space="preserve">Cortes de electricidad, telecomunicaciones o internet en zonas donde se ubican servidores de FACTUS.</w:t>
      </w:r>
    </w:p>
    <w:p>
      <w:pPr>
        <w:pStyle w:val="Compact"/>
        <w:numPr>
          <w:ilvl w:val="0"/>
          <w:numId w:val="1035"/>
        </w:numPr>
      </w:pPr>
      <w:r>
        <w:t xml:space="preserve">Desastres naturales (terremotos, inundaciones, huracanes), conflictos armados, epidemias, o actos de terrorismo.</w:t>
      </w:r>
    </w:p>
    <w:p>
      <w:pPr>
        <w:pStyle w:val="Compact"/>
        <w:numPr>
          <w:ilvl w:val="0"/>
          <w:numId w:val="1035"/>
        </w:numPr>
      </w:pPr>
      <w:r>
        <w:t xml:space="preserve">Cambios normativos drásticos o prohibiciones legales de operación emitidas por autoridades competentes.</w:t>
      </w:r>
    </w:p>
    <w:p>
      <w:pPr>
        <w:pStyle w:val="FirstParagraph"/>
      </w:pPr>
      <w:r>
        <w:t xml:space="preserve">FACTUS notificará lo antes posible cualquier evento de fuerza mayor y trabajará en restauración; la notificación tardía no implica culpa, pero se comunicará con la brevedad viable.</w:t>
      </w:r>
    </w:p>
    <w:p>
      <w:r>
        <w:pict>
          <v:rect style="width:0;height:1.5pt" o:hralign="center" o:hrstd="t" o:hr="t"/>
        </w:pict>
      </w:r>
    </w:p>
    <w:bookmarkEnd w:id="925"/>
    <w:bookmarkStart w:id="926" w:name="cambios-en-tyc"/>
    <w:p>
      <w:pPr>
        <w:pStyle w:val="Heading1"/>
      </w:pPr>
      <w:r>
        <w:t xml:space="preserve">12. Cambios en TyC</w:t>
      </w:r>
    </w:p>
    <w:p>
      <w:pPr>
        <w:pStyle w:val="FirstParagraph"/>
      </w:pPr>
      <w:r>
        <w:t xml:space="preserve">12.1</w:t>
      </w:r>
      <w:r>
        <w:t xml:space="preserve"> </w:t>
      </w:r>
      <w:r>
        <w:rPr>
          <w:b/>
          <w:bCs/>
        </w:rPr>
        <w:t xml:space="preserve">Modificación de Términos:</w:t>
      </w:r>
    </w:p>
    <w:p>
      <w:pPr>
        <w:pStyle w:val="BodyText"/>
      </w:pPr>
      <w:r>
        <w:t xml:space="preserve">FACTUS se reserva derecho de cambiar estos TyC en cualquier momento.</w:t>
      </w:r>
    </w:p>
    <w:p>
      <w:pPr>
        <w:pStyle w:val="BodyText"/>
      </w:pPr>
      <w:r>
        <w:t xml:space="preserve">12.2</w:t>
      </w:r>
      <w:r>
        <w:t xml:space="preserve"> </w:t>
      </w:r>
      <w:r>
        <w:rPr>
          <w:b/>
          <w:bCs/>
        </w:rPr>
        <w:t xml:space="preserve">Notificación:</w:t>
      </w:r>
    </w:p>
    <w:p>
      <w:pPr>
        <w:pStyle w:val="Compact"/>
        <w:numPr>
          <w:ilvl w:val="0"/>
          <w:numId w:val="1036"/>
        </w:numPr>
      </w:pPr>
      <w:r>
        <w:t xml:space="preserve">Cambios menores: Publicados en la plataforma, considerados aceptados si sigues usando.</w:t>
      </w:r>
    </w:p>
    <w:p>
      <w:pPr>
        <w:pStyle w:val="Compact"/>
        <w:numPr>
          <w:ilvl w:val="0"/>
          <w:numId w:val="1036"/>
        </w:numPr>
      </w:pPr>
      <w:r>
        <w:t xml:space="preserve">Cambios mayores: FACTUS notifica por email 30 días antes. Si no aceptas, puedes terminar sin penalidad.</w:t>
      </w:r>
    </w:p>
    <w:p>
      <w:pPr>
        <w:pStyle w:val="FirstParagraph"/>
      </w:pPr>
      <w:r>
        <w:t xml:space="preserve">12.3</w:t>
      </w:r>
      <w:r>
        <w:t xml:space="preserve"> </w:t>
      </w:r>
      <w:r>
        <w:rPr>
          <w:b/>
          <w:bCs/>
        </w:rPr>
        <w:t xml:space="preserve">Continuación de Uso = Aceptación:</w:t>
      </w:r>
    </w:p>
    <w:p>
      <w:pPr>
        <w:pStyle w:val="BodyText"/>
      </w:pPr>
      <w:r>
        <w:t xml:space="preserve">Si después de notificación sigues usando plataforma, aceptas nuevos TyC.</w:t>
      </w:r>
    </w:p>
    <w:p>
      <w:r>
        <w:pict>
          <v:rect style="width:0;height:1.5pt" o:hralign="center" o:hrstd="t" o:hr="t"/>
        </w:pict>
      </w:r>
    </w:p>
    <w:bookmarkEnd w:id="926"/>
    <w:bookmarkStart w:id="927" w:name="X9a8c5ca311da87de04a2a710efda7a684bd6368"/>
    <w:p>
      <w:pPr>
        <w:pStyle w:val="Heading1"/>
      </w:pPr>
      <w:r>
        <w:t xml:space="preserve">13. Ley Aplicable y Solución de Controversias</w:t>
      </w:r>
    </w:p>
    <w:p>
      <w:pPr>
        <w:pStyle w:val="FirstParagraph"/>
      </w:pPr>
      <w:r>
        <w:t xml:space="preserve">13.1</w:t>
      </w:r>
      <w:r>
        <w:t xml:space="preserve"> </w:t>
      </w:r>
      <w:r>
        <w:rPr>
          <w:b/>
          <w:bCs/>
        </w:rPr>
        <w:t xml:space="preserve">Ley Aplicable:</w:t>
      </w:r>
    </w:p>
    <w:p>
      <w:pPr>
        <w:pStyle w:val="BodyText"/>
      </w:pPr>
      <w:r>
        <w:t xml:space="preserve">Estos TyC se rigen, interpretan y ejecutan conforme a las leyes sustantivas y procedimentales de la República de Colombia, en especial:</w:t>
      </w:r>
    </w:p>
    <w:p>
      <w:pPr>
        <w:pStyle w:val="Compact"/>
        <w:numPr>
          <w:ilvl w:val="0"/>
          <w:numId w:val="1037"/>
        </w:numPr>
      </w:pPr>
      <w:r>
        <w:rPr>
          <w:b/>
          <w:bCs/>
        </w:rPr>
        <w:t xml:space="preserve">Código Civil Colombiano</w:t>
      </w:r>
      <w:r>
        <w:t xml:space="preserve"> </w:t>
      </w:r>
      <w:r>
        <w:t xml:space="preserve">(obligaciones, contratos, responsabilidad civil).</w:t>
      </w:r>
    </w:p>
    <w:p>
      <w:pPr>
        <w:pStyle w:val="Compact"/>
        <w:numPr>
          <w:ilvl w:val="0"/>
          <w:numId w:val="1037"/>
        </w:numPr>
      </w:pPr>
      <w:r>
        <w:rPr>
          <w:b/>
          <w:bCs/>
        </w:rPr>
        <w:t xml:space="preserve">Código de Procedimiento Civil</w:t>
      </w:r>
      <w:r>
        <w:t xml:space="preserve"> </w:t>
      </w:r>
      <w:r>
        <w:t xml:space="preserve">(acciones, recursos procesales, términos).</w:t>
      </w:r>
    </w:p>
    <w:p>
      <w:pPr>
        <w:pStyle w:val="Compact"/>
        <w:numPr>
          <w:ilvl w:val="0"/>
          <w:numId w:val="1037"/>
        </w:numPr>
      </w:pPr>
      <w:r>
        <w:rPr>
          <w:b/>
          <w:bCs/>
        </w:rPr>
        <w:t xml:space="preserve">Estatuto Tributario y Resoluciones DIAN</w:t>
      </w:r>
      <w:r>
        <w:t xml:space="preserve"> </w:t>
      </w:r>
      <w:r>
        <w:t xml:space="preserve">(obligaciones tributarias, procedimientos ante autoridad fiscal).</w:t>
      </w:r>
    </w:p>
    <w:p>
      <w:pPr>
        <w:pStyle w:val="Compact"/>
        <w:numPr>
          <w:ilvl w:val="0"/>
          <w:numId w:val="1037"/>
        </w:numPr>
      </w:pPr>
      <w:r>
        <w:rPr>
          <w:b/>
          <w:bCs/>
        </w:rPr>
        <w:t xml:space="preserve">Ley 1480/2011</w:t>
      </w:r>
      <w:r>
        <w:t xml:space="preserve"> </w:t>
      </w:r>
      <w:r>
        <w:t xml:space="preserve">(Estatuto del Consumidor, derechos del consumidor, garantías limitadas, retracto).</w:t>
      </w:r>
    </w:p>
    <w:p>
      <w:pPr>
        <w:pStyle w:val="Compact"/>
        <w:numPr>
          <w:ilvl w:val="0"/>
          <w:numId w:val="1037"/>
        </w:numPr>
      </w:pPr>
      <w:r>
        <w:rPr>
          <w:b/>
          <w:bCs/>
        </w:rPr>
        <w:t xml:space="preserve">Ley 2439/2024</w:t>
      </w:r>
      <w:r>
        <w:t xml:space="preserve"> </w:t>
      </w:r>
      <w:r>
        <w:t xml:space="preserve">(reforma de comercio electrónico, derechos en compra de servicios digitales).</w:t>
      </w:r>
    </w:p>
    <w:p>
      <w:pPr>
        <w:pStyle w:val="Compact"/>
        <w:numPr>
          <w:ilvl w:val="0"/>
          <w:numId w:val="1037"/>
        </w:numPr>
      </w:pPr>
      <w:r>
        <w:rPr>
          <w:b/>
          <w:bCs/>
        </w:rPr>
        <w:t xml:space="preserve">Ley 1581/2012 y Decreto 1377/2013</w:t>
      </w:r>
      <w:r>
        <w:t xml:space="preserve"> </w:t>
      </w:r>
      <w:r>
        <w:t xml:space="preserve">(protección de datos personales).</w:t>
      </w:r>
    </w:p>
    <w:p>
      <w:pPr>
        <w:pStyle w:val="Compact"/>
        <w:numPr>
          <w:ilvl w:val="0"/>
          <w:numId w:val="1037"/>
        </w:numPr>
      </w:pPr>
      <w:r>
        <w:rPr>
          <w:b/>
          <w:bCs/>
        </w:rPr>
        <w:t xml:space="preserve">Ley 1960/2019</w:t>
      </w:r>
      <w:r>
        <w:t xml:space="preserve"> </w:t>
      </w:r>
      <w:r>
        <w:t xml:space="preserve">(prevención de lavado de activos).</w:t>
      </w:r>
    </w:p>
    <w:p>
      <w:pPr>
        <w:pStyle w:val="Compact"/>
        <w:numPr>
          <w:ilvl w:val="0"/>
          <w:numId w:val="1037"/>
        </w:numPr>
      </w:pPr>
      <w:r>
        <w:rPr>
          <w:b/>
          <w:bCs/>
        </w:rPr>
        <w:t xml:space="preserve">Ley 527/1999 y Decreto 2364/2012</w:t>
      </w:r>
      <w:r>
        <w:t xml:space="preserve"> </w:t>
      </w:r>
      <w:r>
        <w:t xml:space="preserve">(firma electrónica, validez legal de transacciones electrónicas).</w:t>
      </w:r>
    </w:p>
    <w:p>
      <w:pPr>
        <w:pStyle w:val="FirstParagraph"/>
      </w:pPr>
      <w:r>
        <w:t xml:space="preserve">13.2</w:t>
      </w:r>
      <w:r>
        <w:t xml:space="preserve"> </w:t>
      </w:r>
      <w:r>
        <w:rPr>
          <w:b/>
          <w:bCs/>
        </w:rPr>
        <w:t xml:space="preserve">Procedimiento Escalonado de Resolución:</w:t>
      </w:r>
    </w:p>
    <w:p>
      <w:pPr>
        <w:numPr>
          <w:ilvl w:val="0"/>
          <w:numId w:val="1038"/>
        </w:numPr>
      </w:pPr>
      <w:r>
        <w:rPr>
          <w:b/>
          <w:bCs/>
        </w:rPr>
        <w:t xml:space="preserve">(a) Gestión Directa:</w:t>
      </w:r>
      <w:r>
        <w:t xml:space="preserve"> </w:t>
      </w:r>
      <w:r>
        <w:t xml:space="preserve">Cualquier controversia, reclamo o disputa será comunicada por escrito a FACTUS en máximo 10 días calendario desde el evento que la origina. Las partes dialogarán directamente para resolución expedita durante 10 días calendario subsecuentes.</w:t>
      </w:r>
    </w:p>
    <w:p>
      <w:pPr>
        <w:numPr>
          <w:ilvl w:val="0"/>
          <w:numId w:val="1038"/>
        </w:numPr>
      </w:pPr>
      <w:r>
        <w:rPr>
          <w:b/>
          <w:bCs/>
        </w:rPr>
        <w:t xml:space="preserve">(b) Mediación Conciliatoria:</w:t>
      </w:r>
      <w:r>
        <w:t xml:space="preserve"> </w:t>
      </w:r>
      <w:r>
        <w:t xml:space="preserve">Si diálogo no produce acuerdo, Cliente podrá activar proceso de mediación ante Centro de Conciliación de la Cámara de Comercio competente según domicilio del Cliente. Las partes designan mediador dentro de 5 días hábiles e intentan acuerdo en máximo 20 días hábiles.</w:t>
      </w:r>
    </w:p>
    <w:p>
      <w:pPr>
        <w:numPr>
          <w:ilvl w:val="0"/>
          <w:numId w:val="1038"/>
        </w:numPr>
      </w:pPr>
      <w:r>
        <w:rPr>
          <w:b/>
          <w:bCs/>
        </w:rPr>
        <w:t xml:space="preserve">(c) Jurisdicción Ordinaria:</w:t>
      </w:r>
      <w:r>
        <w:t xml:space="preserve"> </w:t>
      </w:r>
      <w:r>
        <w:t xml:space="preserve">Si gestión directa y mediación no producen resultado, Cliente puede ejercer acciones ante juzgados civiles del circuito de su domicilio. Se excluye expresamente arbitraje. Cualquiera de las partes puede ejercer acciones de cobro, nulidad, responsabilidad civil o reparación conforme procesos ordinarios civiles.</w:t>
      </w:r>
    </w:p>
    <w:p>
      <w:pPr>
        <w:pStyle w:val="FirstParagraph"/>
      </w:pPr>
      <w:r>
        <w:t xml:space="preserve">13.3</w:t>
      </w:r>
      <w:r>
        <w:t xml:space="preserve"> </w:t>
      </w:r>
      <w:r>
        <w:rPr>
          <w:b/>
          <w:bCs/>
        </w:rPr>
        <w:t xml:space="preserve">Cálculo de Términos:</w:t>
      </w:r>
      <w:r>
        <w:t xml:space="preserve"> </w:t>
      </w:r>
      <w:r>
        <w:t xml:space="preserve">Todos los plazos mencionados en estos TyC se cuentan en días calendario, excepto cuando se especifique expresamente</w:t>
      </w:r>
      <w:r>
        <w:t xml:space="preserve"> </w:t>
      </w:r>
      <w:r>
        <w:t xml:space="preserve">“días hábiles”</w:t>
      </w:r>
      <w:r>
        <w:t xml:space="preserve"> </w:t>
      </w:r>
      <w:r>
        <w:t xml:space="preserve">(excluyendo sábados, domingos y festivos colombianos). Si vencimiento cae en festivo o día no hábil, se traslada al siguiente día hábil.</w:t>
      </w:r>
    </w:p>
    <w:p>
      <w:r>
        <w:pict>
          <v:rect style="width:0;height:1.5pt" o:hralign="center" o:hrstd="t" o:hr="t"/>
        </w:pict>
      </w:r>
    </w:p>
    <w:bookmarkEnd w:id="927"/>
    <w:bookmarkStart w:id="928" w:name="X0f83b8b54a6d7668479ce34ae52c0e8aea4d27a"/>
    <w:p>
      <w:pPr>
        <w:pStyle w:val="Heading1"/>
      </w:pPr>
      <w:r>
        <w:t xml:space="preserve">14. Seguridad de Cuenta y Responsabilidad del Cliente</w:t>
      </w:r>
    </w:p>
    <w:p>
      <w:pPr>
        <w:pStyle w:val="FirstParagraph"/>
      </w:pPr>
      <w:r>
        <w:t xml:space="preserve">14.1</w:t>
      </w:r>
      <w:r>
        <w:t xml:space="preserve"> </w:t>
      </w:r>
      <w:r>
        <w:rPr>
          <w:b/>
          <w:bCs/>
        </w:rPr>
        <w:t xml:space="preserve">Obligaciones de Seguridad del Cliente:</w:t>
      </w:r>
    </w:p>
    <w:p>
      <w:pPr>
        <w:pStyle w:val="BodyText"/>
      </w:pPr>
      <w:r>
        <w:t xml:space="preserve">El Cliente se obliga a:</w:t>
      </w:r>
    </w:p>
    <w:p>
      <w:pPr>
        <w:pStyle w:val="Compact"/>
        <w:numPr>
          <w:ilvl w:val="0"/>
          <w:numId w:val="1039"/>
        </w:numPr>
      </w:pPr>
      <w:r>
        <w:rPr>
          <w:b/>
          <w:bCs/>
        </w:rPr>
        <w:t xml:space="preserve">Contraseña Segura:</w:t>
      </w:r>
      <w:r>
        <w:t xml:space="preserve"> </w:t>
      </w:r>
      <w:r>
        <w:t xml:space="preserve">Establecer contraseña que cumpla requisitos de complejidad (mínimo 8 caracteres, combinación de mayúsculas, minúsculas, números, caracteres especiales) y cambiarla periódicamente (mínimo cada 90 días).</w:t>
      </w:r>
    </w:p>
    <w:p>
      <w:pPr>
        <w:pStyle w:val="Compact"/>
        <w:numPr>
          <w:ilvl w:val="0"/>
          <w:numId w:val="1039"/>
        </w:numPr>
      </w:pPr>
      <w:r>
        <w:rPr>
          <w:b/>
          <w:bCs/>
        </w:rPr>
        <w:t xml:space="preserve">Confidencialidad de Credenciales:</w:t>
      </w:r>
      <w:r>
        <w:t xml:space="preserve"> </w:t>
      </w:r>
      <w:r>
        <w:t xml:space="preserve">No compartir, revelar, o permitir acceso a terceros de usuario, contraseña, códigos de autenticación de dos factores, o cualquier mecanismo de acceso a la cuenta.</w:t>
      </w:r>
    </w:p>
    <w:p>
      <w:pPr>
        <w:pStyle w:val="Compact"/>
        <w:numPr>
          <w:ilvl w:val="0"/>
          <w:numId w:val="1039"/>
        </w:numPr>
      </w:pPr>
      <w:r>
        <w:rPr>
          <w:b/>
          <w:bCs/>
        </w:rPr>
        <w:t xml:space="preserve">Reporte Inmediato de Acceso Sospechoso:</w:t>
      </w:r>
      <w:r>
        <w:t xml:space="preserve"> </w:t>
      </w:r>
      <w:r>
        <w:t xml:space="preserve">Notificar a FACTUS dentro de 24 horas si detecta acceso no autorizado, cambios no solicitados en configuración, o actividad inusual en su cuenta.</w:t>
      </w:r>
    </w:p>
    <w:p>
      <w:pPr>
        <w:pStyle w:val="Compact"/>
        <w:numPr>
          <w:ilvl w:val="0"/>
          <w:numId w:val="1039"/>
        </w:numPr>
      </w:pPr>
      <w:r>
        <w:rPr>
          <w:b/>
          <w:bCs/>
        </w:rPr>
        <w:t xml:space="preserve">Conexiones Seguras:</w:t>
      </w:r>
      <w:r>
        <w:t xml:space="preserve"> </w:t>
      </w:r>
      <w:r>
        <w:t xml:space="preserve">No acceder a la plataforma desde redes públicas o no seguras sin uso de VPN (Red Privada Virtual) que cifre transmisión de datos.</w:t>
      </w:r>
    </w:p>
    <w:p>
      <w:pPr>
        <w:pStyle w:val="Compact"/>
        <w:numPr>
          <w:ilvl w:val="0"/>
          <w:numId w:val="1039"/>
        </w:numPr>
      </w:pPr>
      <w:r>
        <w:rPr>
          <w:b/>
          <w:bCs/>
        </w:rPr>
        <w:t xml:space="preserve">Protección de Dispositivos:</w:t>
      </w:r>
      <w:r>
        <w:t xml:space="preserve"> </w:t>
      </w:r>
      <w:r>
        <w:t xml:space="preserve">Mantener dispositivos de acceso (computador, teléfono, tablet) protegidos con antivirus, firewall, y software de seguridad actualizado.</w:t>
      </w:r>
    </w:p>
    <w:p>
      <w:pPr>
        <w:pStyle w:val="FirstParagraph"/>
      </w:pPr>
      <w:r>
        <w:t xml:space="preserve">14.2</w:t>
      </w:r>
      <w:r>
        <w:t xml:space="preserve"> </w:t>
      </w:r>
      <w:r>
        <w:rPr>
          <w:b/>
          <w:bCs/>
        </w:rPr>
        <w:t xml:space="preserve">Responsabilidad por Actividad en Cuenta:</w:t>
      </w:r>
    </w:p>
    <w:p>
      <w:pPr>
        <w:pStyle w:val="BodyText"/>
      </w:pPr>
      <w:r>
        <w:rPr>
          <w:b/>
          <w:bCs/>
        </w:rPr>
        <w:t xml:space="preserve">El Cliente es responsable de toda actividad en su cuenta</w:t>
      </w:r>
      <w:r>
        <w:t xml:space="preserve">, incluyendo emisiones, consultas, descargas y cambios, independientemente de quién físicamente ejecutó la acción. Esto incluye:</w:t>
      </w:r>
    </w:p>
    <w:p>
      <w:pPr>
        <w:pStyle w:val="Compact"/>
        <w:numPr>
          <w:ilvl w:val="0"/>
          <w:numId w:val="1040"/>
        </w:numPr>
      </w:pPr>
      <w:r>
        <w:t xml:space="preserve">Actividades realizadas por empleados, contratistas, terceros autorizados, o personas que accedieron a credenciales del Cliente.</w:t>
      </w:r>
    </w:p>
    <w:p>
      <w:pPr>
        <w:pStyle w:val="Compact"/>
        <w:numPr>
          <w:ilvl w:val="0"/>
          <w:numId w:val="1040"/>
        </w:numPr>
      </w:pPr>
      <w:r>
        <w:t xml:space="preserve">Cambios no autorizados realizados por atacantes si Cliente no implementó medidas de seguridad razonables (contraseña débil, credenciales compartidas, falta de reporte de acceso sospechoso).</w:t>
      </w:r>
    </w:p>
    <w:p>
      <w:pPr>
        <w:pStyle w:val="FirstParagraph"/>
      </w:pPr>
      <w:r>
        <w:t xml:space="preserve">FACTUS no es responsable por actividades no autorizadas; la responsabilidad por seguridad de credenciales es</w:t>
      </w:r>
      <w:r>
        <w:t xml:space="preserve"> </w:t>
      </w:r>
      <w:r>
        <w:rPr>
          <w:b/>
          <w:bCs/>
        </w:rPr>
        <w:t xml:space="preserve">exclusivamente del Cliente</w:t>
      </w:r>
      <w:r>
        <w:t xml:space="preserve">.</w:t>
      </w:r>
    </w:p>
    <w:p>
      <w:pPr>
        <w:pStyle w:val="BodyText"/>
      </w:pPr>
      <w:r>
        <w:t xml:space="preserve">14.3</w:t>
      </w:r>
      <w:r>
        <w:t xml:space="preserve"> </w:t>
      </w:r>
      <w:r>
        <w:rPr>
          <w:b/>
          <w:bCs/>
        </w:rPr>
        <w:t xml:space="preserve">Cumplimiento Tributario y Obligaciones del Cliente:</w:t>
      </w:r>
    </w:p>
    <w:p>
      <w:pPr>
        <w:pStyle w:val="BodyText"/>
      </w:pPr>
      <w:r>
        <w:rPr>
          <w:b/>
          <w:bCs/>
        </w:rPr>
        <w:t xml:space="preserve">El Cliente asume responsabilidad total de:</w:t>
      </w:r>
    </w:p>
    <w:p>
      <w:pPr>
        <w:pStyle w:val="Compact"/>
        <w:numPr>
          <w:ilvl w:val="0"/>
          <w:numId w:val="1041"/>
        </w:numPr>
      </w:pPr>
      <w:r>
        <w:t xml:space="preserve">Cumplimiento de todas las obligaciones tributarias ante DIAN: declaración de impuestos, pago de IVA, impuesto sobre la renta, retenciones, contribuciones y aportes parafiscales.</w:t>
      </w:r>
    </w:p>
    <w:p>
      <w:pPr>
        <w:pStyle w:val="Compact"/>
        <w:numPr>
          <w:ilvl w:val="0"/>
          <w:numId w:val="1041"/>
        </w:numPr>
      </w:pPr>
      <w:r>
        <w:t xml:space="preserve">Cargas de rangos de numeración ante DIAN conforme Resoluciones vigentes.</w:t>
      </w:r>
    </w:p>
    <w:p>
      <w:pPr>
        <w:pStyle w:val="Compact"/>
        <w:numPr>
          <w:ilvl w:val="0"/>
          <w:numId w:val="1041"/>
        </w:numPr>
      </w:pPr>
      <w:r>
        <w:t xml:space="preserve">Solicitudes de habilitación de actividades económicas.</w:t>
      </w:r>
    </w:p>
    <w:p>
      <w:pPr>
        <w:pStyle w:val="Compact"/>
        <w:numPr>
          <w:ilvl w:val="0"/>
          <w:numId w:val="1041"/>
        </w:numPr>
      </w:pPr>
      <w:r>
        <w:t xml:space="preserve">Cumplimiento de normas técnicas DIAN para formato de documentos, campos obligatorios, y procedimientos de radicación.</w:t>
      </w:r>
    </w:p>
    <w:p>
      <w:pPr>
        <w:pStyle w:val="Compact"/>
        <w:numPr>
          <w:ilvl w:val="0"/>
          <w:numId w:val="1041"/>
        </w:numPr>
      </w:pPr>
      <w:r>
        <w:t xml:space="preserve">Cálculos correctos de valores, impuestos y retenciones en documentos emitidos.</w:t>
      </w:r>
    </w:p>
    <w:p>
      <w:pPr>
        <w:pStyle w:val="FirstParagraph"/>
      </w:pPr>
      <w:r>
        <w:rPr>
          <w:b/>
          <w:bCs/>
        </w:rPr>
        <w:t xml:space="preserve">FACTUS no actúa como asesor tributario, contador, auditor ni abogado.</w:t>
      </w:r>
      <w:r>
        <w:t xml:space="preserve"> </w:t>
      </w:r>
      <w:r>
        <w:t xml:space="preserve">Si Cliente tiene dudas sobre obligaciones tributarias, debe consultar con contador público, revisor fiscal o asesor fiscal autorizado. La plataforma es un</w:t>
      </w:r>
      <w:r>
        <w:t xml:space="preserve"> </w:t>
      </w:r>
      <w:r>
        <w:rPr>
          <w:b/>
          <w:bCs/>
        </w:rPr>
        <w:t xml:space="preserve">canal tecnológico únicamente</w:t>
      </w:r>
      <w:r>
        <w:t xml:space="preserve">; interpretación de normas tributarias es responsabilidad del Cliente.</w:t>
      </w:r>
    </w:p>
    <w:p>
      <w:r>
        <w:pict>
          <v:rect style="width:0;height:1.5pt" o:hralign="center" o:hrstd="t" o:hr="t"/>
        </w:pict>
      </w:r>
    </w:p>
    <w:bookmarkEnd w:id="928"/>
    <w:bookmarkStart w:id="929" w:name="contacto-y-soporte"/>
    <w:p>
      <w:pPr>
        <w:pStyle w:val="Heading1"/>
      </w:pPr>
      <w:r>
        <w:t xml:space="preserve">15. Contacto y Soporte</w:t>
      </w:r>
    </w:p>
    <w:p>
      <w:pPr>
        <w:pStyle w:val="FirstParagraph"/>
      </w:pPr>
      <w:r>
        <w:t xml:space="preserve">15.1</w:t>
      </w:r>
      <w:r>
        <w:t xml:space="preserve"> </w:t>
      </w:r>
      <w:r>
        <w:rPr>
          <w:b/>
          <w:bCs/>
        </w:rPr>
        <w:t xml:space="preserve">Canales:</w:t>
      </w:r>
    </w:p>
    <w:p>
      <w:pPr>
        <w:pStyle w:val="Compact"/>
        <w:numPr>
          <w:ilvl w:val="0"/>
          <w:numId w:val="1042"/>
        </w:numPr>
      </w:pPr>
      <w:r>
        <w:t xml:space="preserve">Email: soporte@factus.com.co</w:t>
      </w:r>
    </w:p>
    <w:p>
      <w:pPr>
        <w:pStyle w:val="Compact"/>
        <w:numPr>
          <w:ilvl w:val="0"/>
          <w:numId w:val="1042"/>
        </w:numPr>
      </w:pPr>
      <w:r>
        <w:t xml:space="preserve">WhatsApp: [número]</w:t>
      </w:r>
    </w:p>
    <w:p>
      <w:pPr>
        <w:pStyle w:val="Compact"/>
        <w:numPr>
          <w:ilvl w:val="0"/>
          <w:numId w:val="1042"/>
        </w:numPr>
      </w:pPr>
      <w:r>
        <w:t xml:space="preserve">Teléfono: [número]</w:t>
      </w:r>
    </w:p>
    <w:p>
      <w:pPr>
        <w:pStyle w:val="Compact"/>
        <w:numPr>
          <w:ilvl w:val="0"/>
          <w:numId w:val="1042"/>
        </w:numPr>
      </w:pPr>
      <w:r>
        <w:t xml:space="preserve">Horarios: Lunes-viernes, 8:00 a.m. - 6:00 p.m. (Colombia)</w:t>
      </w:r>
    </w:p>
    <w:p>
      <w:pPr>
        <w:pStyle w:val="FirstParagraph"/>
      </w:pPr>
      <w:r>
        <w:t xml:space="preserve">15.2</w:t>
      </w:r>
      <w:r>
        <w:t xml:space="preserve"> </w:t>
      </w:r>
      <w:r>
        <w:rPr>
          <w:b/>
          <w:bCs/>
        </w:rPr>
        <w:t xml:space="preserve">Tiempo de Respuesta:</w:t>
      </w:r>
    </w:p>
    <w:p>
      <w:pPr>
        <w:pStyle w:val="Compact"/>
        <w:numPr>
          <w:ilvl w:val="0"/>
          <w:numId w:val="1043"/>
        </w:numPr>
      </w:pPr>
      <w:r>
        <w:t xml:space="preserve">Consultas urgentes (plataforma caída): 30 minutos.</w:t>
      </w:r>
    </w:p>
    <w:p>
      <w:pPr>
        <w:pStyle w:val="Compact"/>
        <w:numPr>
          <w:ilvl w:val="0"/>
          <w:numId w:val="1043"/>
        </w:numPr>
      </w:pPr>
      <w:r>
        <w:t xml:space="preserve">Consultas normales: 2-4 horas.</w:t>
      </w:r>
    </w:p>
    <w:p>
      <w:pPr>
        <w:pStyle w:val="Compact"/>
        <w:numPr>
          <w:ilvl w:val="0"/>
          <w:numId w:val="1043"/>
        </w:numPr>
      </w:pPr>
      <w:r>
        <w:t xml:space="preserve">Consultas administrativas (cambio de datos): 24 horas.</w:t>
      </w:r>
    </w:p>
    <w:p>
      <w:pPr>
        <w:pStyle w:val="FirstParagraph"/>
      </w:pPr>
      <w:r>
        <w:t xml:space="preserve">15.3</w:t>
      </w:r>
      <w:r>
        <w:t xml:space="preserve"> </w:t>
      </w:r>
      <w:r>
        <w:rPr>
          <w:b/>
          <w:bCs/>
        </w:rPr>
        <w:t xml:space="preserve">Soporte Limitado:</w:t>
      </w:r>
    </w:p>
    <w:p>
      <w:pPr>
        <w:pStyle w:val="BodyText"/>
      </w:pPr>
      <w:r>
        <w:t xml:space="preserve">Si contratas a través de reseller:</w:t>
      </w:r>
      <w:r>
        <w:t xml:space="preserve"> </w:t>
      </w:r>
      <w:r>
        <w:t xml:space="preserve">- Soporte comercial: Reseller.</w:t>
      </w:r>
      <w:r>
        <w:t xml:space="preserve"> </w:t>
      </w:r>
      <w:r>
        <w:t xml:space="preserve">- Soporte técnico plataforma: FACTUS.</w:t>
      </w:r>
      <w:r>
        <w:t xml:space="preserve"> </w:t>
      </w:r>
      <w:r>
        <w:t xml:space="preserve">- Soporte tributario: Contador (no FACTUS).</w:t>
      </w:r>
    </w:p>
    <w:p>
      <w:r>
        <w:pict>
          <v:rect style="width:0;height:1.5pt" o:hralign="center" o:hrstd="t" o:hr="t"/>
        </w:pict>
      </w:r>
    </w:p>
    <w:bookmarkEnd w:id="929"/>
    <w:bookmarkStart w:id="930" w:name="aceptación-final"/>
    <w:p>
      <w:pPr>
        <w:pStyle w:val="Heading1"/>
      </w:pPr>
      <w:r>
        <w:t xml:space="preserve">16. Aceptación Final</w:t>
      </w:r>
    </w:p>
    <w:p>
      <w:pPr>
        <w:pStyle w:val="FirstParagraph"/>
      </w:pPr>
      <w:r>
        <w:t xml:space="preserve">Al hacer clic en</w:t>
      </w:r>
      <w:r>
        <w:t xml:space="preserve"> </w:t>
      </w:r>
      <w:r>
        <w:t xml:space="preserve">“ACEPTO”</w:t>
      </w:r>
      <w:r>
        <w:t xml:space="preserve"> </w:t>
      </w:r>
      <w:r>
        <w:t xml:space="preserve">o usar la plataforma después de ver estos TyC, aceptas:</w:t>
      </w:r>
      <w:r>
        <w:t xml:space="preserve"> </w:t>
      </w:r>
      <w:r>
        <w:t xml:space="preserve">- Todos los términos y condiciones anteriores.</w:t>
      </w:r>
      <w:r>
        <w:t xml:space="preserve"> </w:t>
      </w:r>
      <w:r>
        <w:t xml:space="preserve">- Limitaciones de responsabilidad.</w:t>
      </w:r>
      <w:r>
        <w:t xml:space="preserve"> </w:t>
      </w:r>
      <w:r>
        <w:t xml:space="preserve">- Que eres responsable de tu información y documentos.</w:t>
      </w:r>
      <w:r>
        <w:t xml:space="preserve"> </w:t>
      </w:r>
      <w:r>
        <w:t xml:space="preserve">- Que FACTUS es un canal tecnológico, no asesor.</w:t>
      </w:r>
    </w:p>
    <w:p>
      <w:r>
        <w:pict>
          <v:rect style="width:0;height:1.5pt" o:hralign="center" o:hrstd="t" o:hr="t"/>
        </w:pict>
      </w:r>
    </w:p>
    <w:p>
      <w:pPr>
        <w:pStyle w:val="FirstParagraph"/>
      </w:pPr>
      <w:r>
        <w:rPr>
          <w:b/>
          <w:bCs/>
        </w:rPr>
        <w:t xml:space="preserve">Vigencia:</w:t>
      </w:r>
      <w:r>
        <w:t xml:space="preserve"> </w:t>
      </w:r>
      <w:r>
        <w:t xml:space="preserve">Estos TyC entraron en vigor en septiembre de 2026.</w:t>
      </w:r>
      <w:r>
        <w:br/>
      </w:r>
      <w:r>
        <w:rPr>
          <w:b/>
          <w:bCs/>
        </w:rPr>
        <w:t xml:space="preserve">Versión:</w:t>
      </w:r>
      <w:r>
        <w:t xml:space="preserve"> </w:t>
      </w:r>
      <w:r>
        <w:t xml:space="preserve">1.0</w:t>
      </w:r>
      <w:r>
        <w:br/>
      </w:r>
      <w:r>
        <w:rPr>
          <w:b/>
          <w:bCs/>
        </w:rPr>
        <w:t xml:space="preserve">Autor:</w:t>
      </w:r>
      <w:r>
        <w:t xml:space="preserve"> </w:t>
      </w:r>
      <w:r>
        <w:t xml:space="preserve">Bedrock Abogados S.A.S.</w:t>
      </w:r>
      <w:r>
        <w:br/>
      </w:r>
      <w:r>
        <w:rPr>
          <w:b/>
          <w:bCs/>
        </w:rPr>
        <w:t xml:space="preserve">Para:</w:t>
      </w:r>
      <w:r>
        <w:t xml:space="preserve"> </w:t>
      </w:r>
      <w:r>
        <w:t xml:space="preserve">FACTUS S.A.S.</w:t>
      </w:r>
      <w:r>
        <w:br/>
      </w:r>
      <w:r>
        <w:rPr>
          <w:b/>
          <w:bCs/>
        </w:rPr>
        <w:t xml:space="preserve">Clasificación:</w:t>
      </w:r>
      <w:r>
        <w:t xml:space="preserve"> </w:t>
      </w:r>
      <w:r>
        <w:t xml:space="preserve">Público — Cliente Final</w:t>
      </w:r>
    </w:p>
    <w:p>
      <w:r>
        <w:pict>
          <v:rect style="width:0;height:1.5pt" o:hralign="center" o:hrstd="t" o:hr="t"/>
        </w:pict>
      </w:r>
    </w:p>
    <w:bookmarkEnd w:id="930"/>
    <w:bookmarkStart w:id="935" w:name="X147a9c7018ce51efa68ebf9e74e087ca3399ab1"/>
    <w:p>
      <w:pPr>
        <w:pStyle w:val="Heading1"/>
      </w:pPr>
      <w:r>
        <w:t xml:space="preserve">Anexo I: Procedimiento de Aceptación por Firma Electrónica</w:t>
      </w:r>
    </w:p>
    <w:p>
      <w:pPr>
        <w:pStyle w:val="FirstParagraph"/>
      </w:pPr>
      <w:r>
        <w:t xml:space="preserve">El Cliente acepta estos Términos y Condiciones mediante firma electrónica conforme</w:t>
      </w:r>
      <w:r>
        <w:t xml:space="preserve"> </w:t>
      </w:r>
      <w:r>
        <w:rPr>
          <w:b/>
          <w:bCs/>
        </w:rPr>
        <w:t xml:space="preserve">Ley 527 de 1999</w:t>
      </w:r>
      <w:r>
        <w:t xml:space="preserve"> </w:t>
      </w:r>
      <w:r>
        <w:t xml:space="preserve">(marco legal para mensajes de datos) y</w:t>
      </w:r>
      <w:r>
        <w:t xml:space="preserve"> </w:t>
      </w:r>
      <w:r>
        <w:rPr>
          <w:b/>
          <w:bCs/>
        </w:rPr>
        <w:t xml:space="preserve">Decreto 2364 de 2012</w:t>
      </w:r>
      <w:r>
        <w:t xml:space="preserve"> </w:t>
      </w:r>
      <w:r>
        <w:t xml:space="preserve">(firma electrónica digital).</w:t>
      </w:r>
    </w:p>
    <w:bookmarkStart w:id="931" w:name="procedimiento-técnico-de-aceptación"/>
    <w:p>
      <w:pPr>
        <w:pStyle w:val="Heading2"/>
      </w:pPr>
      <w:r>
        <w:t xml:space="preserve">Procedimiento Técnico de Aceptación</w:t>
      </w:r>
    </w:p>
    <w:p>
      <w:pPr>
        <w:numPr>
          <w:ilvl w:val="0"/>
          <w:numId w:val="1044"/>
        </w:numPr>
      </w:pPr>
      <w:r>
        <w:rPr>
          <w:b/>
          <w:bCs/>
        </w:rPr>
        <w:t xml:space="preserve">Autenticación Inicial:</w:t>
      </w:r>
      <w:r>
        <w:t xml:space="preserve"> </w:t>
      </w:r>
      <w:r>
        <w:t xml:space="preserve">Cliente ingresa credenciales (usuario y contraseña) en plataforma FACTUS.</w:t>
      </w:r>
    </w:p>
    <w:p>
      <w:pPr>
        <w:numPr>
          <w:ilvl w:val="0"/>
          <w:numId w:val="1044"/>
        </w:numPr>
      </w:pPr>
      <w:r>
        <w:rPr>
          <w:b/>
          <w:bCs/>
        </w:rPr>
        <w:t xml:space="preserve">Presentación de TyC:</w:t>
      </w:r>
      <w:r>
        <w:t xml:space="preserve"> </w:t>
      </w:r>
      <w:r>
        <w:t xml:space="preserve">Sistema presenta íntegramente estos Términos y Condiciones en formato legible, con campo checkbox marcado:</w:t>
      </w:r>
      <w:r>
        <w:t xml:space="preserve"> </w:t>
      </w:r>
      <w:r>
        <w:t xml:space="preserve">“✓ Acepto Términos y Condiciones de Factus S.A.S., confirmando que he leído y entiendo mis obligaciones, limitaciones de responsabilidad de FACTUS, y mi responsabilidad por contenido de documentos emitidos.”</w:t>
      </w:r>
    </w:p>
    <w:p>
      <w:pPr>
        <w:numPr>
          <w:ilvl w:val="0"/>
          <w:numId w:val="1044"/>
        </w:numPr>
      </w:pPr>
      <w:r>
        <w:rPr>
          <w:b/>
          <w:bCs/>
        </w:rPr>
        <w:t xml:space="preserve">Acción de Aceptación:</w:t>
      </w:r>
      <w:r>
        <w:t xml:space="preserve"> </w:t>
      </w:r>
      <w:r>
        <w:t xml:space="preserve">Cliente marca checkbox de aceptación explícita.</w:t>
      </w:r>
    </w:p>
    <w:p>
      <w:pPr>
        <w:numPr>
          <w:ilvl w:val="0"/>
          <w:numId w:val="1044"/>
        </w:numPr>
      </w:pPr>
      <w:r>
        <w:rPr>
          <w:b/>
          <w:bCs/>
        </w:rPr>
        <w:t xml:space="preserve">Confirmación Final:</w:t>
      </w:r>
      <w:r>
        <w:t xml:space="preserve"> </w:t>
      </w:r>
      <w:r>
        <w:t xml:space="preserve">Cliente ejecuta clic en botón</w:t>
      </w:r>
      <w:r>
        <w:t xml:space="preserve"> </w:t>
      </w:r>
      <w:r>
        <w:t xml:space="preserve">“Aceptar y Acceder a Plataforma.”</w:t>
      </w:r>
    </w:p>
    <w:p>
      <w:pPr>
        <w:numPr>
          <w:ilvl w:val="0"/>
          <w:numId w:val="1044"/>
        </w:numPr>
      </w:pPr>
      <w:r>
        <w:rPr>
          <w:b/>
          <w:bCs/>
        </w:rPr>
        <w:t xml:space="preserve">Registro de Aceptación — Elementos Probatorios:</w:t>
      </w:r>
      <w:r>
        <w:t xml:space="preserve"> </w:t>
      </w:r>
      <w:r>
        <w:t xml:space="preserve">Sistema registra automáticamente:</w:t>
      </w:r>
    </w:p>
    <w:p>
      <w:pPr>
        <w:pStyle w:val="Compact"/>
        <w:numPr>
          <w:ilvl w:val="1"/>
          <w:numId w:val="1045"/>
        </w:numPr>
      </w:pPr>
      <w:r>
        <w:rPr>
          <w:b/>
          <w:bCs/>
        </w:rPr>
        <w:t xml:space="preserve">Fecha y Hora Exacta:</w:t>
      </w:r>
      <w:r>
        <w:t xml:space="preserve"> </w:t>
      </w:r>
      <w:r>
        <w:t xml:space="preserve">Timestamp de UTC (Hora Universal Coordinada) de la aceptación.</w:t>
      </w:r>
    </w:p>
    <w:p>
      <w:pPr>
        <w:pStyle w:val="Compact"/>
        <w:numPr>
          <w:ilvl w:val="1"/>
          <w:numId w:val="1045"/>
        </w:numPr>
      </w:pPr>
      <w:r>
        <w:rPr>
          <w:b/>
          <w:bCs/>
        </w:rPr>
        <w:t xml:space="preserve">Identificación Cliente:</w:t>
      </w:r>
      <w:r>
        <w:t xml:space="preserve"> </w:t>
      </w:r>
      <w:r>
        <w:t xml:space="preserve">Usuario y NIT (o número de identificación) asociado a cuenta.</w:t>
      </w:r>
    </w:p>
    <w:p>
      <w:pPr>
        <w:pStyle w:val="Compact"/>
        <w:numPr>
          <w:ilvl w:val="1"/>
          <w:numId w:val="1045"/>
        </w:numPr>
      </w:pPr>
      <w:r>
        <w:rPr>
          <w:b/>
          <w:bCs/>
        </w:rPr>
        <w:t xml:space="preserve">Dirección IP:</w:t>
      </w:r>
      <w:r>
        <w:t xml:space="preserve"> </w:t>
      </w:r>
      <w:r>
        <w:t xml:space="preserve">Dirección de internet desde la cual se envió la aceptación.</w:t>
      </w:r>
    </w:p>
    <w:p>
      <w:pPr>
        <w:pStyle w:val="Compact"/>
        <w:numPr>
          <w:ilvl w:val="1"/>
          <w:numId w:val="1045"/>
        </w:numPr>
      </w:pPr>
      <w:r>
        <w:rPr>
          <w:b/>
          <w:bCs/>
        </w:rPr>
        <w:t xml:space="preserve">Hash Criptográfico:</w:t>
      </w:r>
      <w:r>
        <w:t xml:space="preserve"> </w:t>
      </w:r>
      <w:r>
        <w:t xml:space="preserve">Resumen criptográfico (SHA-256 o superior) del documento de TyC aceptado, que permite verificar integridad y evitar alteración posterior.</w:t>
      </w:r>
    </w:p>
    <w:p>
      <w:pPr>
        <w:pStyle w:val="Compact"/>
        <w:numPr>
          <w:ilvl w:val="1"/>
          <w:numId w:val="1045"/>
        </w:numPr>
      </w:pPr>
      <w:r>
        <w:rPr>
          <w:b/>
          <w:bCs/>
        </w:rPr>
        <w:t xml:space="preserve">Descripción de Transacción:</w:t>
      </w:r>
      <w:r>
        <w:t xml:space="preserve"> </w:t>
      </w:r>
      <w:r>
        <w:t xml:space="preserve">Registro en bitácora de auditoría indicando</w:t>
      </w:r>
      <w:r>
        <w:t xml:space="preserve"> </w:t>
      </w:r>
      <w:r>
        <w:t xml:space="preserve">“Aceptación de TyC”</w:t>
      </w:r>
      <w:r>
        <w:t xml:space="preserve"> </w:t>
      </w:r>
      <w:r>
        <w:t xml:space="preserve">con todos los datos anteriores.</w:t>
      </w:r>
    </w:p>
    <w:p>
      <w:pPr>
        <w:numPr>
          <w:ilvl w:val="0"/>
          <w:numId w:val="1044"/>
        </w:numPr>
      </w:pPr>
      <w:r>
        <w:rPr>
          <w:b/>
          <w:bCs/>
        </w:rPr>
        <w:t xml:space="preserve">Confirmación por Correo Electrónico:</w:t>
      </w:r>
      <w:r>
        <w:t xml:space="preserve"> </w:t>
      </w:r>
      <w:r>
        <w:t xml:space="preserve">FACTUS envía al Cliente dentro de 24 horas:</w:t>
      </w:r>
    </w:p>
    <w:p>
      <w:pPr>
        <w:pStyle w:val="Compact"/>
        <w:numPr>
          <w:ilvl w:val="1"/>
          <w:numId w:val="1046"/>
        </w:numPr>
      </w:pPr>
      <w:r>
        <w:t xml:space="preserve">Copia completa del documento de TyC aceptado (en formato PDF descargable).</w:t>
      </w:r>
    </w:p>
    <w:p>
      <w:pPr>
        <w:pStyle w:val="Compact"/>
        <w:numPr>
          <w:ilvl w:val="1"/>
          <w:numId w:val="1046"/>
        </w:numPr>
      </w:pPr>
      <w:r>
        <w:t xml:space="preserve">Enlace hacia registro de aceptación en plataforma (accesible por 5 años).</w:t>
      </w:r>
    </w:p>
    <w:p>
      <w:pPr>
        <w:pStyle w:val="Compact"/>
        <w:numPr>
          <w:ilvl w:val="1"/>
          <w:numId w:val="1046"/>
        </w:numPr>
      </w:pPr>
      <w:r>
        <w:t xml:space="preserve">Fecha, hora, IP y hash criptográfico de la aceptación.</w:t>
      </w:r>
    </w:p>
    <w:bookmarkEnd w:id="931"/>
    <w:bookmarkStart w:id="932" w:name="efecto-legal-de-la-firma-electrónica"/>
    <w:p>
      <w:pPr>
        <w:pStyle w:val="Heading2"/>
      </w:pPr>
      <w:r>
        <w:t xml:space="preserve">Efecto Legal de la Firma Electrónica</w:t>
      </w:r>
    </w:p>
    <w:p>
      <w:pPr>
        <w:pStyle w:val="FirstParagraph"/>
      </w:pPr>
      <w:r>
        <w:t xml:space="preserve">Esta firma electrónica tiene</w:t>
      </w:r>
      <w:r>
        <w:t xml:space="preserve"> </w:t>
      </w:r>
      <w:r>
        <w:rPr>
          <w:b/>
          <w:bCs/>
        </w:rPr>
        <w:t xml:space="preserve">efecto legal equivalente a firma manuscrita</w:t>
      </w:r>
      <w:r>
        <w:t xml:space="preserve"> </w:t>
      </w:r>
      <w:r>
        <w:t xml:space="preserve">conforme leyes vigentes en Colombia:</w:t>
      </w:r>
    </w:p>
    <w:p>
      <w:pPr>
        <w:pStyle w:val="Compact"/>
        <w:numPr>
          <w:ilvl w:val="0"/>
          <w:numId w:val="1047"/>
        </w:numPr>
      </w:pPr>
      <w:r>
        <w:t xml:space="preserve">Constituye prueba de que Cliente conocía, entendía y aceptaba voluntariamente estos Términos y Condiciones.</w:t>
      </w:r>
    </w:p>
    <w:p>
      <w:pPr>
        <w:pStyle w:val="Compact"/>
        <w:numPr>
          <w:ilvl w:val="0"/>
          <w:numId w:val="1047"/>
        </w:numPr>
      </w:pPr>
      <w:r>
        <w:t xml:space="preserve">Es oponible a cualquier reclamación posterior del Cliente que alegue desconocimiento o falta de consentimiento.</w:t>
      </w:r>
    </w:p>
    <w:p>
      <w:pPr>
        <w:pStyle w:val="Compact"/>
        <w:numPr>
          <w:ilvl w:val="0"/>
          <w:numId w:val="1047"/>
        </w:numPr>
      </w:pPr>
      <w:r>
        <w:t xml:space="preserve">Registros técnicos (fecha, hora, IP, hash) son admitidos como prueba en procedimientos judiciales o administrativos, conforme Ley 527/1999 y jurisprudencia colombiana.</w:t>
      </w:r>
    </w:p>
    <w:p>
      <w:pPr>
        <w:pStyle w:val="Compact"/>
        <w:numPr>
          <w:ilvl w:val="0"/>
          <w:numId w:val="1047"/>
        </w:numPr>
      </w:pPr>
      <w:r>
        <w:t xml:space="preserve">Cliente es único responsable por aceptación realizada desde su cuenta; no hay anulabilidad por posterior desconocimiento si no reportó acceso no autorizado dentro de 24 horas (conforme sección 14.1).</w:t>
      </w:r>
    </w:p>
    <w:bookmarkEnd w:id="932"/>
    <w:bookmarkStart w:id="933" w:name="no-repudio"/>
    <w:p>
      <w:pPr>
        <w:pStyle w:val="Heading2"/>
      </w:pPr>
      <w:r>
        <w:t xml:space="preserve">No Repudio</w:t>
      </w:r>
    </w:p>
    <w:p>
      <w:pPr>
        <w:pStyle w:val="FirstParagraph"/>
      </w:pPr>
      <w:r>
        <w:t xml:space="preserve">El Cliente</w:t>
      </w:r>
      <w:r>
        <w:t xml:space="preserve"> </w:t>
      </w:r>
      <w:r>
        <w:rPr>
          <w:b/>
          <w:bCs/>
        </w:rPr>
        <w:t xml:space="preserve">no puede posteriormente negar</w:t>
      </w:r>
      <w:r>
        <w:t xml:space="preserve"> </w:t>
      </w:r>
      <w:r>
        <w:t xml:space="preserve">la aceptación alegando:</w:t>
      </w:r>
      <w:r>
        <w:t xml:space="preserve"> </w:t>
      </w:r>
      <w:r>
        <w:t xml:space="preserve">-</w:t>
      </w:r>
      <w:r>
        <w:t xml:space="preserve"> </w:t>
      </w:r>
      <w:r>
        <w:t xml:space="preserve">“No leí los TyC.”</w:t>
      </w:r>
      <w:r>
        <w:t xml:space="preserve"> </w:t>
      </w:r>
      <w:r>
        <w:t xml:space="preserve">(Responsabilidad del Cliente de leer antes de aceptar)</w:t>
      </w:r>
      <w:r>
        <w:t xml:space="preserve"> </w:t>
      </w:r>
      <w:r>
        <w:t xml:space="preserve">-</w:t>
      </w:r>
      <w:r>
        <w:t xml:space="preserve"> </w:t>
      </w:r>
      <w:r>
        <w:t xml:space="preserve">“Fue otra persona.”</w:t>
      </w:r>
      <w:r>
        <w:t xml:space="preserve"> </w:t>
      </w:r>
      <w:r>
        <w:t xml:space="preserve">(Responsabilidad del Cliente de proteger credenciales, conforme sección 14.1)</w:t>
      </w:r>
      <w:r>
        <w:t xml:space="preserve"> </w:t>
      </w:r>
      <w:r>
        <w:t xml:space="preserve">-</w:t>
      </w:r>
      <w:r>
        <w:t xml:space="preserve"> </w:t>
      </w:r>
      <w:r>
        <w:t xml:space="preserve">“El sistema estaba mal.”</w:t>
      </w:r>
      <w:r>
        <w:t xml:space="preserve"> </w:t>
      </w:r>
      <w:r>
        <w:t xml:space="preserve">(FACTUS proporciona ambiente seguro y auditado; Cliente debe reportar fallas técnicas inmediatamente)</w:t>
      </w:r>
    </w:p>
    <w:bookmarkEnd w:id="933"/>
    <w:bookmarkStart w:id="934" w:name="copia-y-acceso-permanente"/>
    <w:p>
      <w:pPr>
        <w:pStyle w:val="Heading2"/>
      </w:pPr>
      <w:r>
        <w:t xml:space="preserve">Copia y Acceso Permanente</w:t>
      </w:r>
    </w:p>
    <w:p>
      <w:pPr>
        <w:pStyle w:val="FirstParagraph"/>
      </w:pPr>
      <w:r>
        <w:t xml:space="preserve">El Cliente puede descargar, imprimir o guardar copia de:</w:t>
      </w:r>
      <w:r>
        <w:t xml:space="preserve"> </w:t>
      </w:r>
      <w:r>
        <w:t xml:space="preserve">- Estos Términos y Condiciones aceptados (disponible permanentemente en su cuenta).</w:t>
      </w:r>
      <w:r>
        <w:t xml:space="preserve"> </w:t>
      </w:r>
      <w:r>
        <w:t xml:space="preserve">- Confirmación de aceptación con detalles técnicos de la transacción (disponible por 5 años en plataforma).</w:t>
      </w:r>
    </w:p>
    <w:p>
      <w:r>
        <w:pict>
          <v:rect style="width:0;height:1.5pt" o:hralign="center" o:hrstd="t" o:hr="t"/>
        </w:pict>
      </w:r>
    </w:p>
    <w:p>
      <w:pPr>
        <w:pStyle w:val="FirstParagraph"/>
      </w:pPr>
      <w:r>
        <w:rPr>
          <w:b/>
          <w:bCs/>
        </w:rPr>
        <w:t xml:space="preserve">Fin de Términos y Condiciones</w:t>
      </w:r>
    </w:p>
    <w:bookmarkEnd w:id="934"/>
    <w:bookmarkEnd w:id="935"/>
    <w:sectPr>
      <w:headerReference r:id="rId901" w:type="default"/>
      <w:footerReference r:id="rId902" w:type="default"/>
      <w:pgSz w:h="15840" w:w="12240"/>
      <w:pgMar w:bottom="1440" w:footer="720" w:gutter="0" w:header="720" w:left="1440" w:right="1440" w:top="144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4" w:space="4" w:color="E2E6EB"/>
      </w:pBdr>
      <w:spacing w:before="0" w:after="0"/>
      <w:jc w:val="center"/>
    </w:pPr>
    <w:r>
      <w:rPr>
        <w:rFonts w:asciiTheme="majorHAnsi" w:hAnsiTheme="majorHAnsi"/>
        <w:color w:val="6B6F7A"/>
        <w:sz w:val="16"/>
      </w:rPr>
      <w:t xml:space="preserve">Página </w:t>
    </w:r>
    <w:r>
      <w:rPr>
        <w:rFonts w:asciiTheme="majorHAnsi" w:hAnsiTheme="majorHAnsi"/>
        <w:color w:val="6B6F7A"/>
        <w:sz w:val="16"/>
      </w:rPr>
      <w:fldChar w:fldCharType="begin"/>
    </w:r>
    <w:r>
      <w:instrText>PAGE</w:instrText>
    </w:r>
    <w:r>
      <w:fldChar w:fldCharType="end"/>
    </w:r>
    <w:r>
      <w:rPr>
        <w:rFonts w:asciiTheme="majorHAnsi" w:hAnsiTheme="majorHAnsi"/>
        <w:color w:val="6B6F7A"/>
        <w:sz w:val="16"/>
      </w:rPr>
      <w:t xml:space="preserve"> de </w:t>
    </w:r>
    <w:r>
      <w:rPr>
        <w:rFonts w:asciiTheme="majorHAnsi" w:hAnsiTheme="majorHAnsi"/>
        <w:color w:val="6B6F7A"/>
        <w:sz w:val="16"/>
      </w:rPr>
      <w:fldChar w:fldCharType="begin"/>
    </w:r>
    <w:r>
      <w:instrText>NUMPAGES</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bottom w:val="single" w:sz="4" w:space="6" w:color="E2E6EB"/>
      </w:pBdr>
      <w:spacing w:after="0"/>
      <w:jc w:val="left"/>
    </w:pPr>
    <w:r>
      <w:drawing>
        <wp:inline distT="0" distB="0" distL="0" distR="0">
          <wp:extent cx="613410" cy="118872"/>
          <wp:effectExtent l="0" t="0" r="0" b="0"/>
          <wp:docPr id="101" name="Bedrock Abogados"/>
          <wp:cNvGraphicFramePr>
            <a:graphicFrameLocks noChangeAspect="1"/>
          </wp:cNvGraphicFramePr>
          <a:graphic>
            <a:graphicData uri="http://schemas.openxmlformats.org/drawingml/2006/picture">
              <pic:pic>
                <pic:nvPicPr>
                  <pic:cNvPr id="101" name="Bedrock Abogados"/>
                  <pic:cNvPicPr/>
                </pic:nvPicPr>
                <pic:blipFill>
                  <a:blip r:embed="rIdLogo1"/>
                  <a:stretch>
                    <a:fillRect/>
                  </a:stretch>
                </pic:blipFill>
                <pic:spPr>
                  <a:xfrm>
                    <a:off x="0" y="0"/>
                    <a:ext cx="613410" cy="118872"/>
                  </a:xfrm>
                  <a:prstGeom prst="rect">
                    <a:avLst/>
                  </a:prstGeom>
                </pic:spPr>
              </pic:pic>
            </a:graphicData>
          </a:graphic>
        </wp:inline>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1"/>
        <w:szCs w:val="21"/>
        <w:lang w:bidi="ar-SA" w:eastAsia="zh-CN" w:val="en-US"/>
      </w:rPr>
    </w:rPrDefault>
    <w:pPrDefault>
      <w:pPr>
        <w:spacing w:after="160" w:line="312"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jc w:val="left"/>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jc w:val="left"/>
      <w:outlineLvl w:val="0"/>
    </w:pPr>
    <w:rPr>
      <w:rFonts w:asciiTheme="majorHAnsi" w:cstheme="majorBidi" w:eastAsiaTheme="majorEastAsia" w:hAnsiTheme="majorHAnsi"/>
      <w:b/>
      <w:color w:val="1B1D36"/>
      <w:sz w:val="42"/>
      <w:szCs w:val="42"/>
    </w:rPr>
  </w:style>
  <w:style w:styleId="Heading2" w:type="paragraph">
    <w:name w:val="heading 2"/>
    <w:basedOn w:val="Normal"/>
    <w:next w:val="BodyText"/>
    <w:link w:val="Heading2Char"/>
    <w:uiPriority w:val="9"/>
    <w:semiHidden/>
    <w:unhideWhenUsed/>
    <w:qFormat/>
    <w:rsid w:val="00A10FD9"/>
    <w:pPr>
      <w:keepNext/>
      <w:keepLines/>
      <w:spacing w:after="80" w:before="160"/>
      <w:jc w:val="left"/>
      <w:outlineLvl w:val="1"/>
    </w:pPr>
    <w:rPr>
      <w:rFonts w:asciiTheme="majorHAnsi" w:cstheme="majorBidi" w:eastAsiaTheme="majorEastAsia" w:hAnsiTheme="majorHAnsi"/>
      <w:b/>
      <w:color w:val="224D6E"/>
      <w:sz w:val="30"/>
      <w:szCs w:val="30"/>
    </w:rPr>
  </w:style>
  <w:style w:styleId="Heading3" w:type="paragraph">
    <w:name w:val="heading 3"/>
    <w:basedOn w:val="Normal"/>
    <w:next w:val="BodyText"/>
    <w:link w:val="Heading3Char"/>
    <w:uiPriority w:val="9"/>
    <w:semiHidden/>
    <w:unhideWhenUsed/>
    <w:qFormat/>
    <w:rsid w:val="00A10FD9"/>
    <w:pPr>
      <w:keepNext/>
      <w:keepLines/>
      <w:spacing w:after="80" w:before="160"/>
      <w:jc w:val="left"/>
      <w:outlineLvl w:val="2"/>
    </w:pPr>
    <w:rPr>
      <w:rFonts w:asciiTheme="majorHAnsi" w:cstheme="majorBidi" w:eastAsiaTheme="majorEastAsia" w:hAnsiTheme="majorHAnsi"/>
      <w:b/>
      <w:color w:val="224D6E"/>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Eyebrow" w:type="paragraph">
    <w:name w:val="Eyebrow"/>
    <w:basedOn w:val="Normal"/>
    <w:qFormat/>
    <w:pPr>
      <w:spacing w:after="60" w:before="0"/>
      <w:jc w:val="left"/>
    </w:pPr>
    <w:rPr>
      <w:rFonts w:asciiTheme="majorHAnsi" w:hAnsiTheme="majorHAnsi"/>
      <w:b/>
      <w:caps/>
      <w:color w:val="224D6E"/>
      <w:spacing w:val="60"/>
      <w:sz w:val="17"/>
      <w:szCs w:val="17"/>
    </w:rPr>
  </w:style>
  <w:style w:customStyle="1" w:styleId="PortadaTitulo" w:type="paragraph">
    <w:name w:val="Portada Titulo"/>
    <w:basedOn w:val="Normal"/>
    <w:qFormat/>
    <w:pPr>
      <w:spacing w:after="200" w:before="120" w:line="288" w:lineRule="auto"/>
      <w:jc w:val="left"/>
    </w:pPr>
    <w:rPr>
      <w:rFonts w:asciiTheme="majorHAnsi" w:hAnsiTheme="majorHAnsi"/>
      <w:b/>
      <w:color w:val="1B1D36"/>
      <w:sz w:val="54"/>
      <w:szCs w:val="54"/>
    </w:rPr>
  </w:style>
  <w:style w:customStyle="1" w:styleId="Lede" w:type="paragraph">
    <w:name w:val="Lede"/>
    <w:basedOn w:val="Normal"/>
    <w:qFormat/>
    <w:pPr>
      <w:spacing w:after="320" w:before="0"/>
      <w:jc w:val="left"/>
    </w:pPr>
    <w:rPr>
      <w:color w:val="000000"/>
      <w:sz w:val="24"/>
      <w:szCs w:val="24"/>
    </w:rPr>
  </w:style>
  <w:style w:customStyle="1" w:styleId="LineaAcento" w:type="paragraph">
    <w:name w:val="Linea Acento"/>
    <w:basedOn w:val="Normal"/>
    <w:qFormat/>
    <w:pPr>
      <w:pBdr>
        <w:bottom w:color="E9CDA5" w:space="0" w:sz="18" w:val="single"/>
      </w:pBdr>
      <w:spacing w:after="200" w:before="0"/>
      <w:ind w:right="7600"/>
    </w:pPr>
    <w:rPr>
      <w:sz w:val="2"/>
      <w:szCs w:val="2"/>
    </w:rPr>
  </w:style>
  <w:style w:customStyle="1" w:styleId="ResumenTitulo" w:type="paragraph">
    <w:name w:val="Resumen Titulo"/>
    <w:basedOn w:val="Normal"/>
    <w:qFormat/>
    <w:pPr>
      <w:spacing w:after="120" w:before="200"/>
      <w:jc w:val="left"/>
    </w:pPr>
    <w:rPr>
      <w:rFonts w:asciiTheme="majorHAnsi" w:hAnsiTheme="majorHAnsi"/>
      <w:b/>
      <w:caps/>
      <w:color w:val="6B6F7A"/>
      <w:spacing w:val="40"/>
      <w:sz w:val="18"/>
      <w:szCs w:val="18"/>
    </w:rPr>
  </w:style>
  <w:style w:customStyle="1" w:styleId="ResumenItem" w:type="paragraph">
    <w:name w:val="Resumen Item"/>
    <w:basedOn w:val="Normal"/>
    <w:qFormat/>
    <w:pPr>
      <w:pBdr>
        <w:left w:color="224D6E" w:space="8" w:sz="18" w:val="single"/>
      </w:pBdr>
      <w:spacing w:after="60" w:before="60"/>
      <w:ind w:left="160"/>
      <w:jc w:val="left"/>
    </w:pPr>
    <w:rPr>
      <w:sz w:val="20"/>
      <w:szCs w:val="20"/>
    </w:rPr>
  </w:style>
  <w:style w:customStyle="1" w:styleId="FinePrint" w:type="paragraph">
    <w:name w:val="Fine Print"/>
    <w:basedOn w:val="Normal"/>
    <w:qFormat/>
    <w:pPr>
      <w:spacing w:after="0" w:before="240"/>
      <w:jc w:val="left"/>
    </w:pPr>
    <w:rPr>
      <w:i/>
      <w:color w:val="6B6F7A"/>
      <w:sz w:val="16"/>
      <w:szCs w:val="16"/>
    </w:rPr>
  </w:style>
  <w:style w:customStyle="1" w:styleId="Campo" w:type="character">
    <w:name w:val="Campo"/>
    <w:qFormat/>
    <w:rPr>
      <w:shd w:color="auto" w:fill="FFF3D6" w:val="clear"/>
      <w:color w:val="6B5218"/>
    </w:rPr>
  </w:style>
  <w:style w:type="paragraph" w:customStyle="1" w:styleId="LineaAcento">
    <w:name w:val="LineaAcento"/>
    <w:basedOn w:val="BodyText"/>
    <w:qFormat/>
  </w:style>
  <w:style w:type="paragraph" w:customStyle="1" w:styleId="PortadaTitulo">
    <w:name w:val="PortadaTitulo"/>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910" Target="numbering.xml" /><Relationship Type="http://schemas.openxmlformats.org/officeDocument/2006/relationships/styles" Id="rId909" Target="styles.xml" /><Relationship Type="http://schemas.openxmlformats.org/officeDocument/2006/relationships/settings" Id="rId908" Target="settings.xml" /><Relationship Type="http://schemas.openxmlformats.org/officeDocument/2006/relationships/webSettings" Id="rId907" Target="webSettings.xml" /><Relationship Type="http://schemas.openxmlformats.org/officeDocument/2006/relationships/fontTable" Id="rId906" Target="fontTable.xml" /><Relationship Type="http://schemas.openxmlformats.org/officeDocument/2006/relationships/theme" Id="rId905" Target="theme/theme1.xml" /><Relationship Type="http://schemas.openxmlformats.org/officeDocument/2006/relationships/footnotes" Id="rId904" Target="footnotes.xml" /><Relationship Type="http://schemas.openxmlformats.org/officeDocument/2006/relationships/comments" Id="rId903" Target="comments.xml" /><Relationship Id="rId901" Target="header1.xml" Type="http://schemas.openxmlformats.org/officeDocument/2006/relationships/header" /><Relationship Id="rId902" Target="footer1.xml" Type="http://schemas.openxmlformats.org/officeDocument/2006/relationships/footer" /><Relationship Type="http://schemas.openxmlformats.org/officeDocument/2006/relationships/image" Id="rId911" Target="media/rId911.png" /></Relationships>
</file>

<file path=word/_rels/footnotes.xml.rels><?xml version="1.0" encoding="UTF-8"?><Relationships xmlns="http://schemas.openxmlformats.org/package/2006/relationships" />
</file>

<file path=word/_rels/header1.xml.rels><?xml version="1.0" encoding="UTF-8" standalone="yes"?><Relationships xmlns="http://schemas.openxmlformats.org/package/2006/relationships"><Relationship Id="rIdLogo1" Type="http://schemas.openxmlformats.org/officeDocument/2006/relationships/image" Target="media/logo-bedrock-horizontal.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Montserra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n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2026-09-28T02:58:35Z</dcterms:created>
  <dcterms:modified xsi:type="dcterms:W3CDTF">2026-09-28T02:58:35Z</dcterms:modified>
</cp:coreProperties>
</file>

<file path=docProps/custom.xml><?xml version="1.0" encoding="utf-8"?>
<Properties xmlns="http://schemas.openxmlformats.org/officeDocument/2006/custom-properties" xmlns:vt="http://schemas.openxmlformats.org/officeDocument/2006/docPropsVTypes"/>
</file>