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11.png" ContentType="image/png"/>
  <Override PartName="/word/media/logo-bedroc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691640" cy="329184"/>
            <wp:effectExtent b="0" l="0" r="0" t="0"/>
            <wp:docPr descr="" title="" id="912" name="Picture"/>
            <a:graphic>
              <a:graphicData uri="http://schemas.openxmlformats.org/drawingml/2006/picture">
                <pic:pic>
                  <pic:nvPicPr>
                    <pic:cNvPr descr="logo-bedrock.png" id="913" name="Picture"/>
                    <pic:cNvPicPr>
                      <a:picLocks noChangeArrowheads="1" noChangeAspect="1"/>
                    </pic:cNvPicPr>
                  </pic:nvPicPr>
                  <pic:blipFill>
                    <a:blip r:embed="rId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329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Eyebrow"/>
      </w:pPr>
      <w:r>
        <w:t xml:space="preserve">Análisis de caso laboral · Radicado 2025-00023-00</w:t>
      </w:r>
    </w:p>
    <w:p>
      <w:pPr>
        <w:pStyle w:val="PortadaTitulo"/>
      </w:pPr>
      <w:r>
        <w:t xml:space="preserve">Análisis profundo caso Jhonatan Andrey Londoño Restrepo vs Serlogísticos S.A.S.</w:t>
      </w:r>
    </w:p>
    <w:p>
      <w:pPr>
        <w:pStyle w:val="LineaAcento"/>
      </w:pPr>
      <w:r>
        <w:t xml:space="preserve"> </w:t>
      </w:r>
    </w:p>
    <w:p>
      <w:pPr>
        <w:pStyle w:val="Lede"/>
      </w:pPr>
      <w:r>
        <w:t xml:space="preserve">Análisis jurídico y estratégico de litigio laboral con recomendación de negociación en Centro de Conciliación.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/>
      </w:tblPr>
      <w:tblGrid>
        <w:gridCol w:w="3000"/>
        <w:gridCol w:w="3000"/>
        <w:gridCol w:w="3000"/>
      </w:tblGrid>
      <w:tr>
        <w:tc>
          <w:tcPr>
            <w:tcW w:w="3000" w:type="dxa"/>
            <w:tcMar>
              <w:right w:w="200" w:type="dxa"/>
            </w:tcMar>
          </w:tcPr>
          <w:p>
            <w:pPr>
              <w:spacing w:before="0" w:after="20"/>
            </w:pPr>
            <w:r>
              <w:rPr>
                <w:rFonts w:asciiTheme="majorHAnsi" w:hAnsiTheme="majorHAnsi"/>
                <w:b/>
                <w:caps/>
                <w:color w:val="6B6F7A"/>
                <w:spacing w:val="20"/>
                <w:sz w:val="15"/>
              </w:rPr>
              <w:t xml:space="preserve">Documento</w:t>
            </w:r>
          </w:p>
          <w:p>
            <w:r>
              <w:rPr>
                <w:color w:val="1B1D36"/>
                <w:sz w:val="20"/>
              </w:rPr>
              <w:t xml:space="preserve">Análisis de caso</w:t>
            </w:r>
          </w:p>
        </w:tc>
        <w:tc>
          <w:tcPr>
            <w:tcW w:w="3000" w:type="dxa"/>
            <w:tcMar>
              <w:right w:w="200" w:type="dxa"/>
            </w:tcMar>
          </w:tcPr>
          <w:p>
            <w:pPr>
              <w:spacing w:before="0" w:after="20"/>
            </w:pPr>
            <w:r>
              <w:rPr>
                <w:rFonts w:asciiTheme="majorHAnsi" w:hAnsiTheme="majorHAnsi"/>
                <w:b/>
                <w:caps/>
                <w:color w:val="6B6F7A"/>
                <w:spacing w:val="20"/>
                <w:sz w:val="15"/>
              </w:rPr>
              <w:t xml:space="preserve">Fecha</w:t>
            </w:r>
          </w:p>
          <w:p>
            <w:r>
              <w:rPr>
                <w:color w:val="1B1D36"/>
                <w:sz w:val="20"/>
              </w:rPr>
              <w:t xml:space="preserve">2026-09-04</w:t>
            </w:r>
          </w:p>
        </w:tc>
        <w:tc>
          <w:tcPr>
            <w:tcW w:w="3000" w:type="dxa"/>
            <w:tcMar>
              <w:right w:w="200" w:type="dxa"/>
            </w:tcMar>
          </w:tcPr>
          <w:p>
            <w:pPr>
              <w:spacing w:before="0" w:after="20"/>
            </w:pPr>
            <w:r>
              <w:rPr>
                <w:rFonts w:asciiTheme="majorHAnsi" w:hAnsiTheme="majorHAnsi"/>
                <w:b/>
                <w:caps/>
                <w:color w:val="6B6F7A"/>
                <w:spacing w:val="20"/>
                <w:sz w:val="15"/>
              </w:rPr>
              <w:t xml:space="preserve">Alcance</w:t>
            </w:r>
          </w:p>
          <w:p>
            <w:r>
              <w:rPr>
                <w:color w:val="1B1D36"/>
                <w:sz w:val="20"/>
              </w:rPr>
              <w:t xml:space="preserve">Confidencial · Abogado-cliente</w:t>
            </w:r>
          </w:p>
        </w:tc>
      </w:tr>
    </w:tbl>
    <w:p>
      <w:pPr>
        <w:pStyle w:val="ResumenTitulo"/>
      </w:pPr>
      <w:r>
        <w:t xml:space="preserve">Resumen del documento</w:t>
      </w:r>
    </w:p>
    <w:p>
      <w:pPr>
        <w:pStyle w:val="ResumenItem"/>
      </w:pPr>
      <w:r>
        <w:rPr>
          <w:b/>
          <w:bCs/>
        </w:rPr>
        <w:t xml:space="preserve">Radicado:</w:t>
      </w:r>
      <w:r>
        <w:t xml:space="preserve"> </w:t>
      </w:r>
      <w:r>
        <w:t xml:space="preserve">2025-00023-00 — Primero Laboral del Circuito, Itagüí (Antioquia)</w:t>
      </w:r>
    </w:p>
    <w:p>
      <w:pPr>
        <w:pStyle w:val="ResumenItem"/>
      </w:pPr>
      <w:r>
        <w:rPr>
          <w:b/>
          <w:bCs/>
        </w:rPr>
        <w:t xml:space="preserve">Estado:</w:t>
      </w:r>
      <w:r>
        <w:t xml:space="preserve"> </w:t>
      </w:r>
      <w:r>
        <w:t xml:space="preserve">Contestación presentada. Fase probatoria y sentencia pendientes.</w:t>
      </w:r>
    </w:p>
    <w:p>
      <w:pPr>
        <w:pStyle w:val="ResumenItem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Negociación en Centro de Conciliación por 2-4 meses.</w:t>
      </w:r>
    </w:p>
    <w:p>
      <w:pPr>
        <w:pStyle w:val="ResumenItem"/>
      </w:pPr>
      <w:r>
        <w:rPr>
          <w:b/>
          <w:bCs/>
        </w:rPr>
        <w:t xml:space="preserve">Cuantía realista:</w:t>
      </w:r>
      <w:r>
        <w:t xml:space="preserve"> </w:t>
      </w:r>
      <w:r>
        <w:t xml:space="preserve">$55M–$70M con 100% de certidumbre vs 45-55% en litigio.</w:t>
      </w:r>
    </w:p>
    <w:p>
      <w:pPr>
        <w:pStyle w:val="FinePrint"/>
      </w:pPr>
      <w:r>
        <w:t xml:space="preserve">Este análisis es confidencial y se produce bajo la relación abogado-cliente. Su contenido es de uso exclusivo del destinatario.</w:t>
      </w:r>
    </w:p>
    <w:p>
      <w:r>
        <w:br w:type="page"/>
      </w:r>
    </w:p>
    <w:bookmarkStart w:id="946" w:name="X6e5cff03f9e28131cfecd2bafde04748dc64059"/>
    <w:p>
      <w:pPr>
        <w:pStyle w:val="Heading1"/>
      </w:pPr>
      <w:r>
        <w:t xml:space="preserve">ANÁLISIS PROFUNDO CASO JHONATAN ANDREY LONDOÑO RESTREPO vs SERLOGÍSTICOS S.A.S.</w:t>
      </w:r>
    </w:p>
    <w:p>
      <w:pPr>
        <w:pStyle w:val="FirstParagraph"/>
      </w:pPr>
      <w:r>
        <w:rPr>
          <w:b/>
          <w:bCs/>
        </w:rPr>
        <w:t xml:space="preserve">Radicado:</w:t>
      </w:r>
      <w:r>
        <w:t xml:space="preserve"> </w:t>
      </w:r>
      <w:r>
        <w:t xml:space="preserve">2025-00023-00</w:t>
      </w:r>
      <w:r>
        <w:br/>
      </w:r>
      <w:r>
        <w:rPr>
          <w:b/>
          <w:bCs/>
        </w:rPr>
        <w:t xml:space="preserve">Juzgado:</w:t>
      </w:r>
      <w:r>
        <w:t xml:space="preserve"> </w:t>
      </w:r>
      <w:r>
        <w:t xml:space="preserve">Primero Laboral del Circuito, Itagüí (Antioquia)</w:t>
      </w:r>
      <w:r>
        <w:br/>
      </w:r>
      <w:r>
        <w:rPr>
          <w:b/>
          <w:bCs/>
        </w:rPr>
        <w:t xml:space="preserve">Fecha de análisis:</w:t>
      </w:r>
      <w:r>
        <w:t xml:space="preserve"> </w:t>
      </w:r>
      <w:r>
        <w:t xml:space="preserve">2026-09-03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Contestación presentada. Falta fase probatoria y sentencia.</w:t>
      </w:r>
    </w:p>
    <w:p>
      <w:r>
        <w:pict>
          <v:rect style="width:0;height:1.5pt" o:hralign="center" o:hrstd="t" o:hr="t"/>
        </w:pict>
      </w:r>
    </w:p>
    <w:bookmarkStart w:id="917" w:name="i.-hechos-establecidos"/>
    <w:p>
      <w:pPr>
        <w:pStyle w:val="Heading2"/>
      </w:pPr>
      <w:r>
        <w:t xml:space="preserve">I. HECHOS ESTABLECIDOS</w:t>
      </w:r>
    </w:p>
    <w:bookmarkStart w:id="914" w:name="relación-laboral"/>
    <w:p>
      <w:pPr>
        <w:pStyle w:val="Heading3"/>
      </w:pPr>
      <w:r>
        <w:t xml:space="preserve">Relación laboral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Período:</w:t>
      </w:r>
      <w:r>
        <w:t xml:space="preserve"> </w:t>
      </w:r>
      <w:r>
        <w:t xml:space="preserve">01/02/2022 – 30/05/2023 (primera terminación)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Cargo:</w:t>
      </w:r>
      <w:r>
        <w:t xml:space="preserve"> </w:t>
      </w:r>
      <w:r>
        <w:t xml:space="preserve">Auxiliar de bodega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Salario base:</w:t>
      </w:r>
      <w:r>
        <w:t xml:space="preserve"> </w:t>
      </w:r>
      <w:r>
        <w:t xml:space="preserve">$1.000.000 (2022) →$1.200.000 (2023)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Modalidad:</w:t>
      </w:r>
      <w:r>
        <w:t xml:space="preserve"> </w:t>
      </w:r>
      <w:r>
        <w:t xml:space="preserve">Contrato a término indefinido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Horario:</w:t>
      </w:r>
      <w:r>
        <w:t xml:space="preserve"> </w:t>
      </w:r>
      <w:r>
        <w:t xml:space="preserve">Turnos incluidos, con horas extras y trabajo en días festivos</w:t>
      </w:r>
    </w:p>
    <w:bookmarkEnd w:id="914"/>
    <w:bookmarkStart w:id="915" w:name="afectación-de-salud"/>
    <w:p>
      <w:pPr>
        <w:pStyle w:val="Heading3"/>
      </w:pPr>
      <w:r>
        <w:t xml:space="preserve">Afectación de salud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Diagnóstico:</w:t>
      </w:r>
      <w:r>
        <w:t xml:space="preserve"> </w:t>
      </w:r>
      <w:r>
        <w:t xml:space="preserve">Patologías oftalmológicas (keratocono, astigmatismo)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Intervención:</w:t>
      </w:r>
      <w:r>
        <w:t xml:space="preserve"> </w:t>
      </w:r>
      <w:r>
        <w:t xml:space="preserve">Dos cirugías de córnea, última con trasplante (2022)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Restricciones médicas:</w:t>
      </w:r>
      <w:r>
        <w:t xml:space="preserve"> </w:t>
      </w:r>
      <w:r>
        <w:t xml:space="preserve">Trabajo con gafas de seguridad, evitar polvo y químicos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Seguimiento:</w:t>
      </w:r>
      <w:r>
        <w:t xml:space="preserve"> </w:t>
      </w:r>
      <w:r>
        <w:t xml:space="preserve">Médico ocupacional continuo (2022, 2023)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al despido (30/05/2023):</w:t>
      </w:r>
      <w:r>
        <w:t xml:space="preserve"> </w:t>
      </w:r>
      <w:r>
        <w:t xml:space="preserve">En debilidad manifiesta, con restricciones laborales vigentes</w:t>
      </w:r>
    </w:p>
    <w:bookmarkEnd w:id="915"/>
    <w:bookmarkStart w:id="916" w:name="terminaciones-del-contrato"/>
    <w:p>
      <w:pPr>
        <w:pStyle w:val="Heading3"/>
      </w:pPr>
      <w:r>
        <w:t xml:space="preserve">Terminaciones del contrato</w:t>
      </w:r>
    </w:p>
    <w:p>
      <w:pPr>
        <w:pStyle w:val="FirstParagraph"/>
      </w:pPr>
      <w:r>
        <w:rPr>
          <w:b/>
          <w:bCs/>
        </w:rPr>
        <w:t xml:space="preserve">Primera:</w:t>
      </w:r>
      <w:r>
        <w:t xml:space="preserve"> </w:t>
      </w:r>
      <w:r>
        <w:t xml:space="preserve">30/05/2023</w:t>
      </w:r>
    </w:p>
    <w:p>
      <w:pPr>
        <w:pStyle w:val="Compact"/>
        <w:numPr>
          <w:ilvl w:val="0"/>
          <w:numId w:val="1003"/>
        </w:numPr>
      </w:pPr>
      <w:r>
        <w:t xml:space="preserve">Declarada sin justa causa por Serlogísticos (admitido)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Pagó indemnización Art. 64 CST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Momento: Una semana después de retornar de incapacidad post-operatoria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Causante alegado: No cumplimiento adecuado de obligaciones (vago)</w:t>
      </w:r>
    </w:p>
    <w:p>
      <w:pPr>
        <w:pStyle w:val="FirstParagraph"/>
      </w:pPr>
      <w:r>
        <w:rPr>
          <w:b/>
          <w:bCs/>
        </w:rPr>
        <w:t xml:space="preserve">Segunda:</w:t>
      </w:r>
      <w:r>
        <w:t xml:space="preserve"> </w:t>
      </w:r>
      <w:r>
        <w:t xml:space="preserve">30/09/2023</w:t>
      </w:r>
    </w:p>
    <w:p>
      <w:pPr>
        <w:pStyle w:val="Compact"/>
        <w:numPr>
          <w:ilvl w:val="0"/>
          <w:numId w:val="1004"/>
        </w:numPr>
      </w:pPr>
      <w:r>
        <w:t xml:space="preserve">Declarada sin justa causa por Serlogísticos (admitido)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Ocurrió después de sentencia de tutela que ordenó reintegro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Justificación: Cumplimiento de orden del juez (pero término definitivo después)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No pagó salarios desde 30/05 a 30/09 (durante reintegro)</w:t>
      </w:r>
    </w:p>
    <w:p>
      <w:r>
        <w:pict>
          <v:rect style="width:0;height:1.5pt" o:hralign="center" o:hrstd="t" o:hr="t"/>
        </w:pict>
      </w:r>
    </w:p>
    <w:bookmarkEnd w:id="916"/>
    <w:bookmarkEnd w:id="917"/>
    <w:bookmarkStart w:id="920" w:name="Xeadce1f549e336176949eebac710991750a6a37"/>
    <w:p>
      <w:pPr>
        <w:pStyle w:val="Heading2"/>
      </w:pPr>
      <w:r>
        <w:t xml:space="preserve">II. NÚCLEO DEL LITIGIO: ESTABILIDAD LABORAL REFORZADA</w:t>
      </w:r>
    </w:p>
    <w:bookmarkStart w:id="918" w:name="pretensión-de-jhonatan"/>
    <w:p>
      <w:pPr>
        <w:pStyle w:val="Heading3"/>
      </w:pPr>
      <w:r>
        <w:t xml:space="preserve">Pretensión de Jhonatan</w:t>
      </w:r>
    </w:p>
    <w:p>
      <w:pPr>
        <w:pStyle w:val="FirstParagraph"/>
      </w:pPr>
      <w:r>
        <w:t xml:space="preserve">Que se declare:</w:t>
      </w:r>
    </w:p>
    <w:p>
      <w:pPr>
        <w:pStyle w:val="Compact"/>
        <w:numPr>
          <w:ilvl w:val="0"/>
          <w:numId w:val="1005"/>
        </w:numPr>
      </w:pPr>
      <w:r>
        <w:t xml:space="preserve">Las dos terminaciones como ilegales e injustas</w:t>
      </w:r>
    </w:p>
    <w:p>
      <w:pPr>
        <w:pStyle w:val="Compact"/>
        <w:numPr>
          <w:ilvl w:val="0"/>
          <w:numId w:val="1005"/>
        </w:numPr>
      </w:pPr>
      <w:r>
        <w:t xml:space="preserve">Reintegro al cargo con salarios desde 30/05/2023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Indemnización especial Art. 26 Ley 361/1997:</w:t>
      </w:r>
      <w:r>
        <w:t xml:space="preserve"> </w:t>
      </w:r>
      <w:r>
        <w:t xml:space="preserve">180 días de salario por haber sido despedido estando en debilidad manifiesta sin autorización previa del Ministerio de Trabajo</w:t>
      </w:r>
    </w:p>
    <w:bookmarkEnd w:id="918"/>
    <w:bookmarkStart w:id="919" w:name="conflicto-jurisprudencial-de-fondo"/>
    <w:p>
      <w:pPr>
        <w:pStyle w:val="Heading3"/>
      </w:pPr>
      <w:r>
        <w:t xml:space="preserve">Conflicto jurisprudencial de fondo</w:t>
      </w:r>
    </w:p>
    <w:p>
      <w:pPr>
        <w:pStyle w:val="FirstParagraph"/>
      </w:pPr>
      <w:r>
        <w:rPr>
          <w:b/>
          <w:bCs/>
        </w:rPr>
        <w:t xml:space="preserve">Serlogísticos argumenta</w:t>
      </w:r>
      <w:r>
        <w:t xml:space="preserve"> </w:t>
      </w:r>
      <w:r>
        <w:t xml:space="preserve">(basado en CSJ 2012, 2016):</w:t>
      </w:r>
    </w:p>
    <w:p>
      <w:pPr>
        <w:pStyle w:val="Compact"/>
        <w:numPr>
          <w:ilvl w:val="0"/>
          <w:numId w:val="1006"/>
        </w:numPr>
      </w:pPr>
      <w:r>
        <w:t xml:space="preserve">Requisito: Limitación moderada con</w:t>
      </w:r>
      <w:r>
        <w:t xml:space="preserve"> </w:t>
      </w:r>
      <w:r>
        <w:rPr>
          <w:b/>
          <w:bCs/>
        </w:rPr>
        <w:t xml:space="preserve">≥15% pérdida de capacidad laboral</w:t>
      </w:r>
    </w:p>
    <w:p>
      <w:pPr>
        <w:pStyle w:val="Compact"/>
        <w:numPr>
          <w:ilvl w:val="0"/>
          <w:numId w:val="1006"/>
        </w:numPr>
      </w:pPr>
      <w:r>
        <w:t xml:space="preserve">Los documentos médicos NO certifican esa pérdida</w:t>
      </w:r>
    </w:p>
    <w:p>
      <w:pPr>
        <w:pStyle w:val="Compact"/>
        <w:numPr>
          <w:ilvl w:val="0"/>
          <w:numId w:val="1006"/>
        </w:numPr>
      </w:pPr>
      <w:r>
        <w:t xml:space="preserve">Evolución post-quirúrgica fue satisfactoria (24/05/2023:</w:t>
      </w:r>
      <w:r>
        <w:t xml:space="preserve"> </w:t>
      </w:r>
      <w:r>
        <w:t xml:space="preserve">“POP satisfactoria”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Puede trabajar con gafas (mitigante técnico)</w:t>
      </w:r>
    </w:p>
    <w:p>
      <w:pPr>
        <w:pStyle w:val="Compact"/>
        <w:numPr>
          <w:ilvl w:val="0"/>
          <w:numId w:val="1006"/>
        </w:numPr>
      </w:pPr>
      <w:r>
        <w:t xml:space="preserve">No hay enfermedad crónica (cirugía fue 3 años atrás)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No merece estabilidad reforzada</w:t>
      </w:r>
    </w:p>
    <w:p>
      <w:pPr>
        <w:pStyle w:val="FirstParagraph"/>
      </w:pPr>
      <w:r>
        <w:rPr>
          <w:b/>
          <w:bCs/>
        </w:rPr>
        <w:t xml:space="preserve">Jhonatan argumenta</w:t>
      </w:r>
      <w:r>
        <w:t xml:space="preserve"> </w:t>
      </w:r>
      <w:r>
        <w:t xml:space="preserve">(basado en SU 049/2017 - Corte Constitucional):</w:t>
      </w:r>
    </w:p>
    <w:p>
      <w:pPr>
        <w:pStyle w:val="Compact"/>
        <w:numPr>
          <w:ilvl w:val="0"/>
          <w:numId w:val="1007"/>
        </w:numPr>
      </w:pPr>
      <w:r>
        <w:t xml:space="preserve">Requisito NO es ≥15% de pérdida de capacidad laboral formal</w:t>
      </w:r>
    </w:p>
    <w:p>
      <w:pPr>
        <w:pStyle w:val="Compact"/>
        <w:numPr>
          <w:ilvl w:val="0"/>
          <w:numId w:val="1007"/>
        </w:numPr>
      </w:pPr>
      <w:r>
        <w:t xml:space="preserve">Requisito ES: Que exista limitación que impida o dificulte</w:t>
      </w:r>
      <w:r>
        <w:t xml:space="preserve"> </w:t>
      </w:r>
      <w:r>
        <w:rPr>
          <w:b/>
          <w:bCs/>
        </w:rPr>
        <w:t xml:space="preserve">sustancialmente</w:t>
      </w:r>
      <w:r>
        <w:t xml:space="preserve"> </w:t>
      </w:r>
      <w:r>
        <w:t xml:space="preserve">el desempeño</w:t>
      </w:r>
    </w:p>
    <w:p>
      <w:pPr>
        <w:pStyle w:val="Compact"/>
        <w:numPr>
          <w:ilvl w:val="0"/>
          <w:numId w:val="1007"/>
        </w:numPr>
      </w:pPr>
      <w:r>
        <w:t xml:space="preserve">Requiere: Restricciones laborales vigentes + tratamiento médico pendiente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Hechos que lo evidencian:</w:t>
      </w:r>
    </w:p>
    <w:p>
      <w:pPr>
        <w:pStyle w:val="Compact"/>
        <w:numPr>
          <w:ilvl w:val="1"/>
          <w:numId w:val="1008"/>
        </w:numPr>
      </w:pPr>
      <w:r>
        <w:t xml:space="preserve">Certificado de 25/05/2023 (pre-despido):</w:t>
      </w:r>
      <w:r>
        <w:t xml:space="preserve"> </w:t>
      </w:r>
      <w:r>
        <w:t xml:space="preserve">“Puede continuar con RESTRICCIÓN”</w:t>
      </w:r>
    </w:p>
    <w:p>
      <w:pPr>
        <w:pStyle w:val="Compact"/>
        <w:numPr>
          <w:ilvl w:val="1"/>
          <w:numId w:val="1008"/>
        </w:numPr>
      </w:pPr>
      <w:r>
        <w:t xml:space="preserve">Restricción TEMPORAL documentada</w:t>
      </w:r>
    </w:p>
    <w:p>
      <w:pPr>
        <w:pStyle w:val="Compact"/>
        <w:numPr>
          <w:ilvl w:val="1"/>
          <w:numId w:val="1008"/>
        </w:numPr>
      </w:pPr>
      <w:r>
        <w:t xml:space="preserve">Recomendaciones: Gafas, evitar polvo y químicos</w:t>
      </w:r>
    </w:p>
    <w:p>
      <w:pPr>
        <w:pStyle w:val="Compact"/>
        <w:numPr>
          <w:ilvl w:val="1"/>
          <w:numId w:val="1008"/>
        </w:numPr>
      </w:pPr>
      <w:r>
        <w:t xml:space="preserve">Seguimiento médico-ocupacional en curso</w:t>
      </w:r>
    </w:p>
    <w:p>
      <w:pPr>
        <w:pStyle w:val="Compact"/>
        <w:numPr>
          <w:ilvl w:val="1"/>
          <w:numId w:val="1008"/>
        </w:numPr>
      </w:pPr>
      <w:r>
        <w:t xml:space="preserve">Trasplante de córnea es procedimiento grave</w:t>
      </w:r>
    </w:p>
    <w:p>
      <w:r>
        <w:pict>
          <v:rect style="width:0;height:1.5pt" o:hralign="center" o:hrstd="t" o:hr="t"/>
        </w:pict>
      </w:r>
    </w:p>
    <w:bookmarkEnd w:id="919"/>
    <w:bookmarkEnd w:id="920"/>
    <w:bookmarkStart w:id="923" w:name="iii.-análisis-crítico-de-pruebas"/>
    <w:p>
      <w:pPr>
        <w:pStyle w:val="Heading2"/>
      </w:pPr>
      <w:r>
        <w:t xml:space="preserve">III. ANÁLISIS CRÍTICO DE PRUEBAS</w:t>
      </w:r>
    </w:p>
    <w:bookmarkStart w:id="921" w:name="X851928df723dd746f90eb9f112b96c0cc058c7d"/>
    <w:p>
      <w:pPr>
        <w:pStyle w:val="Heading3"/>
      </w:pPr>
      <w:r>
        <w:t xml:space="preserve">Documentos médicos en poder de Serlogísticos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0"/>
        <w:gridCol w:w="1406"/>
        <w:gridCol w:w="2590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  <w:tc>
          <w:tcPr/>
          <w:p>
            <w:pPr>
              <w:pStyle w:val="Compact"/>
            </w:pPr>
            <w:r>
              <w:t xml:space="preserve">Observación 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31/01/2022</w:t>
            </w:r>
          </w:p>
        </w:tc>
        <w:tc>
          <w:tcPr/>
          <w:p>
            <w:pPr>
              <w:pStyle w:val="Compact"/>
            </w:pPr>
            <w:r>
              <w:t xml:space="preserve">Ocupacional ingreso</w:t>
            </w:r>
          </w:p>
        </w:tc>
        <w:tc>
          <w:tcPr/>
          <w:p>
            <w:pPr>
              <w:pStyle w:val="Compact"/>
            </w:pPr>
            <w:r>
              <w:t xml:space="preserve">APTO CON RECOMENDACIONES</w:t>
            </w:r>
          </w:p>
        </w:tc>
        <w:tc>
          <w:tcPr/>
          <w:p>
            <w:pPr>
              <w:pStyle w:val="Compact"/>
            </w:pPr>
            <w:r>
              <w:t xml:space="preserve">Utilizar gafas; especialista oftalmología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25/05/2023</w:t>
            </w:r>
          </w:p>
        </w:tc>
        <w:tc>
          <w:tcPr/>
          <w:p>
            <w:pPr>
              <w:pStyle w:val="Compact"/>
            </w:pPr>
            <w:r>
              <w:t xml:space="preserve">Post-incapacidad</w:t>
            </w:r>
          </w:p>
        </w:tc>
        <w:tc>
          <w:tcPr/>
          <w:p>
            <w:pPr>
              <w:pStyle w:val="Compact"/>
            </w:pPr>
            <w:r>
              <w:t xml:space="preserve">PUEDE CONTINUAR CON RESTRICCIÓN</w:t>
            </w:r>
          </w:p>
        </w:tc>
        <w:tc>
          <w:tcPr/>
          <w:p>
            <w:pPr>
              <w:pStyle w:val="Compact"/>
            </w:pPr>
            <w:r>
              <w:t xml:space="preserve">Restricción TEMPORAL; gafas; revisión 1 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24/01/2023</w:t>
            </w:r>
          </w:p>
        </w:tc>
        <w:tc>
          <w:tcPr/>
          <w:p>
            <w:pPr>
              <w:pStyle w:val="Compact"/>
            </w:pPr>
            <w:r>
              <w:t xml:space="preserve">Periódico</w:t>
            </w:r>
          </w:p>
        </w:tc>
        <w:tc>
          <w:tcPr/>
          <w:p>
            <w:pPr>
              <w:pStyle w:val="Compact"/>
            </w:pPr>
            <w:r>
              <w:t xml:space="preserve">Puede continuar con recomendaciones</w:t>
            </w:r>
          </w:p>
        </w:tc>
        <w:tc>
          <w:tcPr/>
          <w:p>
            <w:pPr>
              <w:pStyle w:val="Compact"/>
            </w:pPr>
            <w:r>
              <w:t xml:space="preserve">Visometría positiva; 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06/06/2023</w:t>
            </w:r>
          </w:p>
        </w:tc>
        <w:tc>
          <w:tcPr/>
          <w:p>
            <w:pPr>
              <w:pStyle w:val="Compact"/>
            </w:pPr>
            <w:r>
              <w:t xml:space="preserve">Egreso</w:t>
            </w:r>
          </w:p>
        </w:tc>
        <w:tc>
          <w:tcPr/>
          <w:p>
            <w:pPr>
              <w:pStyle w:val="Compact"/>
            </w:pPr>
            <w:r>
              <w:t xml:space="preserve">RETIRO NO SATISFACTORIO</w:t>
            </w:r>
          </w:p>
        </w:tc>
        <w:tc>
          <w:tcPr/>
          <w:p>
            <w:pPr>
              <w:pStyle w:val="Compact"/>
            </w:pPr>
            <w:r>
              <w:t xml:space="preserve">Post-terminación; continuar manejo médico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 favorable a Serlogísticos:</w:t>
      </w:r>
    </w:p>
    <w:p>
      <w:pPr>
        <w:pStyle w:val="Compact"/>
        <w:numPr>
          <w:ilvl w:val="0"/>
          <w:numId w:val="1009"/>
        </w:numPr>
      </w:pPr>
      <w:r>
        <w:t xml:space="preserve">Documentos dicen</w:t>
      </w:r>
      <w:r>
        <w:t xml:space="preserve"> </w:t>
      </w:r>
      <w:r>
        <w:t xml:space="preserve">“apto”</w:t>
      </w:r>
      <w:r>
        <w:t xml:space="preserve"> </w:t>
      </w:r>
      <w:r>
        <w:t xml:space="preserve">o</w:t>
      </w:r>
      <w:r>
        <w:t xml:space="preserve"> </w:t>
      </w:r>
      <w:r>
        <w:t xml:space="preserve">“puede continuar”</w:t>
      </w:r>
    </w:p>
    <w:p>
      <w:pPr>
        <w:pStyle w:val="Compact"/>
        <w:numPr>
          <w:ilvl w:val="0"/>
          <w:numId w:val="1009"/>
        </w:numPr>
      </w:pPr>
      <w:r>
        <w:t xml:space="preserve">Última evaluación ocular (04/07/2024, citada en contestación):</w:t>
      </w:r>
      <w:r>
        <w:t xml:space="preserve"> </w:t>
      </w:r>
      <w:r>
        <w:t xml:space="preserve">“Injerto OK, suturas bien, cornea transparente, sin infiltrados”</w:t>
      </w:r>
    </w:p>
    <w:p>
      <w:pPr>
        <w:pStyle w:val="FirstParagraph"/>
      </w:pPr>
      <w:r>
        <w:rPr>
          <w:b/>
          <w:bCs/>
        </w:rPr>
        <w:t xml:space="preserve">Interpretación favorable a Jhonatan:</w:t>
      </w:r>
    </w:p>
    <w:p>
      <w:pPr>
        <w:pStyle w:val="Compact"/>
        <w:numPr>
          <w:ilvl w:val="0"/>
          <w:numId w:val="1010"/>
        </w:numPr>
      </w:pPr>
      <w:r>
        <w:t xml:space="preserve">25/05/2023 dice</w:t>
      </w:r>
      <w:r>
        <w:t xml:space="preserve"> </w:t>
      </w:r>
      <w:r>
        <w:t xml:space="preserve">“RESTRICCIÓN TEMPORAL”</w:t>
      </w:r>
      <w:r>
        <w:t xml:space="preserve"> </w:t>
      </w:r>
      <w:r>
        <w:t xml:space="preserve">(no</w:t>
      </w:r>
      <w:r>
        <w:t xml:space="preserve"> </w:t>
      </w:r>
      <w:r>
        <w:t xml:space="preserve">“resuelto”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Todas las evaluaciones condicionan al uso de gafas (no es plena capacidad)</w:t>
      </w:r>
    </w:p>
    <w:p>
      <w:pPr>
        <w:pStyle w:val="Compact"/>
        <w:numPr>
          <w:ilvl w:val="0"/>
          <w:numId w:val="1010"/>
        </w:numPr>
      </w:pPr>
      <w:r>
        <w:t xml:space="preserve">Concepto 06/06/2023 (post-despido) dice</w:t>
      </w:r>
      <w:r>
        <w:t xml:space="preserve"> </w:t>
      </w:r>
      <w:r>
        <w:t xml:space="preserve">“retiro no satisfactorio”</w:t>
      </w:r>
      <w:r>
        <w:t xml:space="preserve"> </w:t>
      </w:r>
      <w:r>
        <w:t xml:space="preserve">+</w:t>
      </w:r>
      <w:r>
        <w:t xml:space="preserve"> </w:t>
      </w:r>
      <w:r>
        <w:t xml:space="preserve">“continuar manejo médico”</w:t>
      </w:r>
    </w:p>
    <w:p>
      <w:pPr>
        <w:pStyle w:val="Compact"/>
        <w:numPr>
          <w:ilvl w:val="0"/>
          <w:numId w:val="1010"/>
        </w:numPr>
      </w:pPr>
      <w:r>
        <w:t xml:space="preserve">La sucesión de conceptos muestra afectación continua por 1.5 años (02/2022 – 06/2023)</w:t>
      </w:r>
    </w:p>
    <w:bookmarkEnd w:id="921"/>
    <w:bookmarkStart w:id="922" w:name="Xab17dc19891df15594b8092074fb8a8205ed46f"/>
    <w:p>
      <w:pPr>
        <w:pStyle w:val="Heading3"/>
      </w:pPr>
      <w:r>
        <w:t xml:space="preserve">Acta de Seguimiento a Recomendaciones (20/06/2023)</w:t>
      </w:r>
    </w:p>
    <w:p>
      <w:pPr>
        <w:pStyle w:val="FirstParagraph"/>
      </w:pPr>
      <w:r>
        <w:rPr>
          <w:b/>
          <w:bCs/>
        </w:rPr>
        <w:t xml:space="preserve">Contenido:</w:t>
      </w:r>
    </w:p>
    <w:p>
      <w:pPr>
        <w:pStyle w:val="Compact"/>
        <w:numPr>
          <w:ilvl w:val="0"/>
          <w:numId w:val="1011"/>
        </w:numPr>
      </w:pPr>
      <w:r>
        <w:t xml:space="preserve">Asistentes: Director Administrativo, Gerente, Subgerente</w:t>
      </w:r>
    </w:p>
    <w:p>
      <w:pPr>
        <w:pStyle w:val="Compact"/>
        <w:numPr>
          <w:ilvl w:val="0"/>
          <w:numId w:val="1011"/>
        </w:numPr>
      </w:pPr>
      <w:r>
        <w:t xml:space="preserve">Tema:</w:t>
      </w:r>
      <w:r>
        <w:t xml:space="preserve"> </w:t>
      </w:r>
      <w:r>
        <w:t xml:space="preserve">“Funciones a desempeñar en reintegro laboral”</w:t>
      </w:r>
    </w:p>
    <w:p>
      <w:pPr>
        <w:pStyle w:val="Compact"/>
        <w:numPr>
          <w:ilvl w:val="0"/>
          <w:numId w:val="1011"/>
        </w:numPr>
      </w:pPr>
      <w:r>
        <w:t xml:space="preserve">Observaciones:</w:t>
      </w:r>
      <w:r>
        <w:t xml:space="preserve"> </w:t>
      </w:r>
      <w:r>
        <w:t xml:space="preserve">“Proteger gafas recomendadas, evitar polvo y contacto con químicos”</w:t>
      </w:r>
    </w:p>
    <w:p>
      <w:pPr>
        <w:pStyle w:val="Compact"/>
        <w:numPr>
          <w:ilvl w:val="0"/>
          <w:numId w:val="1011"/>
        </w:numPr>
      </w:pPr>
      <w:r>
        <w:t xml:space="preserve">Cargo:</w:t>
      </w:r>
      <w:r>
        <w:t xml:space="preserve"> </w:t>
      </w:r>
      <w:r>
        <w:t xml:space="preserve">“Auxiliar de carga y descarga”</w:t>
      </w:r>
      <w:r>
        <w:t xml:space="preserve"> </w:t>
      </w:r>
      <w:r>
        <w:t xml:space="preserve">(MISMO cargo que pre-despido)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Serlogísticos reconoce por escrito que el trabajador tiene restricciones que demandan supervisión especial. El</w:t>
      </w:r>
      <w:r>
        <w:t xml:space="preserve"> </w:t>
      </w:r>
      <w:r>
        <w:t xml:space="preserve">“reintegro”</w:t>
      </w:r>
      <w:r>
        <w:t xml:space="preserve"> </w:t>
      </w:r>
      <w:r>
        <w:t xml:space="preserve">ocurrió, pero con protocolo de limitaciones.</w:t>
      </w:r>
    </w:p>
    <w:p>
      <w:r>
        <w:pict>
          <v:rect style="width:0;height:1.5pt" o:hralign="center" o:hrstd="t" o:hr="t"/>
        </w:pict>
      </w:r>
    </w:p>
    <w:bookmarkEnd w:id="922"/>
    <w:bookmarkEnd w:id="923"/>
    <w:bookmarkStart w:id="926" w:name="Xbc828b288ed5bef44dd2aad7463adef989c3419"/>
    <w:p>
      <w:pPr>
        <w:pStyle w:val="Heading2"/>
      </w:pPr>
      <w:r>
        <w:t xml:space="preserve">IV. VULNERABILIDAD PROCESAL DE CADA PARTE</w:t>
      </w:r>
    </w:p>
    <w:bookmarkStart w:id="924" w:name="vulnerabilidades-de-serlogísticos"/>
    <w:p>
      <w:pPr>
        <w:pStyle w:val="Heading3"/>
      </w:pPr>
      <w:r>
        <w:t xml:space="preserve">Vulnerabilidades de Serlogísticos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Patrón de dos terminaciones</w:t>
      </w:r>
    </w:p>
    <w:p>
      <w:pPr>
        <w:pStyle w:val="Compact"/>
        <w:numPr>
          <w:ilvl w:val="0"/>
          <w:numId w:val="1013"/>
        </w:numPr>
      </w:pPr>
      <w:r>
        <w:t xml:space="preserve">Termina 30/05/2023 (post-incapacidad)</w:t>
      </w:r>
    </w:p>
    <w:p>
      <w:pPr>
        <w:pStyle w:val="Compact"/>
        <w:numPr>
          <w:ilvl w:val="0"/>
          <w:numId w:val="1013"/>
        </w:numPr>
      </w:pPr>
      <w:r>
        <w:t xml:space="preserve">Lo reintegra por sentencia de tutela</w:t>
      </w:r>
    </w:p>
    <w:p>
      <w:pPr>
        <w:pStyle w:val="Compact"/>
        <w:numPr>
          <w:ilvl w:val="0"/>
          <w:numId w:val="1013"/>
        </w:numPr>
      </w:pPr>
      <w:r>
        <w:t xml:space="preserve">Termina nuevamente 30/09/2023</w:t>
      </w:r>
    </w:p>
    <w:p>
      <w:pPr>
        <w:pStyle w:val="Compact"/>
        <w:numPr>
          <w:ilvl w:val="0"/>
          <w:numId w:val="1013"/>
        </w:numPr>
      </w:pPr>
      <w:r>
        <w:t xml:space="preserve">Esto sugiere</w:t>
      </w:r>
      <w:r>
        <w:t xml:space="preserve"> </w:t>
      </w:r>
      <w:r>
        <w:rPr>
          <w:b/>
          <w:bCs/>
        </w:rPr>
        <w:t xml:space="preserve">discriminación por discapacidad</w:t>
      </w:r>
      <w:r>
        <w:t xml:space="preserve"> </w:t>
      </w:r>
      <w:r>
        <w:t xml:space="preserve">(Art. 26 Ley 361)</w:t>
      </w:r>
    </w:p>
    <w:p>
      <w:pPr>
        <w:pStyle w:val="Compact"/>
        <w:numPr>
          <w:ilvl w:val="0"/>
          <w:numId w:val="1013"/>
        </w:numPr>
      </w:pPr>
      <w:r>
        <w:t xml:space="preserve">Jurisprudencia: El patrón repetido de terminación es indicio de discriminación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Admisión de</w:t>
      </w:r>
      <w:r>
        <w:rPr>
          <w:b/>
          <w:bCs/>
        </w:rPr>
        <w:t xml:space="preserve"> </w:t>
      </w:r>
      <w:r>
        <w:rPr>
          <w:b/>
          <w:bCs/>
        </w:rPr>
        <w:t xml:space="preserve">“sin justa causa”</w:t>
      </w:r>
    </w:p>
    <w:p>
      <w:pPr>
        <w:pStyle w:val="Compact"/>
        <w:numPr>
          <w:ilvl w:val="0"/>
          <w:numId w:val="1015"/>
        </w:numPr>
      </w:pPr>
      <w:r>
        <w:t xml:space="preserve">En AMBAS terminaciones, Serlogísticos admite haber despedido sin justa causa</w:t>
      </w:r>
    </w:p>
    <w:p>
      <w:pPr>
        <w:pStyle w:val="Compact"/>
        <w:numPr>
          <w:ilvl w:val="0"/>
          <w:numId w:val="1015"/>
        </w:numPr>
      </w:pPr>
      <w:r>
        <w:t xml:space="preserve">Art. 26 Ley 361/1997 aplica PRECISAMENTE a despidos sin justa causa de discapacitados</w:t>
      </w:r>
    </w:p>
    <w:p>
      <w:pPr>
        <w:pStyle w:val="Compact"/>
        <w:numPr>
          <w:ilvl w:val="0"/>
          <w:numId w:val="1015"/>
        </w:numPr>
      </w:pPr>
      <w:r>
        <w:t xml:space="preserve">Esto es el supuesto de hecho de la norma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Cambio jurisprudencial</w:t>
      </w:r>
    </w:p>
    <w:p>
      <w:pPr>
        <w:pStyle w:val="Compact"/>
        <w:numPr>
          <w:ilvl w:val="0"/>
          <w:numId w:val="1017"/>
        </w:numPr>
      </w:pPr>
      <w:r>
        <w:t xml:space="preserve">Sentencia SU 049/2017 (Corte Constitucional) es POSTERIOR a jurisprudencia CSJ 2012-2016</w:t>
      </w:r>
    </w:p>
    <w:p>
      <w:pPr>
        <w:pStyle w:val="Compact"/>
        <w:numPr>
          <w:ilvl w:val="0"/>
          <w:numId w:val="1017"/>
        </w:numPr>
      </w:pPr>
      <w:r>
        <w:t xml:space="preserve">La jurisprudencia reciente es más protectora</w:t>
      </w:r>
    </w:p>
    <w:p>
      <w:pPr>
        <w:pStyle w:val="Compact"/>
        <w:numPr>
          <w:ilvl w:val="0"/>
          <w:numId w:val="1017"/>
        </w:numPr>
      </w:pPr>
      <w:r>
        <w:t xml:space="preserve">Corte Constitucional &gt; CSJ en jerarquía (es la autoridad final de constitucionalidad)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Acta de restricciones</w:t>
      </w:r>
    </w:p>
    <w:p>
      <w:pPr>
        <w:pStyle w:val="Compact"/>
        <w:numPr>
          <w:ilvl w:val="0"/>
          <w:numId w:val="1019"/>
        </w:numPr>
      </w:pPr>
      <w:r>
        <w:t xml:space="preserve">Serlogísticos documentó por sí mismo las restricciones del trabajador</w:t>
      </w:r>
    </w:p>
    <w:p>
      <w:pPr>
        <w:pStyle w:val="Compact"/>
        <w:numPr>
          <w:ilvl w:val="0"/>
          <w:numId w:val="1019"/>
        </w:numPr>
      </w:pPr>
      <w:r>
        <w:t xml:space="preserve">No puede negar lo que él mismo documentó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Falta de análisis de razonabilidad</w:t>
      </w:r>
    </w:p>
    <w:p>
      <w:pPr>
        <w:pStyle w:val="Compact"/>
        <w:numPr>
          <w:ilvl w:val="0"/>
          <w:numId w:val="1021"/>
        </w:numPr>
      </w:pPr>
      <w:r>
        <w:t xml:space="preserve">Serlogísticos no argumenta que el cargo sea incompatible con la limitación</w:t>
      </w:r>
    </w:p>
    <w:p>
      <w:pPr>
        <w:pStyle w:val="Compact"/>
        <w:numPr>
          <w:ilvl w:val="0"/>
          <w:numId w:val="1021"/>
        </w:numPr>
      </w:pPr>
      <w:r>
        <w:t xml:space="preserve">Los documentos dicen que</w:t>
      </w:r>
      <w:r>
        <w:t xml:space="preserve"> </w:t>
      </w:r>
      <w:r>
        <w:t xml:space="preserve">“puede continuar”</w:t>
      </w:r>
      <w:r>
        <w:t xml:space="preserve"> </w:t>
      </w:r>
      <w:r>
        <w:t xml:space="preserve">precisamente porque las restricciones eran manejables con gafas</w:t>
      </w:r>
    </w:p>
    <w:p>
      <w:pPr>
        <w:pStyle w:val="Compact"/>
        <w:numPr>
          <w:ilvl w:val="0"/>
          <w:numId w:val="1021"/>
        </w:numPr>
      </w:pPr>
      <w:r>
        <w:t xml:space="preserve">No hubo queja de bajo rendimiento documentado</w:t>
      </w:r>
    </w:p>
    <w:bookmarkEnd w:id="924"/>
    <w:bookmarkStart w:id="925" w:name="vulnerabilidades-de-jhonatan"/>
    <w:p>
      <w:pPr>
        <w:pStyle w:val="Heading3"/>
      </w:pPr>
      <w:r>
        <w:t xml:space="preserve">Vulnerabilidades de Jhonatan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Falta de calificación formal de pérdida de capacidad laboral</w:t>
      </w:r>
    </w:p>
    <w:p>
      <w:pPr>
        <w:pStyle w:val="Compact"/>
        <w:numPr>
          <w:ilvl w:val="0"/>
          <w:numId w:val="1023"/>
        </w:numPr>
      </w:pPr>
      <w:r>
        <w:t xml:space="preserve">No demostró que haya solicitado calificación ante la ARL o EPS</w:t>
      </w:r>
    </w:p>
    <w:p>
      <w:pPr>
        <w:pStyle w:val="Compact"/>
        <w:numPr>
          <w:ilvl w:val="0"/>
          <w:numId w:val="1023"/>
        </w:numPr>
      </w:pPr>
      <w:r>
        <w:t xml:space="preserve">Esto debilita el argumento de</w:t>
      </w:r>
      <w:r>
        <w:t xml:space="preserve"> </w:t>
      </w:r>
      <w:r>
        <w:t xml:space="preserve">“incapacidad permanente”</w:t>
      </w:r>
    </w:p>
    <w:p>
      <w:pPr>
        <w:pStyle w:val="Compact"/>
        <w:numPr>
          <w:ilvl w:val="0"/>
          <w:numId w:val="1023"/>
        </w:numPr>
      </w:pPr>
      <w:r>
        <w:t xml:space="preserve">Serlogísticos aprovechar eso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Documentos médicos no explícitos sobre</w:t>
      </w:r>
      <w:r>
        <w:rPr>
          <w:b/>
          <w:bCs/>
        </w:rPr>
        <w:t xml:space="preserve"> </w:t>
      </w:r>
      <w:r>
        <w:rPr>
          <w:b/>
          <w:bCs/>
        </w:rPr>
        <w:t xml:space="preserve">“debilidad manifiesta”</w:t>
      </w:r>
    </w:p>
    <w:p>
      <w:pPr>
        <w:pStyle w:val="Compact"/>
        <w:numPr>
          <w:ilvl w:val="0"/>
          <w:numId w:val="1025"/>
        </w:numPr>
      </w:pPr>
      <w:r>
        <w:t xml:space="preserve">Ningún concepto médico usa ese término</w:t>
      </w:r>
    </w:p>
    <w:p>
      <w:pPr>
        <w:pStyle w:val="Compact"/>
        <w:numPr>
          <w:ilvl w:val="0"/>
          <w:numId w:val="1025"/>
        </w:numPr>
      </w:pPr>
      <w:r>
        <w:t xml:space="preserve">Los documentos que tiene dicen</w:t>
      </w:r>
      <w:r>
        <w:t xml:space="preserve"> </w:t>
      </w:r>
      <w:r>
        <w:t xml:space="preserve">“apto con recomendaciones”</w:t>
      </w:r>
      <w:r>
        <w:t xml:space="preserve"> </w:t>
      </w:r>
      <w:r>
        <w:t xml:space="preserve">o</w:t>
      </w:r>
      <w:r>
        <w:t xml:space="preserve"> </w:t>
      </w:r>
      <w:r>
        <w:t xml:space="preserve">“puede continuar”</w:t>
      </w:r>
    </w:p>
    <w:p>
      <w:pPr>
        <w:pStyle w:val="Compact"/>
        <w:numPr>
          <w:ilvl w:val="0"/>
          <w:numId w:val="1025"/>
        </w:numPr>
      </w:pPr>
      <w:r>
        <w:t xml:space="preserve">Tendrá que probar la intensidad de la restricción en fase probatoria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Retraso en demanda</w:t>
      </w:r>
    </w:p>
    <w:p>
      <w:pPr>
        <w:pStyle w:val="Compact"/>
        <w:numPr>
          <w:ilvl w:val="0"/>
          <w:numId w:val="1027"/>
        </w:numPr>
      </w:pPr>
      <w:r>
        <w:t xml:space="preserve">Primera terminación: 30/05/2023</w:t>
      </w:r>
    </w:p>
    <w:p>
      <w:pPr>
        <w:pStyle w:val="Compact"/>
        <w:numPr>
          <w:ilvl w:val="0"/>
          <w:numId w:val="1027"/>
        </w:numPr>
      </w:pPr>
      <w:r>
        <w:t xml:space="preserve">Demanda presentada: Enero 2025 (¿estimado por fecha de poder?)</w:t>
      </w:r>
    </w:p>
    <w:p>
      <w:pPr>
        <w:pStyle w:val="Compact"/>
        <w:numPr>
          <w:ilvl w:val="0"/>
          <w:numId w:val="1027"/>
        </w:numPr>
      </w:pPr>
      <w:r>
        <w:t xml:space="preserve">Esto es 7+ meses después</w:t>
      </w:r>
    </w:p>
    <w:p>
      <w:pPr>
        <w:pStyle w:val="Compact"/>
        <w:numPr>
          <w:ilvl w:val="0"/>
          <w:numId w:val="1027"/>
        </w:numPr>
      </w:pPr>
      <w:r>
        <w:t xml:space="preserve">Exceso temporal podría afectar credibilidad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Historia clínica incompleta después de 2023</w:t>
      </w:r>
    </w:p>
    <w:p>
      <w:pPr>
        <w:pStyle w:val="Compact"/>
        <w:numPr>
          <w:ilvl w:val="0"/>
          <w:numId w:val="1029"/>
        </w:numPr>
      </w:pPr>
      <w:r>
        <w:t xml:space="preserve">Serlogísticos alega:</w:t>
      </w:r>
      <w:r>
        <w:t xml:space="preserve"> </w:t>
      </w:r>
      <w:r>
        <w:t xml:space="preserve">“en la demanda no hay historia clínica después del 2023”</w:t>
      </w:r>
    </w:p>
    <w:p>
      <w:pPr>
        <w:pStyle w:val="Compact"/>
        <w:numPr>
          <w:ilvl w:val="0"/>
          <w:numId w:val="1029"/>
        </w:numPr>
      </w:pPr>
      <w:r>
        <w:t xml:space="preserve">Es un punto débil: Jhonatan no presentó pruebas de continuidad del tratamiento post-septiembre 2023</w:t>
      </w:r>
    </w:p>
    <w:p>
      <w:pPr>
        <w:pStyle w:val="Compact"/>
        <w:numPr>
          <w:ilvl w:val="0"/>
          <w:numId w:val="1029"/>
        </w:numPr>
      </w:pPr>
      <w:r>
        <w:t xml:space="preserve">Tendrá que traer más documentos médicos</w:t>
      </w:r>
    </w:p>
    <w:p>
      <w:r>
        <w:pict>
          <v:rect style="width:0;height:1.5pt" o:hralign="center" o:hrstd="t" o:hr="t"/>
        </w:pict>
      </w:r>
    </w:p>
    <w:bookmarkEnd w:id="925"/>
    <w:bookmarkEnd w:id="926"/>
    <w:bookmarkStart w:id="929" w:name="X8fe0e384162642f808b4714278d87886868ffc3"/>
    <w:p>
      <w:pPr>
        <w:pStyle w:val="Heading2"/>
      </w:pPr>
      <w:r>
        <w:t xml:space="preserve">V. LÍNEAS DE ARGUMENTACIÓN EN FASE PROBATORIA</w:t>
      </w:r>
    </w:p>
    <w:bookmarkStart w:id="927" w:name="estrategia-defensiva-de-serlogísticos"/>
    <w:p>
      <w:pPr>
        <w:pStyle w:val="Heading3"/>
      </w:pPr>
      <w:r>
        <w:t xml:space="preserve">Estrategia defensiva de Serlogísticos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Negación de debilidad manifiesta:</w:t>
      </w:r>
    </w:p>
    <w:p>
      <w:pPr>
        <w:pStyle w:val="Compact"/>
        <w:numPr>
          <w:ilvl w:val="0"/>
          <w:numId w:val="1031"/>
        </w:numPr>
      </w:pPr>
      <w:r>
        <w:t xml:space="preserve">Traer especialista oftalmólogo para analizar histórico clínico</w:t>
      </w:r>
    </w:p>
    <w:p>
      <w:pPr>
        <w:pStyle w:val="Compact"/>
        <w:numPr>
          <w:ilvl w:val="0"/>
          <w:numId w:val="1031"/>
        </w:numPr>
      </w:pPr>
      <w:r>
        <w:t xml:space="preserve">Argumentar que trasplante exitoso de 2022 → afectación resuelta 3 años después</w:t>
      </w:r>
    </w:p>
    <w:p>
      <w:pPr>
        <w:pStyle w:val="Compact"/>
        <w:numPr>
          <w:ilvl w:val="0"/>
          <w:numId w:val="1031"/>
        </w:numPr>
      </w:pPr>
      <w:r>
        <w:t xml:space="preserve">Énfasis: Los conceptos médicos ocupacionales permiten el trabajo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Énfasis en performance del trabajador:</w:t>
      </w:r>
    </w:p>
    <w:p>
      <w:pPr>
        <w:pStyle w:val="Compact"/>
        <w:numPr>
          <w:ilvl w:val="0"/>
          <w:numId w:val="1033"/>
        </w:numPr>
      </w:pPr>
      <w:r>
        <w:t xml:space="preserve">Testimonios de gerentes/supervisores</w:t>
      </w:r>
    </w:p>
    <w:p>
      <w:pPr>
        <w:pStyle w:val="Compact"/>
        <w:numPr>
          <w:ilvl w:val="0"/>
          <w:numId w:val="1033"/>
        </w:numPr>
      </w:pPr>
      <w:r>
        <w:t xml:space="preserve">Documentar si hubo quejas de rendimiento (aunque Serlogísticos no alegó</w:t>
      </w:r>
      <w:r>
        <w:t xml:space="preserve"> </w:t>
      </w:r>
      <w:r>
        <w:t xml:space="preserve">“justa causa”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Argumentar que terminación fue por</w:t>
      </w:r>
      <w:r>
        <w:t xml:space="preserve"> </w:t>
      </w:r>
      <w:r>
        <w:t xml:space="preserve">“necesidades de la empresa”</w:t>
      </w:r>
      <w:r>
        <w:t xml:space="preserve">, no por discapacidad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Falta de cumplimiento de procedimiento:</w:t>
      </w:r>
    </w:p>
    <w:p>
      <w:pPr>
        <w:pStyle w:val="Compact"/>
        <w:numPr>
          <w:ilvl w:val="0"/>
          <w:numId w:val="1035"/>
        </w:numPr>
      </w:pPr>
      <w:r>
        <w:t xml:space="preserve">Preguntar si Jhonatan completó tratamiento médico</w:t>
      </w:r>
    </w:p>
    <w:p>
      <w:pPr>
        <w:pStyle w:val="Compact"/>
        <w:numPr>
          <w:ilvl w:val="0"/>
          <w:numId w:val="1035"/>
        </w:numPr>
      </w:pPr>
      <w:r>
        <w:t xml:space="preserve">Cuestionar si debería haber solicitado calificación de capacidad</w:t>
      </w:r>
    </w:p>
    <w:bookmarkEnd w:id="927"/>
    <w:bookmarkStart w:id="928" w:name="estrategia-acusatoria-de-jhonatan"/>
    <w:p>
      <w:pPr>
        <w:pStyle w:val="Heading3"/>
      </w:pPr>
      <w:r>
        <w:t xml:space="preserve">Estrategia acusatoria de Jhonatan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Prueba de continuidad de restricciones:</w:t>
      </w:r>
    </w:p>
    <w:p>
      <w:pPr>
        <w:pStyle w:val="Compact"/>
        <w:numPr>
          <w:ilvl w:val="0"/>
          <w:numId w:val="1037"/>
        </w:numPr>
      </w:pPr>
      <w:r>
        <w:t xml:space="preserve">Traer más historia clínica (2023-2025)</w:t>
      </w:r>
    </w:p>
    <w:p>
      <w:pPr>
        <w:pStyle w:val="Compact"/>
        <w:numPr>
          <w:ilvl w:val="0"/>
          <w:numId w:val="1037"/>
        </w:numPr>
      </w:pPr>
      <w:r>
        <w:t xml:space="preserve">Testimonios de médicos sobre naturaleza de trasplante de córnea</w:t>
      </w:r>
    </w:p>
    <w:p>
      <w:pPr>
        <w:pStyle w:val="Compact"/>
        <w:numPr>
          <w:ilvl w:val="0"/>
          <w:numId w:val="1037"/>
        </w:numPr>
      </w:pPr>
      <w:r>
        <w:t xml:space="preserve">Evidencia de que</w:t>
      </w:r>
      <w:r>
        <w:t xml:space="preserve"> </w:t>
      </w:r>
      <w:r>
        <w:t xml:space="preserve">“apto con restricciones”</w:t>
      </w:r>
      <w:r>
        <w:t xml:space="preserve"> </w:t>
      </w:r>
      <w:r>
        <w:t xml:space="preserve">≠ plena capacidad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Cambio de jurisprudencia:</w:t>
      </w:r>
    </w:p>
    <w:p>
      <w:pPr>
        <w:pStyle w:val="Compact"/>
        <w:numPr>
          <w:ilvl w:val="0"/>
          <w:numId w:val="1039"/>
        </w:numPr>
      </w:pPr>
      <w:r>
        <w:t xml:space="preserve">Traer análisis de SU 049/2017 vs. sentencias CSJ anteriores</w:t>
      </w:r>
    </w:p>
    <w:p>
      <w:pPr>
        <w:pStyle w:val="Compact"/>
        <w:numPr>
          <w:ilvl w:val="0"/>
          <w:numId w:val="1039"/>
        </w:numPr>
      </w:pPr>
      <w:r>
        <w:t xml:space="preserve">Demostrar que la Corte Constitucional redefinió el concepto en 2017</w:t>
      </w:r>
    </w:p>
    <w:p>
      <w:pPr>
        <w:pStyle w:val="Compact"/>
        <w:numPr>
          <w:ilvl w:val="0"/>
          <w:numId w:val="1039"/>
        </w:numPr>
      </w:pPr>
      <w:r>
        <w:t xml:space="preserve">Serlogísticos cita jurisprudencia desactualizada (2012, 2016)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Patrón discriminatorio:</w:t>
      </w:r>
    </w:p>
    <w:p>
      <w:pPr>
        <w:pStyle w:val="Compact"/>
        <w:numPr>
          <w:ilvl w:val="0"/>
          <w:numId w:val="1041"/>
        </w:numPr>
      </w:pPr>
      <w:r>
        <w:t xml:space="preserve">Enfatizar que dos terminaciones en 4 meses son indicativas de discriminación</w:t>
      </w:r>
    </w:p>
    <w:p>
      <w:pPr>
        <w:pStyle w:val="Compact"/>
        <w:numPr>
          <w:ilvl w:val="0"/>
          <w:numId w:val="1041"/>
        </w:numPr>
      </w:pPr>
      <w:r>
        <w:t xml:space="preserve">Traer testigos que confirmen que el trabajador cumplía adecuadamente</w:t>
      </w:r>
    </w:p>
    <w:p>
      <w:pPr>
        <w:pStyle w:val="Compact"/>
        <w:numPr>
          <w:ilvl w:val="0"/>
          <w:numId w:val="1041"/>
        </w:numPr>
      </w:pPr>
      <w:r>
        <w:t xml:space="preserve">Mostrar que la acta de restricciones era manejable (gafas, evitar polvo)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Responsabilidad de Serlogísticos:</w:t>
      </w:r>
    </w:p>
    <w:p>
      <w:pPr>
        <w:pStyle w:val="Compact"/>
        <w:numPr>
          <w:ilvl w:val="0"/>
          <w:numId w:val="1043"/>
        </w:numPr>
      </w:pPr>
      <w:r>
        <w:t xml:space="preserve">Traer expertos en Derecho Laboral</w:t>
      </w:r>
    </w:p>
    <w:p>
      <w:pPr>
        <w:pStyle w:val="Compact"/>
        <w:numPr>
          <w:ilvl w:val="0"/>
          <w:numId w:val="1043"/>
        </w:numPr>
      </w:pPr>
      <w:r>
        <w:t xml:space="preserve">Argumentar que Serlogísticos conocía la obligación de solicitar autorización previa al Ministerio de Trabajo</w:t>
      </w:r>
    </w:p>
    <w:p>
      <w:pPr>
        <w:pStyle w:val="Compact"/>
        <w:numPr>
          <w:ilvl w:val="0"/>
          <w:numId w:val="1043"/>
        </w:numPr>
      </w:pPr>
      <w:r>
        <w:t xml:space="preserve">Art. 26 Ley 361 expresamente prohíbe despido sin autorización</w:t>
      </w:r>
    </w:p>
    <w:p>
      <w:r>
        <w:pict>
          <v:rect style="width:0;height:1.5pt" o:hralign="center" o:hrstd="t" o:hr="t"/>
        </w:pict>
      </w:r>
    </w:p>
    <w:bookmarkEnd w:id="928"/>
    <w:bookmarkEnd w:id="929"/>
    <w:bookmarkStart w:id="932" w:name="vi.-cálculo-de-pretensiones"/>
    <w:p>
      <w:pPr>
        <w:pStyle w:val="Heading2"/>
      </w:pPr>
      <w:r>
        <w:t xml:space="preserve">VI. CÁLCULO DE PRETENSIONES</w:t>
      </w:r>
    </w:p>
    <w:bookmarkStart w:id="930" w:name="según-demanda"/>
    <w:p>
      <w:pPr>
        <w:pStyle w:val="Heading3"/>
      </w:pPr>
      <w:r>
        <w:t xml:space="preserve">Según demanda</w:t>
      </w:r>
    </w:p>
    <w:p>
      <w:pPr>
        <w:pStyle w:val="Compact"/>
        <w:numPr>
          <w:ilvl w:val="0"/>
          <w:numId w:val="1044"/>
        </w:numPr>
      </w:pPr>
      <w:r>
        <w:t xml:space="preserve">Salarios causados (30/05/2023 – fecha de reintegro):</w:t>
      </w:r>
      <w:r>
        <w:t xml:space="preserve"> </w:t>
      </w:r>
      <w:r>
        <w:rPr>
          <w:b/>
          <w:bCs/>
        </w:rPr>
        <w:t xml:space="preserve">$50.000.000</w:t>
      </w:r>
    </w:p>
    <w:p>
      <w:pPr>
        <w:pStyle w:val="Compact"/>
        <w:numPr>
          <w:ilvl w:val="0"/>
          <w:numId w:val="1044"/>
        </w:numPr>
      </w:pPr>
      <w:r>
        <w:t xml:space="preserve">Prestaciones sociales:</w:t>
      </w:r>
      <w:r>
        <w:t xml:space="preserve"> </w:t>
      </w:r>
      <w:r>
        <w:rPr>
          <w:b/>
          <w:bCs/>
        </w:rPr>
        <w:t xml:space="preserve">$3.500.000</w:t>
      </w:r>
    </w:p>
    <w:p>
      <w:pPr>
        <w:pStyle w:val="Compact"/>
        <w:numPr>
          <w:ilvl w:val="0"/>
          <w:numId w:val="1044"/>
        </w:numPr>
      </w:pPr>
      <w:r>
        <w:t xml:space="preserve">Indemnización Art. 26 Ley 361 (180 días):</w:t>
      </w:r>
      <w:r>
        <w:t xml:space="preserve"> </w:t>
      </w:r>
      <w:r>
        <w:rPr>
          <w:b/>
          <w:bCs/>
        </w:rPr>
        <w:t xml:space="preserve">$10.800.000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Subtotal:</w:t>
      </w:r>
      <w:r>
        <w:t xml:space="preserve"> </w:t>
      </w:r>
      <w:r>
        <w:t xml:space="preserve">~$64.300.000</w:t>
      </w:r>
    </w:p>
    <w:bookmarkEnd w:id="930"/>
    <w:bookmarkStart w:id="931" w:name="potencial-cuantía-reclamable"/>
    <w:p>
      <w:pPr>
        <w:pStyle w:val="Heading3"/>
      </w:pPr>
      <w:r>
        <w:t xml:space="preserve">Potencial cuantía reclamable</w:t>
      </w:r>
    </w:p>
    <w:p>
      <w:pPr>
        <w:pStyle w:val="FirstParagraph"/>
      </w:pPr>
      <w:r>
        <w:t xml:space="preserve">Si se condena:</w:t>
      </w:r>
    </w:p>
    <w:p>
      <w:pPr>
        <w:pStyle w:val="Compact"/>
        <w:numPr>
          <w:ilvl w:val="0"/>
          <w:numId w:val="1045"/>
        </w:numPr>
      </w:pPr>
      <w:r>
        <w:t xml:space="preserve">Salarios causados: ~$50M (verificable con nómina)</w:t>
      </w:r>
    </w:p>
    <w:p>
      <w:pPr>
        <w:pStyle w:val="Compact"/>
        <w:numPr>
          <w:ilvl w:val="0"/>
          <w:numId w:val="1045"/>
        </w:numPr>
      </w:pPr>
      <w:r>
        <w:t xml:space="preserve">Indemnización Art. 26: ~$10.8M (180 días ×$60.000 salario promedio)</w:t>
      </w:r>
    </w:p>
    <w:p>
      <w:pPr>
        <w:pStyle w:val="Compact"/>
        <w:numPr>
          <w:ilvl w:val="0"/>
          <w:numId w:val="1045"/>
        </w:numPr>
      </w:pPr>
      <w:r>
        <w:t xml:space="preserve">Reliquidación prestaciones: ~$3.5M –$5M</w:t>
      </w:r>
    </w:p>
    <w:p>
      <w:pPr>
        <w:pStyle w:val="Compact"/>
        <w:numPr>
          <w:ilvl w:val="0"/>
          <w:numId w:val="1045"/>
        </w:numPr>
      </w:pPr>
      <w:r>
        <w:t xml:space="preserve">Sanción Art. 65 CST: Hasta 60 SMLMV (~$58M a 2025)</w:t>
      </w:r>
    </w:p>
    <w:p>
      <w:pPr>
        <w:pStyle w:val="Compact"/>
        <w:numPr>
          <w:ilvl w:val="0"/>
          <w:numId w:val="1045"/>
        </w:numPr>
      </w:pPr>
      <w:r>
        <w:t xml:space="preserve">Costas: ~$2M –$5M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Potencial TOTAL:</w:t>
      </w:r>
      <w:r>
        <w:t xml:space="preserve"> </w:t>
      </w:r>
      <w:r>
        <w:t xml:space="preserve">$120M –$130M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3" w:name="vii.-factores-que-determinan-la-condena"/>
    <w:p>
      <w:pPr>
        <w:pStyle w:val="Heading2"/>
      </w:pPr>
      <w:r>
        <w:t xml:space="preserve">VII. FACTORES QUE DETERMINAN LA CONDENA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2"/>
        <w:gridCol w:w="440"/>
        <w:gridCol w:w="4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Análisis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Admisión de despido sin justa causa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Ambas partes lo reconocen. Art. 26 se aplica precisamente a esto.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Existencia de restricciones laborales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Documentado en conceptos médicos y acta de seguimiento.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Patrón de dos terminaciones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Indica discriminación potencial por discapacidad.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Jurisprudencia reciente (SU 049/2017)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Corte Constitucional redefinió el concepto sin exigir ≥15%.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de continuidad de tratamiento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Debilidad: Jhonatan no tiene pruebas post-sept/2023.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de incompatibilidad del cargo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Serlogísticos no argumentó incompatibilidad; acta muestra que era manejable.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de demanda (7+ meses después)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Puede afectar credibilidad, pero no invalida derechos.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3"/>
    <w:bookmarkStart w:id="934" w:name="X14a08ca400c5bd5444e21e075264a278293a66e"/>
    <w:p>
      <w:pPr>
        <w:pStyle w:val="Heading2"/>
      </w:pPr>
      <w:r>
        <w:t xml:space="preserve">VIII. ESTADO PROCESAL ACTUAL Y LIMITACIONES</w:t>
      </w:r>
    </w:p>
    <w:p>
      <w:pPr>
        <w:pStyle w:val="FirstParagraph"/>
      </w:pPr>
      <w:r>
        <w:rPr>
          <w:b/>
          <w:bCs/>
        </w:rPr>
        <w:t xml:space="preserve">Etapa actual:</w:t>
      </w:r>
      <w:r>
        <w:t xml:space="preserve"> </w:t>
      </w:r>
      <w:r>
        <w:t xml:space="preserve">Contestación de demanda presentada por Serlogísticos (2025-00023-00)</w:t>
      </w:r>
    </w:p>
    <w:p>
      <w:pPr>
        <w:pStyle w:val="BodyText"/>
      </w:pPr>
      <w:r>
        <w:rPr>
          <w:b/>
          <w:bCs/>
        </w:rPr>
        <w:t xml:space="preserve">Lo que ya no es posible hacer:</w:t>
      </w:r>
    </w:p>
    <w:p>
      <w:pPr>
        <w:pStyle w:val="Compact"/>
        <w:numPr>
          <w:ilvl w:val="0"/>
          <w:numId w:val="1046"/>
        </w:numPr>
      </w:pPr>
      <w:r>
        <w:t xml:space="preserve">Modificar las pretensiones de la demanda (son fijas)</w:t>
      </w:r>
    </w:p>
    <w:p>
      <w:pPr>
        <w:pStyle w:val="Compact"/>
        <w:numPr>
          <w:ilvl w:val="0"/>
          <w:numId w:val="1046"/>
        </w:numPr>
      </w:pPr>
      <w:r>
        <w:t xml:space="preserve">Cambiar los hechos alegados (ya están en el expediente)</w:t>
      </w:r>
    </w:p>
    <w:p>
      <w:pPr>
        <w:pStyle w:val="Compact"/>
        <w:numPr>
          <w:ilvl w:val="0"/>
          <w:numId w:val="1046"/>
        </w:numPr>
      </w:pPr>
      <w:r>
        <w:t xml:space="preserve">Añadir documentos nuevos en fase de demanda (ya pasó plazo)</w:t>
      </w:r>
    </w:p>
    <w:p>
      <w:pPr>
        <w:pStyle w:val="FirstParagraph"/>
      </w:pPr>
      <w:r>
        <w:rPr>
          <w:b/>
          <w:bCs/>
        </w:rPr>
        <w:t xml:space="preserve">Qué falta en el proceso:</w:t>
      </w:r>
    </w:p>
    <w:p>
      <w:pPr>
        <w:pStyle w:val="Compact"/>
        <w:numPr>
          <w:ilvl w:val="0"/>
          <w:numId w:val="1047"/>
        </w:numPr>
      </w:pPr>
      <w:r>
        <w:t xml:space="preserve">Fase probatoria (interrogatorios, testimonios, pericia)</w:t>
      </w:r>
    </w:p>
    <w:p>
      <w:pPr>
        <w:pStyle w:val="Compact"/>
        <w:numPr>
          <w:ilvl w:val="0"/>
          <w:numId w:val="1047"/>
        </w:numPr>
      </w:pPr>
      <w:r>
        <w:t xml:space="preserve">Alegatos de conclusión</w:t>
      </w:r>
    </w:p>
    <w:p>
      <w:pPr>
        <w:pStyle w:val="Compact"/>
        <w:numPr>
          <w:ilvl w:val="0"/>
          <w:numId w:val="1047"/>
        </w:numPr>
      </w:pPr>
      <w:r>
        <w:t xml:space="preserve">Sentencia de primera instancia</w:t>
      </w:r>
    </w:p>
    <w:p>
      <w:pPr>
        <w:pStyle w:val="Compact"/>
        <w:numPr>
          <w:ilvl w:val="0"/>
          <w:numId w:val="1047"/>
        </w:numPr>
      </w:pPr>
      <w:r>
        <w:t xml:space="preserve">Posible apelación ante tribunal superior</w:t>
      </w:r>
    </w:p>
    <w:p>
      <w:pPr>
        <w:pStyle w:val="FirstParagraph"/>
      </w:pPr>
      <w:r>
        <w:rPr>
          <w:b/>
          <w:bCs/>
        </w:rPr>
        <w:t xml:space="preserve">Tiempo estimado restante:</w:t>
      </w:r>
      <w:r>
        <w:t xml:space="preserve"> </w:t>
      </w:r>
      <w:r>
        <w:t xml:space="preserve">14-18 meses hasta sentencia final</w:t>
      </w:r>
    </w:p>
    <w:p>
      <w:r>
        <w:pict>
          <v:rect style="width:0;height:1.5pt" o:hralign="center" o:hrstd="t" o:hr="t"/>
        </w:pict>
      </w:r>
    </w:p>
    <w:bookmarkEnd w:id="934"/>
    <w:bookmarkStart w:id="937" w:name="ix.-análisis-realista-de-riesgos"/>
    <w:p>
      <w:pPr>
        <w:pStyle w:val="Heading2"/>
      </w:pPr>
      <w:r>
        <w:t xml:space="preserve">IX. ANÁLISIS REALISTA DE RIESGOS</w:t>
      </w:r>
    </w:p>
    <w:bookmarkStart w:id="935" w:name="escenario-a-litigio-a-través"/>
    <w:p>
      <w:pPr>
        <w:pStyle w:val="Heading3"/>
      </w:pPr>
      <w:r>
        <w:t xml:space="preserve">Escenario A: Litigio a través</w:t>
      </w:r>
    </w:p>
    <w:p>
      <w:pPr>
        <w:pStyle w:val="FirstParagraph"/>
      </w:pPr>
      <w:r>
        <w:rPr>
          <w:b/>
          <w:bCs/>
        </w:rPr>
        <w:t xml:space="preserve">Probabilidad aparente de ganar:</w:t>
      </w:r>
      <w:r>
        <w:t xml:space="preserve"> </w:t>
      </w:r>
      <w:r>
        <w:t xml:space="preserve">65-75% (favorable a Jhonatan)</w:t>
      </w:r>
    </w:p>
    <w:p>
      <w:pPr>
        <w:pStyle w:val="BodyText"/>
      </w:pPr>
      <w:r>
        <w:rPr>
          <w:b/>
          <w:bCs/>
        </w:rPr>
        <w:t xml:space="preserve">Pero con caveats importantes:</w:t>
      </w:r>
    </w:p>
    <w:p>
      <w:pPr>
        <w:pStyle w:val="Compact"/>
        <w:numPr>
          <w:ilvl w:val="0"/>
          <w:numId w:val="1048"/>
        </w:numPr>
      </w:pPr>
      <w:r>
        <w:t xml:space="preserve">Serlogísticos tiene jurisprudencia de CSJ 2012-2016 que juez puede seguir</w:t>
      </w:r>
    </w:p>
    <w:p>
      <w:pPr>
        <w:pStyle w:val="Compact"/>
        <w:numPr>
          <w:ilvl w:val="0"/>
          <w:numId w:val="1048"/>
        </w:numPr>
      </w:pPr>
      <w:r>
        <w:t xml:space="preserve">Historia clínica post-2023 incompleta (debilidad crítica)</w:t>
      </w:r>
    </w:p>
    <w:p>
      <w:pPr>
        <w:pStyle w:val="Compact"/>
        <w:numPr>
          <w:ilvl w:val="0"/>
          <w:numId w:val="1048"/>
        </w:numPr>
      </w:pPr>
      <w:r>
        <w:t xml:space="preserve">No hay calificación formal de pérdida de capacidad laboral</w:t>
      </w:r>
    </w:p>
    <w:p>
      <w:pPr>
        <w:pStyle w:val="Compact"/>
        <w:numPr>
          <w:ilvl w:val="0"/>
          <w:numId w:val="1048"/>
        </w:numPr>
      </w:pPr>
      <w:r>
        <w:t xml:space="preserve">Juzgado laboral puede ser conservador a pesar de ser Antioquia</w:t>
      </w:r>
    </w:p>
    <w:p>
      <w:pPr>
        <w:pStyle w:val="Compact"/>
        <w:numPr>
          <w:ilvl w:val="0"/>
          <w:numId w:val="1048"/>
        </w:numPr>
      </w:pPr>
      <w:r>
        <w:t xml:space="preserve">Apelación segura (Serlogísticos apelará) = otros 6-12 meses + incertidumbre</w:t>
      </w:r>
    </w:p>
    <w:p>
      <w:pPr>
        <w:pStyle w:val="Compact"/>
        <w:numPr>
          <w:ilvl w:val="0"/>
          <w:numId w:val="1048"/>
        </w:numPr>
      </w:pPr>
      <w:r>
        <w:t xml:space="preserve">Costo de litigio: 18-30 SMLMV sin garantía de resultado</w:t>
      </w:r>
    </w:p>
    <w:p>
      <w:pPr>
        <w:pStyle w:val="FirstParagraph"/>
      </w:pPr>
      <w:r>
        <w:rPr>
          <w:b/>
          <w:bCs/>
        </w:rPr>
        <w:t xml:space="preserve">Riesgo real:</w:t>
      </w:r>
      <w:r>
        <w:t xml:space="preserve"> </w:t>
      </w:r>
      <w:r>
        <w:t xml:space="preserve">25-35% de perder en primera instancia o apelación</w:t>
      </w:r>
    </w:p>
    <w:p>
      <w:pPr>
        <w:pStyle w:val="Compact"/>
        <w:numPr>
          <w:ilvl w:val="0"/>
          <w:numId w:val="1049"/>
        </w:numPr>
      </w:pPr>
      <w:r>
        <w:t xml:space="preserve">Si pierden: Cliente pagó abogado + perdió dinero + 2-3 años de proceso</w:t>
      </w:r>
    </w:p>
    <w:bookmarkEnd w:id="935"/>
    <w:bookmarkStart w:id="936" w:name="Xed8ce4abe0221bddf867f87cdefc50acef944ff"/>
    <w:p>
      <w:pPr>
        <w:pStyle w:val="Heading3"/>
      </w:pPr>
      <w:r>
        <w:t xml:space="preserve">Escenario B: Negociación en Centro de Conciliación</w:t>
      </w:r>
    </w:p>
    <w:p>
      <w:pPr>
        <w:pStyle w:val="FirstParagraph"/>
      </w:pPr>
      <w:r>
        <w:rPr>
          <w:b/>
          <w:bCs/>
        </w:rPr>
        <w:t xml:space="preserve">Certidumbre:</w:t>
      </w:r>
      <w:r>
        <w:t xml:space="preserve"> </w:t>
      </w:r>
      <w:r>
        <w:t xml:space="preserve">100% (lo que se negocia se obtiene)</w:t>
      </w:r>
    </w:p>
    <w:p>
      <w:pPr>
        <w:pStyle w:val="BodyText"/>
      </w:pPr>
      <w:r>
        <w:rPr>
          <w:b/>
          <w:bCs/>
        </w:rPr>
        <w:t xml:space="preserve">Cuantía realista:</w:t>
      </w:r>
    </w:p>
    <w:p>
      <w:pPr>
        <w:pStyle w:val="Compact"/>
        <w:numPr>
          <w:ilvl w:val="0"/>
          <w:numId w:val="1050"/>
        </w:numPr>
      </w:pPr>
      <w:r>
        <w:t xml:space="preserve">Demanda pide: $64.3M</w:t>
      </w:r>
    </w:p>
    <w:p>
      <w:pPr>
        <w:pStyle w:val="Compact"/>
        <w:numPr>
          <w:ilvl w:val="0"/>
          <w:numId w:val="1050"/>
        </w:numPr>
      </w:pPr>
      <w:r>
        <w:t xml:space="preserve">Serlogísticos probablemente ofrecerá: $40M–$50M</w:t>
      </w:r>
    </w:p>
    <w:p>
      <w:pPr>
        <w:pStyle w:val="Compact"/>
        <w:numPr>
          <w:ilvl w:val="0"/>
          <w:numId w:val="1050"/>
        </w:numPr>
      </w:pPr>
      <w:r>
        <w:t xml:space="preserve">Negociación profesional podría lograr: $55M–$65M</w:t>
      </w:r>
    </w:p>
    <w:p>
      <w:pPr>
        <w:pStyle w:val="Compact"/>
        <w:numPr>
          <w:ilvl w:val="0"/>
          <w:numId w:val="1050"/>
        </w:numPr>
      </w:pPr>
      <w:r>
        <w:t xml:space="preserve">Vs. riesgo de perder = $0M</w:t>
      </w:r>
    </w:p>
    <w:p>
      <w:pPr>
        <w:pStyle w:val="FirstParagraph"/>
      </w:pPr>
      <w:r>
        <w:rPr>
          <w:b/>
          <w:bCs/>
        </w:rPr>
        <w:t xml:space="preserve">Tiempo:</w:t>
      </w:r>
      <w:r>
        <w:t xml:space="preserve"> </w:t>
      </w:r>
      <w:r>
        <w:t xml:space="preserve">2-4 meses (vs. 18+ meses de litigio)</w:t>
      </w:r>
    </w:p>
    <w:p>
      <w:r>
        <w:pict>
          <v:rect style="width:0;height:1.5pt" o:hralign="center" o:hrstd="t" o:hr="t"/>
        </w:pict>
      </w:r>
    </w:p>
    <w:bookmarkEnd w:id="936"/>
    <w:bookmarkEnd w:id="937"/>
    <w:bookmarkStart w:id="940" w:name="X8567dd4b03709d5595f0b3d08987eacb3595aba"/>
    <w:p>
      <w:pPr>
        <w:pStyle w:val="Heading2"/>
      </w:pPr>
      <w:r>
        <w:t xml:space="preserve">X. RECOMENDACIÓN ESTRATÉGICA: NEGOCIACIÓN, NO LITIGIO</w:t>
      </w:r>
    </w:p>
    <w:bookmarkStart w:id="938" w:name="análisis-crítico-del-caso"/>
    <w:p>
      <w:pPr>
        <w:pStyle w:val="Heading3"/>
      </w:pPr>
      <w:r>
        <w:t xml:space="preserve">Análisis crítico del caso</w:t>
      </w:r>
    </w:p>
    <w:p>
      <w:pPr>
        <w:pStyle w:val="FirstParagraph"/>
      </w:pPr>
      <w:r>
        <w:rPr>
          <w:b/>
          <w:bCs/>
        </w:rPr>
        <w:t xml:space="preserve">Fortalezas de Jhonatan:</w:t>
      </w:r>
    </w:p>
    <w:p>
      <w:pPr>
        <w:pStyle w:val="Compact"/>
        <w:numPr>
          <w:ilvl w:val="0"/>
          <w:numId w:val="1051"/>
        </w:numPr>
      </w:pPr>
      <w:r>
        <w:t xml:space="preserve">✓ Serlogísticos admite despido sin justa causa (ambas veces)</w:t>
      </w:r>
    </w:p>
    <w:p>
      <w:pPr>
        <w:pStyle w:val="Compact"/>
        <w:numPr>
          <w:ilvl w:val="0"/>
          <w:numId w:val="1051"/>
        </w:numPr>
      </w:pPr>
      <w:r>
        <w:t xml:space="preserve">✓ Concepto médico pre-despido:</w:t>
      </w:r>
      <w:r>
        <w:t xml:space="preserve"> </w:t>
      </w:r>
      <w:r>
        <w:t xml:space="preserve">“Puede continuar con RESTRICCIÓN”</w:t>
      </w:r>
    </w:p>
    <w:p>
      <w:pPr>
        <w:pStyle w:val="Compact"/>
        <w:numPr>
          <w:ilvl w:val="0"/>
          <w:numId w:val="1051"/>
        </w:numPr>
      </w:pPr>
      <w:r>
        <w:t xml:space="preserve">✓ Patrón de dos terminaciones en 4 meses sugiere discriminación</w:t>
      </w:r>
    </w:p>
    <w:p>
      <w:pPr>
        <w:pStyle w:val="FirstParagraph"/>
      </w:pPr>
      <w:r>
        <w:rPr>
          <w:b/>
          <w:bCs/>
        </w:rPr>
        <w:t xml:space="preserve">Debilidades REALES de Jhonatan:</w:t>
      </w:r>
    </w:p>
    <w:p>
      <w:pPr>
        <w:pStyle w:val="Compact"/>
        <w:numPr>
          <w:ilvl w:val="0"/>
          <w:numId w:val="1052"/>
        </w:numPr>
      </w:pPr>
      <w:r>
        <w:t xml:space="preserve">✗ Historia clínica incompleta después de septiembre 2023</w:t>
      </w:r>
    </w:p>
    <w:p>
      <w:pPr>
        <w:pStyle w:val="Compact"/>
        <w:numPr>
          <w:ilvl w:val="0"/>
          <w:numId w:val="1052"/>
        </w:numPr>
      </w:pPr>
      <w:r>
        <w:t xml:space="preserve">✗ Ningún concepto médico usa el término</w:t>
      </w:r>
      <w:r>
        <w:t xml:space="preserve"> </w:t>
      </w:r>
      <w:r>
        <w:t xml:space="preserve">“debilidad manifiesta”</w:t>
      </w:r>
    </w:p>
    <w:p>
      <w:pPr>
        <w:pStyle w:val="Compact"/>
        <w:numPr>
          <w:ilvl w:val="0"/>
          <w:numId w:val="1052"/>
        </w:numPr>
      </w:pPr>
      <w:r>
        <w:t xml:space="preserve">✗ No hay calificación formal ante ARL de pérdida de capacidad</w:t>
      </w:r>
    </w:p>
    <w:p>
      <w:pPr>
        <w:pStyle w:val="Compact"/>
        <w:numPr>
          <w:ilvl w:val="0"/>
          <w:numId w:val="1052"/>
        </w:numPr>
      </w:pPr>
      <w:r>
        <w:t xml:space="preserve">✗ Documentos médicos dicen</w:t>
      </w:r>
      <w:r>
        <w:t xml:space="preserve"> </w:t>
      </w:r>
      <w:r>
        <w:t xml:space="preserve">“apto”</w:t>
      </w:r>
      <w:r>
        <w:t xml:space="preserve"> </w:t>
      </w:r>
      <w:r>
        <w:t xml:space="preserve">o</w:t>
      </w:r>
      <w:r>
        <w:t xml:space="preserve"> </w:t>
      </w:r>
      <w:r>
        <w:t xml:space="preserve">“puede continuar”</w:t>
      </w:r>
      <w:r>
        <w:t xml:space="preserve"> </w:t>
      </w:r>
      <w:r>
        <w:t xml:space="preserve">(no</w:t>
      </w:r>
      <w:r>
        <w:t xml:space="preserve"> </w:t>
      </w:r>
      <w:r>
        <w:t xml:space="preserve">“incapaz”</w:t>
      </w:r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✗ Retraso de 7+ meses en presentar demanda (afecta credibilidad)</w:t>
      </w:r>
    </w:p>
    <w:p>
      <w:pPr>
        <w:pStyle w:val="FirstParagraph"/>
      </w:pPr>
      <w:r>
        <w:rPr>
          <w:b/>
          <w:bCs/>
        </w:rPr>
        <w:t xml:space="preserve">Debilidades de Serlogísticos:</w:t>
      </w:r>
    </w:p>
    <w:p>
      <w:pPr>
        <w:pStyle w:val="Compact"/>
        <w:numPr>
          <w:ilvl w:val="0"/>
          <w:numId w:val="1053"/>
        </w:numPr>
      </w:pPr>
      <w:r>
        <w:t xml:space="preserve">✗ Jurisprudencia que cita (2012-2016) es anterior a SU 049/2017</w:t>
      </w:r>
    </w:p>
    <w:p>
      <w:pPr>
        <w:pStyle w:val="Compact"/>
        <w:numPr>
          <w:ilvl w:val="0"/>
          <w:numId w:val="1053"/>
        </w:numPr>
      </w:pPr>
      <w:r>
        <w:t xml:space="preserve">✗ Admisión de</w:t>
      </w:r>
      <w:r>
        <w:t xml:space="preserve"> </w:t>
      </w:r>
      <w:r>
        <w:t xml:space="preserve">“sin justa causa”</w:t>
      </w:r>
      <w:r>
        <w:t xml:space="preserve"> </w:t>
      </w:r>
      <w:r>
        <w:t xml:space="preserve">contradice defensa técnica</w:t>
      </w:r>
    </w:p>
    <w:p>
      <w:pPr>
        <w:pStyle w:val="Compact"/>
        <w:numPr>
          <w:ilvl w:val="0"/>
          <w:numId w:val="1053"/>
        </w:numPr>
      </w:pPr>
      <w:r>
        <w:t xml:space="preserve">✗ Documentó restricciones pero luego las niega</w:t>
      </w:r>
    </w:p>
    <w:p>
      <w:pPr>
        <w:pStyle w:val="FirstParagraph"/>
      </w:pPr>
      <w:r>
        <w:rPr>
          <w:b/>
          <w:bCs/>
        </w:rPr>
        <w:t xml:space="preserve">Veredicto realista:</w:t>
      </w:r>
      <w:r>
        <w:t xml:space="preserve"> </w:t>
      </w:r>
      <w:r>
        <w:t xml:space="preserve">Un juez conservador puede fallar a favor de Serlogísticos porque:</w:t>
      </w:r>
    </w:p>
    <w:p>
      <w:pPr>
        <w:pStyle w:val="Compact"/>
        <w:numPr>
          <w:ilvl w:val="0"/>
          <w:numId w:val="1054"/>
        </w:numPr>
      </w:pPr>
      <w:r>
        <w:t xml:space="preserve">Tiene jurisprudencia CSJ respaldando su posición</w:t>
      </w:r>
    </w:p>
    <w:p>
      <w:pPr>
        <w:pStyle w:val="Compact"/>
        <w:numPr>
          <w:ilvl w:val="0"/>
          <w:numId w:val="1054"/>
        </w:numPr>
      </w:pPr>
      <w:r>
        <w:t xml:space="preserve">La historia clínica incompleta es</w:t>
      </w:r>
      <w:r>
        <w:t xml:space="preserve"> </w:t>
      </w:r>
      <w:r>
        <w:t xml:space="preserve">“silencio”</w:t>
      </w:r>
      <w:r>
        <w:t xml:space="preserve"> </w:t>
      </w:r>
      <w:r>
        <w:t xml:space="preserve">que favorece al demandado</w:t>
      </w:r>
    </w:p>
    <w:p>
      <w:pPr>
        <w:pStyle w:val="Compact"/>
        <w:numPr>
          <w:ilvl w:val="0"/>
          <w:numId w:val="1054"/>
        </w:numPr>
      </w:pPr>
      <w:r>
        <w:t xml:space="preserve">“Apto con restricciones”</w:t>
      </w:r>
      <w:r>
        <w:t xml:space="preserve"> </w:t>
      </w:r>
      <w:r>
        <w:t xml:space="preserve">puede interpretarse como apto</w:t>
      </w:r>
    </w:p>
    <w:p>
      <w:pPr>
        <w:pStyle w:val="Compact"/>
        <w:numPr>
          <w:ilvl w:val="0"/>
          <w:numId w:val="1054"/>
        </w:numPr>
      </w:pPr>
      <w:r>
        <w:t xml:space="preserve">Ausencia de calificación formal de discapacidad es debilidad técnica</w:t>
      </w:r>
    </w:p>
    <w:p>
      <w:pPr>
        <w:pStyle w:val="FirstParagraph"/>
      </w:pPr>
      <w:r>
        <w:rPr>
          <w:b/>
          <w:bCs/>
        </w:rPr>
        <w:t xml:space="preserve">Probabilidad de ganar:</w:t>
      </w:r>
      <w:r>
        <w:t xml:space="preserve"> </w:t>
      </w:r>
      <w:r>
        <w:t xml:space="preserve">65-75% optimista →</w:t>
      </w:r>
      <w:r>
        <w:t xml:space="preserve"> </w:t>
      </w:r>
      <w:r>
        <w:rPr>
          <w:b/>
          <w:bCs/>
        </w:rPr>
        <w:t xml:space="preserve">45-55% realista</w:t>
      </w:r>
    </w:p>
    <w:bookmarkEnd w:id="938"/>
    <w:bookmarkStart w:id="939" w:name="por-qué-bedrock-recomienda-negociación"/>
    <w:p>
      <w:pPr>
        <w:pStyle w:val="Heading3"/>
      </w:pPr>
      <w:r>
        <w:t xml:space="preserve">Por qué Bedrock recomienda NEGOCIACIÓN</w:t>
      </w:r>
    </w:p>
    <w:p>
      <w:pPr>
        <w:pStyle w:val="FirstParagraph"/>
      </w:pPr>
      <w:r>
        <w:rPr>
          <w:b/>
          <w:bCs/>
        </w:rPr>
        <w:t xml:space="preserve">1. Riesgo controlado</w:t>
      </w:r>
    </w:p>
    <w:p>
      <w:pPr>
        <w:pStyle w:val="Compact"/>
        <w:numPr>
          <w:ilvl w:val="0"/>
          <w:numId w:val="1055"/>
        </w:numPr>
      </w:pPr>
      <w:r>
        <w:t xml:space="preserve">Litigio = 25-35% de riesgo de perder todo</w:t>
      </w:r>
    </w:p>
    <w:p>
      <w:pPr>
        <w:pStyle w:val="Compact"/>
        <w:numPr>
          <w:ilvl w:val="0"/>
          <w:numId w:val="1055"/>
        </w:numPr>
      </w:pPr>
      <w:r>
        <w:t xml:space="preserve">Negociación = 0% de riesgo (se obtiene dinero cierto)</w:t>
      </w:r>
    </w:p>
    <w:p>
      <w:pPr>
        <w:pStyle w:val="FirstParagraph"/>
      </w:pPr>
      <w:r>
        <w:rPr>
          <w:b/>
          <w:bCs/>
        </w:rPr>
        <w:t xml:space="preserve">2. Velocidad</w:t>
      </w:r>
    </w:p>
    <w:p>
      <w:pPr>
        <w:pStyle w:val="Compact"/>
        <w:numPr>
          <w:ilvl w:val="0"/>
          <w:numId w:val="1056"/>
        </w:numPr>
      </w:pPr>
      <w:r>
        <w:t xml:space="preserve">Litigio = 18-24 meses + apelación</w:t>
      </w:r>
    </w:p>
    <w:p>
      <w:pPr>
        <w:pStyle w:val="Compact"/>
        <w:numPr>
          <w:ilvl w:val="0"/>
          <w:numId w:val="1056"/>
        </w:numPr>
      </w:pPr>
      <w:r>
        <w:t xml:space="preserve">Negociación = 2-4 meses (dinero en bolsillo)</w:t>
      </w:r>
    </w:p>
    <w:p>
      <w:pPr>
        <w:pStyle w:val="FirstParagraph"/>
      </w:pPr>
      <w:r>
        <w:rPr>
          <w:b/>
          <w:bCs/>
        </w:rPr>
        <w:t xml:space="preserve">3. Costo</w:t>
      </w:r>
    </w:p>
    <w:p>
      <w:pPr>
        <w:pStyle w:val="Compact"/>
        <w:numPr>
          <w:ilvl w:val="0"/>
          <w:numId w:val="1057"/>
        </w:numPr>
      </w:pPr>
      <w:r>
        <w:t xml:space="preserve">Litigio = 18-30 SMLMV sin garantía</w:t>
      </w:r>
    </w:p>
    <w:p>
      <w:pPr>
        <w:pStyle w:val="Compact"/>
        <w:numPr>
          <w:ilvl w:val="0"/>
          <w:numId w:val="1057"/>
        </w:numPr>
      </w:pPr>
      <w:r>
        <w:t xml:space="preserve">Negociación = 5-8 SMLMV con resultado cierto</w:t>
      </w:r>
    </w:p>
    <w:p>
      <w:pPr>
        <w:pStyle w:val="FirstParagraph"/>
      </w:pPr>
      <w:r>
        <w:rPr>
          <w:b/>
          <w:bCs/>
        </w:rPr>
        <w:t xml:space="preserve">4. Cuantía realista</w:t>
      </w:r>
    </w:p>
    <w:p>
      <w:pPr>
        <w:pStyle w:val="Compact"/>
        <w:numPr>
          <w:ilvl w:val="0"/>
          <w:numId w:val="1058"/>
        </w:numPr>
      </w:pPr>
      <w:r>
        <w:t xml:space="preserve">Demanda: $64.3M (objetivo máximo, probablemente no alcanzable)</w:t>
      </w:r>
    </w:p>
    <w:p>
      <w:pPr>
        <w:pStyle w:val="Compact"/>
        <w:numPr>
          <w:ilvl w:val="0"/>
          <w:numId w:val="1058"/>
        </w:numPr>
      </w:pPr>
      <w:r>
        <w:t xml:space="preserve">Negociación profesional: $55M–$65M (90-95% de demanda, en 2-4 meses)</w:t>
      </w:r>
    </w:p>
    <w:p>
      <w:pPr>
        <w:pStyle w:val="Compact"/>
        <w:numPr>
          <w:ilvl w:val="0"/>
          <w:numId w:val="1058"/>
        </w:numPr>
      </w:pPr>
      <w:r>
        <w:t xml:space="preserve">Litigio ganado: $70M–$100M pero con 25-35% riesgo de perder = VE negativo</w:t>
      </w:r>
    </w:p>
    <w:p>
      <w:pPr>
        <w:pStyle w:val="FirstParagraph"/>
      </w:pPr>
      <w:r>
        <w:rPr>
          <w:b/>
          <w:bCs/>
        </w:rPr>
        <w:t xml:space="preserve">Cálculo de valor esperado:</w:t>
      </w:r>
    </w:p>
    <w:p>
      <w:pPr>
        <w:pStyle w:val="SourceCode"/>
      </w:pPr>
      <w:r>
        <w:rPr>
          <w:rStyle w:val="VerbatimChar"/>
        </w:rPr>
        <w:t xml:space="preserve">Litigio:</w:t>
      </w:r>
      <w:r>
        <w:br/>
      </w:r>
      <w:r>
        <w:rPr>
          <w:rStyle w:val="VerbatimChar"/>
        </w:rPr>
        <w:t xml:space="preserve">  (50% × $75M) + (50% × $0M) - $24M costo = $13.5M ganancia esperada</w:t>
      </w:r>
      <w:r>
        <w:br/>
      </w:r>
      <w:r>
        <w:br/>
      </w:r>
      <w:r>
        <w:rPr>
          <w:rStyle w:val="VerbatimChar"/>
        </w:rPr>
        <w:t xml:space="preserve">Negociación:</w:t>
      </w:r>
      <w:r>
        <w:br/>
      </w:r>
      <w:r>
        <w:rPr>
          <w:rStyle w:val="VerbatimChar"/>
        </w:rPr>
        <w:t xml:space="preserve">  100% × $60M - $6.5M costo = $53.5M ganancia esperada</w:t>
      </w:r>
    </w:p>
    <w:p>
      <w:pPr>
        <w:pStyle w:val="FirstParagraph"/>
      </w:pPr>
      <w:r>
        <w:rPr>
          <w:b/>
          <w:bCs/>
        </w:rPr>
        <w:t xml:space="preserve">La negociación genera 4x más valor esperado.</w:t>
      </w:r>
    </w:p>
    <w:p>
      <w:r>
        <w:pict>
          <v:rect style="width:0;height:1.5pt" o:hralign="center" o:hrstd="t" o:hr="t"/>
        </w:pict>
      </w:r>
    </w:p>
    <w:bookmarkEnd w:id="939"/>
    <w:bookmarkEnd w:id="940"/>
    <w:bookmarkStart w:id="943" w:name="Xa3c851368ea6aa054313b97a3226c6161f29287"/>
    <w:p>
      <w:pPr>
        <w:pStyle w:val="Heading2"/>
      </w:pPr>
      <w:r>
        <w:t xml:space="preserve">XI. PROPUESTA DE BEDROCK: NEGOCIACIÓN EN CENTRO DE CONCILIACIÓN</w:t>
      </w:r>
    </w:p>
    <w:bookmarkStart w:id="941" w:name="modelo-recomendado"/>
    <w:p>
      <w:pPr>
        <w:pStyle w:val="Heading3"/>
      </w:pPr>
      <w:r>
        <w:t xml:space="preserve">Modelo recomendado</w:t>
      </w:r>
    </w:p>
    <w:p>
      <w:pPr>
        <w:pStyle w:val="FirstParagraph"/>
      </w:pPr>
      <w:r>
        <w:rPr>
          <w:b/>
          <w:bCs/>
        </w:rPr>
        <w:t xml:space="preserve">Fase 1: Evaluación (Semana 1)</w:t>
      </w:r>
    </w:p>
    <w:p>
      <w:pPr>
        <w:pStyle w:val="Compact"/>
        <w:numPr>
          <w:ilvl w:val="0"/>
          <w:numId w:val="1059"/>
        </w:numPr>
      </w:pPr>
      <w:r>
        <w:t xml:space="preserve">Bedrock analiza fortalezas/debilidades reales</w:t>
      </w:r>
    </w:p>
    <w:p>
      <w:pPr>
        <w:pStyle w:val="Compact"/>
        <w:numPr>
          <w:ilvl w:val="0"/>
          <w:numId w:val="1059"/>
        </w:numPr>
      </w:pPr>
      <w:r>
        <w:t xml:space="preserve">Prepara propuesta de negociación fundamentada</w:t>
      </w:r>
    </w:p>
    <w:p>
      <w:pPr>
        <w:pStyle w:val="Compact"/>
        <w:numPr>
          <w:ilvl w:val="0"/>
          <w:numId w:val="1059"/>
        </w:numPr>
      </w:pPr>
      <w:r>
        <w:t xml:space="preserve">Define</w:t>
      </w:r>
      <w:r>
        <w:t xml:space="preserve"> </w:t>
      </w:r>
      <w:r>
        <w:t xml:space="preserve">“piso”</w:t>
      </w:r>
      <w:r>
        <w:t xml:space="preserve"> </w:t>
      </w:r>
      <w:r>
        <w:t xml:space="preserve">(mínimo aceptable): $55M</w:t>
      </w:r>
    </w:p>
    <w:p>
      <w:pPr>
        <w:pStyle w:val="Compact"/>
        <w:numPr>
          <w:ilvl w:val="0"/>
          <w:numId w:val="1059"/>
        </w:numPr>
      </w:pPr>
      <w:r>
        <w:t xml:space="preserve">Define</w:t>
      </w:r>
      <w:r>
        <w:t xml:space="preserve"> </w:t>
      </w:r>
      <w:r>
        <w:t xml:space="preserve">“techo”</w:t>
      </w:r>
      <w:r>
        <w:t xml:space="preserve"> </w:t>
      </w:r>
      <w:r>
        <w:t xml:space="preserve">(máximo probable): $70M</w:t>
      </w:r>
    </w:p>
    <w:p>
      <w:pPr>
        <w:pStyle w:val="FirstParagraph"/>
      </w:pPr>
      <w:r>
        <w:rPr>
          <w:b/>
          <w:bCs/>
        </w:rPr>
        <w:t xml:space="preserve">Fase 2: Pre-negociación (Semana 2-3)</w:t>
      </w:r>
    </w:p>
    <w:p>
      <w:pPr>
        <w:pStyle w:val="Compact"/>
        <w:numPr>
          <w:ilvl w:val="0"/>
          <w:numId w:val="1060"/>
        </w:numPr>
      </w:pPr>
      <w:r>
        <w:t xml:space="preserve">Contacto informal con abogado de Serlogísticos</w:t>
      </w:r>
    </w:p>
    <w:p>
      <w:pPr>
        <w:pStyle w:val="Compact"/>
        <w:numPr>
          <w:ilvl w:val="0"/>
          <w:numId w:val="1060"/>
        </w:numPr>
      </w:pPr>
      <w:r>
        <w:t xml:space="preserve">Presentación de propuesta de conciliación</w:t>
      </w:r>
    </w:p>
    <w:p>
      <w:pPr>
        <w:pStyle w:val="Compact"/>
        <w:numPr>
          <w:ilvl w:val="0"/>
          <w:numId w:val="1060"/>
        </w:numPr>
      </w:pPr>
      <w:r>
        <w:t xml:space="preserve">Sondeo de disposición a negociar</w:t>
      </w:r>
    </w:p>
    <w:p>
      <w:pPr>
        <w:pStyle w:val="FirstParagraph"/>
      </w:pPr>
      <w:r>
        <w:rPr>
          <w:b/>
          <w:bCs/>
        </w:rPr>
        <w:t xml:space="preserve">Fase 3: Negociación formal (Semana 4-6)</w:t>
      </w:r>
    </w:p>
    <w:p>
      <w:pPr>
        <w:pStyle w:val="Compact"/>
        <w:numPr>
          <w:ilvl w:val="0"/>
          <w:numId w:val="1061"/>
        </w:numPr>
      </w:pPr>
      <w:r>
        <w:t xml:space="preserve">Centro de Conciliación (o privado)</w:t>
      </w:r>
    </w:p>
    <w:p>
      <w:pPr>
        <w:pStyle w:val="Compact"/>
        <w:numPr>
          <w:ilvl w:val="0"/>
          <w:numId w:val="1061"/>
        </w:numPr>
      </w:pPr>
      <w:r>
        <w:t xml:space="preserve">Bedrock representa y negocia</w:t>
      </w:r>
    </w:p>
    <w:p>
      <w:pPr>
        <w:pStyle w:val="Compact"/>
        <w:numPr>
          <w:ilvl w:val="0"/>
          <w:numId w:val="1061"/>
        </w:numPr>
      </w:pPr>
      <w:r>
        <w:t xml:space="preserve">Meta: Acuerdo entre $55M–$70M</w:t>
      </w:r>
    </w:p>
    <w:p>
      <w:pPr>
        <w:pStyle w:val="FirstParagraph"/>
      </w:pPr>
      <w:r>
        <w:rPr>
          <w:b/>
          <w:bCs/>
        </w:rPr>
        <w:t xml:space="preserve">Fase 4: Implementación (Semana 7-8)</w:t>
      </w:r>
    </w:p>
    <w:p>
      <w:pPr>
        <w:pStyle w:val="Compact"/>
        <w:numPr>
          <w:ilvl w:val="0"/>
          <w:numId w:val="1062"/>
        </w:numPr>
      </w:pPr>
      <w:r>
        <w:t xml:space="preserve">Redacción de acuerdo</w:t>
      </w:r>
    </w:p>
    <w:p>
      <w:pPr>
        <w:pStyle w:val="Compact"/>
        <w:numPr>
          <w:ilvl w:val="0"/>
          <w:numId w:val="1062"/>
        </w:numPr>
      </w:pPr>
      <w:r>
        <w:t xml:space="preserve">Pago de transacción</w:t>
      </w:r>
    </w:p>
    <w:p>
      <w:pPr>
        <w:pStyle w:val="Compact"/>
        <w:numPr>
          <w:ilvl w:val="0"/>
          <w:numId w:val="1062"/>
        </w:numPr>
      </w:pPr>
      <w:r>
        <w:t xml:space="preserve">Cierre de caso</w:t>
      </w:r>
    </w:p>
    <w:bookmarkEnd w:id="941"/>
    <w:bookmarkStart w:id="942" w:name="honorarios-para-negociación"/>
    <w:p>
      <w:pPr>
        <w:pStyle w:val="Heading3"/>
      </w:pPr>
      <w:r>
        <w:t xml:space="preserve">Honorarios para negociación</w:t>
      </w:r>
    </w:p>
    <w:p>
      <w:pPr>
        <w:pStyle w:val="FirstParagraph"/>
      </w:pPr>
      <w:r>
        <w:rPr>
          <w:b/>
          <w:bCs/>
        </w:rPr>
        <w:t xml:space="preserve">Modelo único: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Si se logra la negociación (acuerdo firmado):</w:t>
      </w:r>
      <w:r>
        <w:t xml:space="preserve"> </w:t>
      </w:r>
      <w:r>
        <w:t xml:space="preserve">$8.000.000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Si la negociación no prospera (Serlogísticos rechaza):</w:t>
      </w:r>
      <w:r>
        <w:t xml:space="preserve"> </w:t>
      </w:r>
      <w:r>
        <w:t xml:space="preserve">$3.000.000</w:t>
      </w:r>
    </w:p>
    <w:p>
      <w:pPr>
        <w:pStyle w:val="FirstParagraph"/>
      </w:pPr>
      <w:r>
        <w:t xml:space="preserve">Los costos del Centro de Conciliación (si aplica) corren por cuenta del cliente, independiente del resultado. Bedrock no cobra comisión sobre montos negociados, solo el honorario fijo según el escenario.</w:t>
      </w:r>
    </w:p>
    <w:p>
      <w:r>
        <w:pict>
          <v:rect style="width:0;height:1.5pt" o:hralign="center" o:hrstd="t" o:hr="t"/>
        </w:pict>
      </w:r>
    </w:p>
    <w:bookmarkEnd w:id="942"/>
    <w:bookmarkEnd w:id="943"/>
    <w:bookmarkStart w:id="945" w:name="xii.-conclusión-y-recomendación-final"/>
    <w:p>
      <w:pPr>
        <w:pStyle w:val="Heading2"/>
      </w:pPr>
      <w:r>
        <w:t xml:space="preserve">XII. CONCLUSIÓN Y RECOMENDACIÓN FINAL</w:t>
      </w:r>
    </w:p>
    <w:bookmarkStart w:id="944" w:name="síntesis"/>
    <w:p>
      <w:pPr>
        <w:pStyle w:val="Heading3"/>
      </w:pPr>
      <w:r>
        <w:t xml:space="preserve">Síntesis</w:t>
      </w:r>
    </w:p>
    <w:p>
      <w:pPr>
        <w:pStyle w:val="FirstParagraph"/>
      </w:pPr>
      <w:r>
        <w:t xml:space="preserve">Este caso está en fase de</w:t>
      </w:r>
      <w:r>
        <w:t xml:space="preserve"> </w:t>
      </w:r>
      <w:r>
        <w:rPr>
          <w:b/>
          <w:bCs/>
        </w:rPr>
        <w:t xml:space="preserve">contestación de demanda</w:t>
      </w:r>
      <w:r>
        <w:t xml:space="preserve">. La etapa de litigio es larga (18-24 meses), costosa (18-30 SMLMV) y riesgosa (25-35% de riesgo real de perder).</w:t>
      </w:r>
    </w:p>
    <w:p>
      <w:pPr>
        <w:pStyle w:val="BodyText"/>
      </w:pPr>
      <w:r>
        <w:rPr>
          <w:b/>
          <w:bCs/>
        </w:rPr>
        <w:t xml:space="preserve">Bedrock NO recomienda proseguir a litigio completo.</w:t>
      </w:r>
    </w:p>
    <w:p>
      <w:pPr>
        <w:pStyle w:val="BodyText"/>
      </w:pPr>
      <w:r>
        <w:rPr>
          <w:b/>
          <w:bCs/>
        </w:rPr>
        <w:t xml:space="preserve">Bedrock SÍ recomienda: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NEGOCIACIÓN INMEDIATA en Centro de Conciliación</w:t>
      </w:r>
    </w:p>
    <w:p>
      <w:pPr>
        <w:pStyle w:val="Compact"/>
        <w:numPr>
          <w:ilvl w:val="1"/>
          <w:numId w:val="1065"/>
        </w:numPr>
      </w:pPr>
      <w:r>
        <w:t xml:space="preserve">Cuantía realista: $55M–$70M</w:t>
      </w:r>
    </w:p>
    <w:p>
      <w:pPr>
        <w:pStyle w:val="Compact"/>
        <w:numPr>
          <w:ilvl w:val="1"/>
          <w:numId w:val="1065"/>
        </w:numPr>
      </w:pPr>
      <w:r>
        <w:t xml:space="preserve">Tiempo: 2-4 meses</w:t>
      </w:r>
    </w:p>
    <w:p>
      <w:pPr>
        <w:pStyle w:val="Compact"/>
        <w:numPr>
          <w:ilvl w:val="1"/>
          <w:numId w:val="1065"/>
        </w:numPr>
      </w:pPr>
      <w:r>
        <w:t xml:space="preserve">Resultado: 100% de certidumbre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POSICIONAMIENTO DE BEDROCK:</w:t>
      </w:r>
    </w:p>
    <w:p>
      <w:pPr>
        <w:pStyle w:val="Compact"/>
        <w:numPr>
          <w:ilvl w:val="0"/>
          <w:numId w:val="1066"/>
        </w:numPr>
      </w:pPr>
      <w:r>
        <w:t xml:space="preserve">No como litigante agresivo (sería contraproducente)</w:t>
      </w:r>
    </w:p>
    <w:p>
      <w:pPr>
        <w:pStyle w:val="Compact"/>
        <w:numPr>
          <w:ilvl w:val="0"/>
          <w:numId w:val="1066"/>
        </w:numPr>
      </w:pPr>
      <w:r>
        <w:t xml:space="preserve">Como negociador profesional especializado en resolución alternativa</w:t>
      </w:r>
    </w:p>
    <w:p>
      <w:pPr>
        <w:pStyle w:val="Compact"/>
        <w:numPr>
          <w:ilvl w:val="0"/>
          <w:numId w:val="1066"/>
        </w:numPr>
      </w:pPr>
      <w:r>
        <w:t xml:space="preserve">Trae expertise en jurisprudencia (para fundamentar propuesta)</w:t>
      </w:r>
    </w:p>
    <w:p>
      <w:pPr>
        <w:pStyle w:val="Compact"/>
        <w:numPr>
          <w:ilvl w:val="0"/>
          <w:numId w:val="1066"/>
        </w:numPr>
      </w:pPr>
      <w:r>
        <w:t xml:space="preserve">Trae contactos y reputación (para abrir puerta con Serlogísticos)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CRONOGRAMA INMEDIATO:</w:t>
      </w:r>
    </w:p>
    <w:p>
      <w:pPr>
        <w:pStyle w:val="Compact"/>
        <w:numPr>
          <w:ilvl w:val="0"/>
          <w:numId w:val="1068"/>
        </w:numPr>
      </w:pPr>
      <w:r>
        <w:t xml:space="preserve">Semana 1: Análisis y propuesta de negociación</w:t>
      </w:r>
    </w:p>
    <w:p>
      <w:pPr>
        <w:pStyle w:val="Compact"/>
        <w:numPr>
          <w:ilvl w:val="0"/>
          <w:numId w:val="1068"/>
        </w:numPr>
      </w:pPr>
      <w:r>
        <w:t xml:space="preserve">Semana 2-3: Contacto pre-negociación</w:t>
      </w:r>
    </w:p>
    <w:p>
      <w:pPr>
        <w:pStyle w:val="Compact"/>
        <w:numPr>
          <w:ilvl w:val="0"/>
          <w:numId w:val="1068"/>
        </w:numPr>
      </w:pPr>
      <w:r>
        <w:t xml:space="preserve">Semana 4-6: Negociación en Centro de Conciliación</w:t>
      </w:r>
    </w:p>
    <w:p>
      <w:pPr>
        <w:pStyle w:val="Compact"/>
        <w:numPr>
          <w:ilvl w:val="0"/>
          <w:numId w:val="1068"/>
        </w:numPr>
      </w:pPr>
      <w:r>
        <w:t xml:space="preserve">Semana 7-8: Acuerdo firmado y pago recibido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Análisis elaborado:</w:t>
      </w:r>
      <w:r>
        <w:t xml:space="preserve"> </w:t>
      </w:r>
      <w:r>
        <w:t xml:space="preserve">Bedrock Abogados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2026-09-04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Análisis de caso laboral — Negociación en Centro de Conciliación</w:t>
      </w:r>
      <w:r>
        <w:br/>
      </w:r>
      <w:r>
        <w:rPr>
          <w:b/>
          <w:bCs/>
        </w:rPr>
        <w:t xml:space="preserve">Confidencialidad:</w:t>
      </w:r>
      <w:r>
        <w:t xml:space="preserve"> </w:t>
      </w:r>
      <w:r>
        <w:t xml:space="preserve">Abogado-cliente</w:t>
      </w:r>
    </w:p>
    <w:bookmarkEnd w:id="944"/>
    <w:bookmarkEnd w:id="945"/>
    <w:bookmarkEnd w:id="946"/>
    <w:sectPr>
      <w:headerReference r:id="rId901" w:type="default"/>
      <w:footerReference r:id="rId902" w:type="default"/>
      <w:pgSz w:h="15840" w:w="12240"/>
      <w:pgMar w:bottom="144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E2E6EB"/>
      </w:pBdr>
      <w:spacing w:before="0" w:after="0"/>
      <w:jc w:val="center"/>
    </w:pPr>
    <w:r>
      <w:rPr>
        <w:rFonts w:asciiTheme="majorHAnsi" w:hAnsiTheme="majorHAnsi"/>
        <w:color w:val="6B6F7A"/>
        <w:sz w:val="16"/>
      </w:rPr>
      <w:t xml:space="preserve">Página </w:t>
    </w:r>
    <w:r>
      <w:rPr>
        <w:rFonts w:asciiTheme="majorHAnsi" w:hAnsiTheme="majorHAnsi"/>
        <w:color w:val="6B6F7A"/>
        <w:sz w:val="16"/>
      </w:rPr>
      <w:fldChar w:fldCharType="begin"/>
    </w:r>
    <w:r>
      <w:instrText>PAGE</w:instrText>
    </w:r>
    <w:r>
      <w:fldChar w:fldCharType="end"/>
    </w:r>
    <w:r>
      <w:rPr>
        <w:rFonts w:asciiTheme="majorHAnsi" w:hAnsiTheme="majorHAnsi"/>
        <w:color w:val="6B6F7A"/>
        <w:sz w:val="16"/>
      </w:rPr>
      <w:t xml:space="preserve"> de </w:t>
    </w:r>
    <w:r>
      <w:rPr>
        <w:rFonts w:asciiTheme="majorHAnsi" w:hAnsiTheme="majorHAnsi"/>
        <w:color w:val="6B6F7A"/>
        <w:sz w:val="16"/>
      </w:rPr>
      <w:fldChar w:fldCharType="begin"/>
    </w:r>
    <w:r>
      <w:instrText>NUMPAGES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space="6" w:color="E2E6EB"/>
      </w:pBdr>
      <w:spacing w:after="0"/>
      <w:jc w:val="left"/>
    </w:pPr>
    <w:r>
      <w:drawing>
        <wp:inline distT="0" distB="0" distL="0" distR="0">
          <wp:extent cx="613410" cy="118872"/>
          <wp:effectExtent l="0" t="0" r="0" b="0"/>
          <wp:docPr id="101" name="Bedrock Abogado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" name="Bedrock Abogados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613410" cy="118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1"/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1"/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1"/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1"/>
  </w:num>
  <w:num w:numId="104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jc w:val="left"/>
      <w:outlineLvl w:val="0"/>
    </w:pPr>
    <w:rPr>
      <w:rFonts w:asciiTheme="majorHAnsi" w:cstheme="majorBidi" w:eastAsiaTheme="majorEastAsia" w:hAnsiTheme="majorHAnsi"/>
      <w:b/>
      <w:color w:val="1B1D36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1"/>
    </w:pPr>
    <w:rPr>
      <w:rFonts w:asciiTheme="majorHAnsi" w:cstheme="majorBidi" w:eastAsiaTheme="majorEastAsia" w:hAnsiTheme="majorHAnsi"/>
      <w:b/>
      <w:color w:val="224D6E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asciiTheme="majorHAnsi" w:cstheme="majorBidi" w:eastAsiaTheme="majorEastAsia" w:hAnsiTheme="majorHAnsi"/>
      <w:b/>
      <w:color w:val="224D6E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Eyebrow" w:type="paragraph">
    <w:name w:val="Eyebrow"/>
    <w:basedOn w:val="Normal"/>
    <w:qFormat/>
    <w:pPr>
      <w:spacing w:after="60" w:before="0"/>
      <w:jc w:val="left"/>
    </w:pPr>
    <w:rPr>
      <w:rFonts w:asciiTheme="majorHAnsi" w:hAnsiTheme="majorHAnsi"/>
      <w:b/>
      <w:caps/>
      <w:color w:val="224D6E"/>
      <w:spacing w:val="60"/>
      <w:sz w:val="17"/>
      <w:szCs w:val="17"/>
    </w:rPr>
  </w:style>
  <w:style w:customStyle="1" w:styleId="PortadaTitulo" w:type="paragraph">
    <w:name w:val="Portada Titulo"/>
    <w:basedOn w:val="Normal"/>
    <w:qFormat/>
    <w:pPr>
      <w:spacing w:after="200" w:before="120" w:line="288" w:lineRule="auto"/>
      <w:jc w:val="left"/>
    </w:pPr>
    <w:rPr>
      <w:rFonts w:asciiTheme="majorHAnsi" w:hAnsiTheme="majorHAnsi"/>
      <w:b/>
      <w:color w:val="1B1D36"/>
      <w:sz w:val="54"/>
      <w:szCs w:val="54"/>
    </w:rPr>
  </w:style>
  <w:style w:customStyle="1" w:styleId="Lede" w:type="paragraph">
    <w:name w:val="Lede"/>
    <w:basedOn w:val="Normal"/>
    <w:qFormat/>
    <w:pPr>
      <w:spacing w:after="320" w:before="0"/>
      <w:jc w:val="left"/>
    </w:pPr>
    <w:rPr>
      <w:color w:val="000000"/>
      <w:sz w:val="24"/>
      <w:szCs w:val="24"/>
    </w:rPr>
  </w:style>
  <w:style w:customStyle="1" w:styleId="LineaAcento" w:type="paragraph">
    <w:name w:val="Linea Acento"/>
    <w:basedOn w:val="Normal"/>
    <w:qFormat/>
    <w:pPr>
      <w:pBdr>
        <w:bottom w:color="E9CDA5" w:space="0" w:sz="18" w:val="single"/>
      </w:pBdr>
      <w:spacing w:after="200" w:before="0"/>
      <w:ind w:right="7600"/>
    </w:pPr>
    <w:rPr>
      <w:sz w:val="2"/>
      <w:szCs w:val="2"/>
    </w:rPr>
  </w:style>
  <w:style w:customStyle="1" w:styleId="ResumenTitulo" w:type="paragraph">
    <w:name w:val="Resumen Titulo"/>
    <w:basedOn w:val="Normal"/>
    <w:qFormat/>
    <w:pPr>
      <w:spacing w:after="120" w:before="200"/>
      <w:jc w:val="left"/>
    </w:pPr>
    <w:rPr>
      <w:rFonts w:asciiTheme="majorHAnsi" w:hAnsiTheme="majorHAnsi"/>
      <w:b/>
      <w:caps/>
      <w:color w:val="6B6F7A"/>
      <w:spacing w:val="40"/>
      <w:sz w:val="18"/>
      <w:szCs w:val="18"/>
    </w:rPr>
  </w:style>
  <w:style w:customStyle="1" w:styleId="ResumenItem" w:type="paragraph">
    <w:name w:val="Resumen Item"/>
    <w:basedOn w:val="Normal"/>
    <w:qFormat/>
    <w:pPr>
      <w:pBdr>
        <w:left w:color="224D6E" w:space="8" w:sz="18" w:val="single"/>
      </w:pBdr>
      <w:spacing w:after="60" w:before="60"/>
      <w:ind w:left="160"/>
      <w:jc w:val="left"/>
    </w:pPr>
    <w:rPr>
      <w:sz w:val="20"/>
      <w:szCs w:val="20"/>
    </w:rPr>
  </w:style>
  <w:style w:customStyle="1" w:styleId="FinePrint" w:type="paragraph">
    <w:name w:val="Fine Print"/>
    <w:basedOn w:val="Normal"/>
    <w:qFormat/>
    <w:pPr>
      <w:spacing w:after="0" w:before="240"/>
      <w:jc w:val="left"/>
    </w:pPr>
    <w:rPr>
      <w:i/>
      <w:color w:val="6B6F7A"/>
      <w:sz w:val="16"/>
      <w:szCs w:val="16"/>
    </w:rPr>
  </w:style>
  <w:style w:customStyle="1" w:styleId="Campo" w:type="character">
    <w:name w:val="Campo"/>
    <w:qFormat/>
    <w:rPr>
      <w:shd w:color="auto" w:fill="FFF3D6" w:val="clear"/>
      <w:color w:val="6B5218"/>
    </w:rPr>
  </w:style>
  <w:style w:type="paragraph" w:customStyle="1" w:styleId="FinePrint">
    <w:name w:val="FinePrint"/>
    <w:basedOn w:val="BodyText"/>
    <w:qFormat/>
  </w:style>
  <w:style w:type="paragraph" w:customStyle="1" w:styleId="LineaAcento">
    <w:name w:val="LineaAcento"/>
    <w:basedOn w:val="BodyText"/>
    <w:qFormat/>
  </w:style>
  <w:style w:type="paragraph" w:customStyle="1" w:styleId="PortadaTitulo">
    <w:name w:val="PortadaTitulo"/>
    <w:basedOn w:val="BodyText"/>
    <w:qFormat/>
  </w:style>
  <w:style w:type="paragraph" w:customStyle="1" w:styleId="ResumenItem">
    <w:name w:val="ResumenItem"/>
    <w:basedOn w:val="BodyText"/>
    <w:qFormat/>
  </w:style>
  <w:style w:type="paragraph" w:customStyle="1" w:styleId="ResumenTitulo">
    <w:name w:val="Resumen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910" Target="numbering.xml" /><Relationship Type="http://schemas.openxmlformats.org/officeDocument/2006/relationships/styles" Id="rId909" Target="styles.xml" /><Relationship Type="http://schemas.openxmlformats.org/officeDocument/2006/relationships/settings" Id="rId908" Target="settings.xml" /><Relationship Type="http://schemas.openxmlformats.org/officeDocument/2006/relationships/webSettings" Id="rId907" Target="webSettings.xml" /><Relationship Type="http://schemas.openxmlformats.org/officeDocument/2006/relationships/fontTable" Id="rId906" Target="fontTable.xml" /><Relationship Type="http://schemas.openxmlformats.org/officeDocument/2006/relationships/theme" Id="rId905" Target="theme/theme1.xml" /><Relationship Type="http://schemas.openxmlformats.org/officeDocument/2006/relationships/footnotes" Id="rId904" Target="footnotes.xml" /><Relationship Type="http://schemas.openxmlformats.org/officeDocument/2006/relationships/comments" Id="rId903" Target="comments.xml" /><Relationship Id="rId901" Target="header1.xml" Type="http://schemas.openxmlformats.org/officeDocument/2006/relationships/header" /><Relationship Id="rId902" Target="footer1.xml" Type="http://schemas.openxmlformats.org/officeDocument/2006/relationships/footer" /><Relationship Type="http://schemas.openxmlformats.org/officeDocument/2006/relationships/image" Id="rId911" Target="media/rId911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><Relationship Id="rIdLogo1" Type="http://schemas.openxmlformats.org/officeDocument/2006/relationships/image" Target="media/logo-bedrock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Helvetica Neue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2026-09-04T19:56:43Z</dcterms:created>
  <dcterms:modified xsi:type="dcterms:W3CDTF">2026-09-04T19:56:43Z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