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Override PartName="/word/media/rId911.png" ContentType="image/png"/>
  <Override PartName="/word/media/logo-bedrock.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drawing>
          <wp:inline>
            <wp:extent cx="1691640" cy="329184"/>
            <wp:effectExtent b="0" l="0" r="0" t="0"/>
            <wp:docPr descr="" title="" id="912" name="Picture"/>
            <a:graphic>
              <a:graphicData uri="http://schemas.openxmlformats.org/drawingml/2006/picture">
                <pic:pic>
                  <pic:nvPicPr>
                    <pic:cNvPr descr="logo-bedrock.png" id="913" name="Picture"/>
                    <pic:cNvPicPr>
                      <a:picLocks noChangeArrowheads="1" noChangeAspect="1"/>
                    </pic:cNvPicPr>
                  </pic:nvPicPr>
                  <pic:blipFill>
                    <a:blip r:embed="rId911"/>
                    <a:stretch>
                      <a:fillRect/>
                    </a:stretch>
                  </pic:blipFill>
                  <pic:spPr bwMode="auto">
                    <a:xfrm>
                      <a:off x="0" y="0"/>
                      <a:ext cx="1691640" cy="329184"/>
                    </a:xfrm>
                    <a:prstGeom prst="rect">
                      <a:avLst/>
                    </a:prstGeom>
                    <a:noFill/>
                    <a:ln w="9525">
                      <a:noFill/>
                      <a:headEnd/>
                      <a:tailEnd/>
                    </a:ln>
                  </pic:spPr>
                </pic:pic>
              </a:graphicData>
            </a:graphic>
          </wp:inline>
        </w:drawing>
      </w:r>
    </w:p>
    <w:p>
      <w:pPr>
        <w:pStyle w:val="Eyebrow"/>
      </w:pPr>
      <w:r>
        <w:t xml:space="preserve">Propuesta de servicios profesionales · Ref. BED-MISS-2026-01</w:t>
      </w:r>
    </w:p>
    <w:p>
      <w:pPr>
        <w:pStyle w:val="PortadaTitulo"/>
      </w:pPr>
      <w:r>
        <w:t xml:space="preserve">Acciones civiles frente al sistema de impermeabilización de la zona húmeda</w:t>
      </w:r>
    </w:p>
    <w:p>
      <w:pPr>
        <w:pStyle w:val="LineaAcento"/>
      </w:pPr>
      <w:r>
        <w:t xml:space="preserve"> </w:t>
      </w:r>
    </w:p>
    <w:p>
      <w:pPr>
        <w:pStyle w:val="Lede"/>
      </w:pPr>
      <w:r>
        <w:t xml:space="preserve">Estrategia de recuperación económica frente al proveedor y al aplicador del sistema, con una recomendación concomitante de rendición de cuentas sobre la administración del proyecto.</w:t>
      </w:r>
    </w:p>
    <w:tbl>
      <w:tblP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blGrid>
        <w:gridCol w:w="3000"/>
        <w:gridCol w:w="3000"/>
        <w:gridCol w:w="3000"/>
      </w:tblGrid>
      <w:tr>
        <w:tc>
          <w:tcPr>
            <w:tcW w:w="3000" w:type="dxa"/>
            <w:tcMar>
              <w:right w:w="200" w:type="dxa"/>
            </w:tcMar>
          </w:tcPr>
          <w:p>
            <w:pPr>
              <w:spacing w:before="0" w:after="20"/>
            </w:pPr>
            <w:r>
              <w:rPr>
                <w:rFonts w:asciiTheme="majorHAnsi" w:hAnsiTheme="majorHAnsi"/>
                <w:b/>
                <w:caps/>
                <w:color w:val="6B6F7A"/>
                <w:spacing w:val="20"/>
                <w:sz w:val="15"/>
              </w:rPr>
              <w:t xml:space="preserve">Documento</w:t>
            </w:r>
          </w:p>
          <w:p>
            <w:r>
              <w:rPr>
                <w:color w:val="1B1D36"/>
                <w:sz w:val="20"/>
              </w:rPr>
              <w:t xml:space="preserve">Propuesta de servicios</w:t>
            </w:r>
          </w:p>
        </w:tc>
        <w:tc>
          <w:tcPr>
            <w:tcW w:w="3000" w:type="dxa"/>
            <w:tcMar>
              <w:right w:w="200" w:type="dxa"/>
            </w:tcMar>
          </w:tcPr>
          <w:p>
            <w:pPr>
              <w:spacing w:before="0" w:after="20"/>
            </w:pPr>
            <w:r>
              <w:rPr>
                <w:rFonts w:asciiTheme="majorHAnsi" w:hAnsiTheme="majorHAnsi"/>
                <w:b/>
                <w:caps/>
                <w:color w:val="6B6F7A"/>
                <w:spacing w:val="20"/>
                <w:sz w:val="15"/>
              </w:rPr>
              <w:t xml:space="preserve">Fecha</w:t>
            </w:r>
          </w:p>
          <w:p>
            <w:r>
              <w:rPr>
                <w:color w:val="1B1D36"/>
                <w:sz w:val="20"/>
              </w:rPr>
              <w:t xml:space="preserve">4 de septiembre de 2026</w:t>
            </w:r>
          </w:p>
        </w:tc>
        <w:tc>
          <w:tcPr>
            <w:tcW w:w="3000" w:type="dxa"/>
            <w:tcMar>
              <w:right w:w="200" w:type="dxa"/>
            </w:tcMar>
          </w:tcPr>
          <w:p>
            <w:pPr>
              <w:spacing w:before="0" w:after="20"/>
            </w:pPr>
            <w:r>
              <w:rPr>
                <w:rFonts w:asciiTheme="majorHAnsi" w:hAnsiTheme="majorHAnsi"/>
                <w:b/>
                <w:caps/>
                <w:color w:val="6B6F7A"/>
                <w:spacing w:val="20"/>
                <w:sz w:val="15"/>
              </w:rPr>
              <w:t xml:space="preserve">Alcance</w:t>
            </w:r>
          </w:p>
          <w:p>
            <w:r>
              <w:rPr>
                <w:color w:val="1B1D36"/>
                <w:sz w:val="20"/>
              </w:rPr>
              <w:t xml:space="preserve">Confidencial · Conjunto Residencial Mississippi</w:t>
            </w:r>
          </w:p>
        </w:tc>
      </w:tr>
    </w:tbl>
    <w:p>
      <w:pPr>
        <w:pStyle w:val="ResumenTitulo"/>
      </w:pPr>
      <w:r>
        <w:t xml:space="preserve">Resumen del documento</w:t>
      </w:r>
    </w:p>
    <w:p>
      <w:pPr>
        <w:pStyle w:val="ResumenItem"/>
      </w:pPr>
      <w:r>
        <w:rPr>
          <w:b/>
          <w:bCs/>
        </w:rPr>
        <w:t xml:space="preserve">Alcance.</w:t>
      </w:r>
      <w:r>
        <w:t xml:space="preserve"> </w:t>
      </w:r>
      <w:r>
        <w:t xml:space="preserve">Proceso verbal de responsabilidad civil contractual contra el aplicador, el fabricante del producto y la aseguradora, con una recomendación concomitante de rendición de cuentas sobre la administración del proyecto.</w:t>
      </w:r>
    </w:p>
    <w:p>
      <w:pPr>
        <w:pStyle w:val="ResumenItem"/>
      </w:pPr>
      <w:r>
        <w:rPr>
          <w:b/>
          <w:bCs/>
        </w:rPr>
        <w:t xml:space="preserve">Honorarios por etapa.</w:t>
      </w:r>
      <w:r>
        <w:t xml:space="preserve"> </w:t>
      </w:r>
      <w:r>
        <w:t xml:space="preserve">Entre 2 y 3 salarios mínimos legales mensuales vigentes por cada etapa procesal, más una prima de éxito del 20% sobre lo recuperado en el proceso civil contractual.</w:t>
      </w:r>
    </w:p>
    <w:p>
      <w:pPr>
        <w:pStyle w:val="ResumenItem"/>
      </w:pPr>
      <w:r>
        <w:rPr>
          <w:b/>
          <w:bCs/>
        </w:rPr>
        <w:t xml:space="preserve">Vigencia.</w:t>
      </w:r>
      <w:r>
        <w:t xml:space="preserve"> </w:t>
      </w:r>
      <w:r>
        <w:t xml:space="preserve">Quince días calendario desde la fecha de esta propuesta.</w:t>
      </w:r>
    </w:p>
    <w:p>
      <w:pPr>
        <w:pStyle w:val="FinePrint"/>
      </w:pPr>
      <w:r>
        <w:t xml:space="preserve">Documento confidencial. Su contenido es de uso exclusivo del Conjunto Residencial Mississippi y de Bedrock, y no debe circularse a terceros sin autorización de ambas partes.</w:t>
      </w:r>
    </w:p>
    <w:p>
      <w:r>
        <w:br w:type="page"/>
      </w:r>
    </w:p>
    <w:bookmarkStart w:id="914" w:name="contexto"/>
    <w:p>
      <w:pPr>
        <w:pStyle w:val="Heading1"/>
      </w:pPr>
      <w:r>
        <w:t xml:space="preserve">Contexto</w:t>
      </w:r>
    </w:p>
    <w:p>
      <w:pPr>
        <w:pStyle w:val="FirstParagraph"/>
      </w:pPr>
      <w:r>
        <w:t xml:space="preserve">El conjunto contrató, mediante dos actos separados, el suministro de un sistema de microcemento autonivelante para la renovación de la capa de rodadura, la impermeabilización y el acabado de la zona húmeda de la unidad, y la mano de obra para su aplicación e instalación. Antes de terminar la aplicación, el sistema presentó desprendimientos, un cambio de color no autorizado ni sustentado y falta de resistencia a la radiación ultravioleta, lo que llevó a la suspensión de los pagos pendientes y a la necesidad de desmontar lo ya ejecutado para volver a empezar.</w:t>
      </w:r>
    </w:p>
    <w:p>
      <w:pPr>
        <w:pStyle w:val="BodyText"/>
      </w:pPr>
      <w:r>
        <w:t xml:space="preserve">Esta propuesta cubre las acciones civiles frente a quienes intervinieron en el suministro y la aplicación del sistema, y la recomendación de un proceso adicional sobre la administración de los recursos del proyecto.</w:t>
      </w:r>
    </w:p>
    <w:bookmarkEnd w:id="914"/>
    <w:bookmarkStart w:id="915" w:name="objetos-contractuales"/>
    <w:p>
      <w:pPr>
        <w:pStyle w:val="Heading1"/>
      </w:pPr>
      <w:r>
        <w:t xml:space="preserve">Objetos contractuales</w:t>
      </w:r>
    </w:p>
    <w:p>
      <w:pPr>
        <w:pStyle w:val="Compact"/>
        <w:numPr>
          <w:ilvl w:val="0"/>
          <w:numId w:val="1001"/>
        </w:numPr>
      </w:pPr>
      <w:r>
        <w:rPr>
          <w:b/>
          <w:bCs/>
        </w:rPr>
        <w:t xml:space="preserve">Compraventa o suministro</w:t>
      </w:r>
      <w:r>
        <w:t xml:space="preserve"> </w:t>
      </w:r>
      <w:r>
        <w:t xml:space="preserve">del material y sus componentes: imprimante APX-100BV, microcemento Escarifino hidrorrepelente en masa de alto tráfico, revestimiento protector Translux UV y sellante acrílico. No se cuenta con soporte documental que permita establecer con certeza si el acto celebrado fue una compraventa o un suministro; la tipología contractual exacta queda pendiente de definir con la documentación del caso.</w:t>
      </w:r>
    </w:p>
    <w:p>
      <w:pPr>
        <w:pStyle w:val="Compact"/>
        <w:numPr>
          <w:ilvl w:val="0"/>
          <w:numId w:val="1001"/>
        </w:numPr>
      </w:pPr>
      <w:r>
        <w:rPr>
          <w:b/>
          <w:bCs/>
        </w:rPr>
        <w:t xml:space="preserve">Mano de obra</w:t>
      </w:r>
      <w:r>
        <w:t xml:space="preserve"> </w:t>
      </w:r>
      <w:r>
        <w:t xml:space="preserve">de aplicación e instalación de ese mismo material.</w:t>
      </w:r>
    </w:p>
    <w:bookmarkEnd w:id="915"/>
    <w:bookmarkStart w:id="919" w:name="Xa7eaf56ae7b5ca83ee7ca0dd92239a9b24a1349"/>
    <w:p>
      <w:pPr>
        <w:pStyle w:val="Heading1"/>
      </w:pPr>
      <w:r>
        <w:t xml:space="preserve">Proceso verbal de responsabilidad civil contractual</w:t>
      </w:r>
    </w:p>
    <w:bookmarkStart w:id="916" w:name="demandados"/>
    <w:p>
      <w:pPr>
        <w:pStyle w:val="Heading2"/>
      </w:pPr>
      <w:r>
        <w:t xml:space="preserve">Demandados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Demandado</w:t>
            </w:r>
          </w:p>
        </w:tc>
        <w:tc>
          <w:tcPr/>
          <w:p>
            <w:pPr>
              <w:pStyle w:val="Compact"/>
            </w:pPr>
            <w:r>
              <w:t xml:space="preserve">Rol en el proyecto</w:t>
            </w:r>
          </w:p>
        </w:tc>
      </w:tr>
      <w:tr>
        <w:tc>
          <w:tcPr/>
          <w:p>
            <w:pPr>
              <w:pStyle w:val="Compact"/>
            </w:pPr>
            <w:r>
              <w:t xml:space="preserve">Apolocryl S.A.S.</w:t>
            </w:r>
          </w:p>
        </w:tc>
        <w:tc>
          <w:tcPr/>
          <w:p>
            <w:pPr>
              <w:pStyle w:val="Compact"/>
            </w:pPr>
            <w:r>
              <w:t xml:space="preserve">Fabricante, comercializador y certificador del producto</w:t>
            </w:r>
          </w:p>
        </w:tc>
      </w:tr>
      <w:tr>
        <w:tc>
          <w:tcPr/>
          <w:p>
            <w:pPr>
              <w:pStyle w:val="Compact"/>
            </w:pPr>
            <w:r>
              <w:t xml:space="preserve">Creando e Innovando CEI S.A.S., NIT 901.949.894</w:t>
            </w:r>
          </w:p>
        </w:tc>
        <w:tc>
          <w:tcPr/>
          <w:p>
            <w:pPr>
              <w:pStyle w:val="Compact"/>
            </w:pPr>
            <w:r>
              <w:t xml:space="preserve">Contratista de aplicación e instalación del sistema</w:t>
            </w:r>
          </w:p>
        </w:tc>
      </w:tr>
      <w:tr>
        <w:tc>
          <w:tcPr/>
          <w:p>
            <w:pPr>
              <w:pStyle w:val="Compact"/>
            </w:pPr>
            <w:r>
              <w:t xml:space="preserve">Aseguradora Solidaria de Colombia</w:t>
            </w:r>
          </w:p>
        </w:tc>
        <w:tc>
          <w:tcPr/>
          <w:p>
            <w:pPr>
              <w:pStyle w:val="Compact"/>
            </w:pPr>
            <w:r>
              <w:t xml:space="preserve">Aseguradora de la póliza que ampara actos dolosos de la copropiedad</w:t>
            </w:r>
          </w:p>
        </w:tc>
      </w:tr>
    </w:tbl>
    <w:bookmarkEnd w:id="916"/>
    <w:bookmarkStart w:id="917" w:name="posibilidad-de-acumular-pretensiones"/>
    <w:p>
      <w:pPr>
        <w:pStyle w:val="Heading2"/>
      </w:pPr>
      <w:r>
        <w:t xml:space="preserve">Posibilidad de acumular pretensiones</w:t>
      </w:r>
    </w:p>
    <w:p>
      <w:pPr>
        <w:pStyle w:val="FirstParagraph"/>
      </w:pPr>
      <w:r>
        <w:t xml:space="preserve">Las pretensiones frente a Creando e Innovando CEI S.A.S. y Apolocryl S.A.S. pueden acumularse en el mismo proceso: ambas intervinieron en el mismo proyecto de impermeabilización y recubrimiento de la zona húmeda, y la causa fáctica del litigio es la misma. Creando e Innovando CEI S.A.S. actuó como contratista de aplicación e instalación; Apolocryl S.A.S., como fabricante, comercializador y certificador del producto empleado. Hay indicios de que los daños provienen tanto de errores de ejecución como de deficiencias técnicas del producto, lo que hace necesario analizar en conjunto las obligaciones de ambas para establecer el origen de las fallas y evitar decisiones contradictorias entre procesos separados.</w:t>
      </w:r>
    </w:p>
    <w:bookmarkEnd w:id="917"/>
    <w:bookmarkStart w:id="918" w:name="etapas-del-proceso"/>
    <w:p>
      <w:pPr>
        <w:pStyle w:val="Heading2"/>
      </w:pPr>
      <w:r>
        <w:t xml:space="preserve">Etapas del proceso</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Etapa</w:t>
            </w:r>
          </w:p>
        </w:tc>
        <w:tc>
          <w:tcPr/>
          <w:p>
            <w:pPr>
              <w:pStyle w:val="Compact"/>
            </w:pPr>
            <w:r>
              <w:t xml:space="preserve">Honorarios</w:t>
            </w:r>
          </w:p>
        </w:tc>
      </w:tr>
      <w:tr>
        <w:tc>
          <w:tcPr/>
          <w:p>
            <w:pPr>
              <w:pStyle w:val="Compact"/>
            </w:pPr>
            <w:r>
              <w:t xml:space="preserve">Reclamación ante la aseguradora</w:t>
            </w:r>
          </w:p>
        </w:tc>
        <w:tc>
          <w:tcPr/>
          <w:p>
            <w:pPr>
              <w:pStyle w:val="Compact"/>
            </w:pPr>
            <w:r>
              <w:t xml:space="preserve">2 SMLMV</w:t>
            </w:r>
          </w:p>
        </w:tc>
      </w:tr>
      <w:tr>
        <w:tc>
          <w:tcPr/>
          <w:p>
            <w:pPr>
              <w:pStyle w:val="Compact"/>
            </w:pPr>
            <w:r>
              <w:t xml:space="preserve">Conciliación prejudicial</w:t>
            </w:r>
          </w:p>
        </w:tc>
        <w:tc>
          <w:tcPr/>
          <w:p>
            <w:pPr>
              <w:pStyle w:val="Compact"/>
            </w:pPr>
            <w:r>
              <w:t xml:space="preserve">2 SMLMV</w:t>
            </w:r>
          </w:p>
        </w:tc>
      </w:tr>
      <w:tr>
        <w:tc>
          <w:tcPr/>
          <w:p>
            <w:pPr>
              <w:pStyle w:val="Compact"/>
            </w:pPr>
            <w:r>
              <w:t xml:space="preserve">Presentación de la demanda</w:t>
            </w:r>
          </w:p>
        </w:tc>
        <w:tc>
          <w:tcPr/>
          <w:p>
            <w:pPr>
              <w:pStyle w:val="Compact"/>
            </w:pPr>
            <w:r>
              <w:t xml:space="preserve">3 SMLMV</w:t>
            </w:r>
          </w:p>
        </w:tc>
      </w:tr>
      <w:tr>
        <w:tc>
          <w:tcPr/>
          <w:p>
            <w:pPr>
              <w:pStyle w:val="Compact"/>
            </w:pPr>
            <w:r>
              <w:t xml:space="preserve">Cada audiencia</w:t>
            </w:r>
          </w:p>
        </w:tc>
        <w:tc>
          <w:tcPr/>
          <w:p>
            <w:pPr>
              <w:pStyle w:val="Compact"/>
            </w:pPr>
            <w:r>
              <w:t xml:space="preserve">2 SMLMV</w:t>
            </w:r>
          </w:p>
        </w:tc>
      </w:tr>
      <w:tr>
        <w:tc>
          <w:tcPr/>
          <w:p>
            <w:pPr>
              <w:pStyle w:val="Compact"/>
            </w:pPr>
            <w:r>
              <w:t xml:space="preserve">Prima de éxito</w:t>
            </w:r>
          </w:p>
        </w:tc>
        <w:tc>
          <w:tcPr/>
          <w:p>
            <w:pPr>
              <w:pStyle w:val="Compact"/>
            </w:pPr>
            <w:r>
              <w:t xml:space="preserve">20% de lo recuperado, con deducción de los honorarios ya pagados en las etapas anteriores</w:t>
            </w:r>
          </w:p>
        </w:tc>
      </w:tr>
    </w:tbl>
    <w:bookmarkEnd w:id="918"/>
    <w:bookmarkEnd w:id="919"/>
    <w:bookmarkStart w:id="923" w:name="X4633596ac67e5dd100ad54f39ef9c2f926ebc2e"/>
    <w:p>
      <w:pPr>
        <w:pStyle w:val="Heading1"/>
      </w:pPr>
      <w:r>
        <w:t xml:space="preserve">Recomendación concomitante: proceso de rendición de cuentas</w:t>
      </w:r>
    </w:p>
    <w:p>
      <w:pPr>
        <w:pStyle w:val="FirstParagraph"/>
      </w:pPr>
      <w:r>
        <w:t xml:space="preserve">El artículo 379 del Código General del Proceso permite obligar judicialmente a quien administra bienes o negocios ajenos a informar, de manera detallada, documentada y comprobada, sobre su gestión, para establecer un saldo a favor de la copropiedad. Esta vía es útil en este caso: la administradora, Adriana Guevara, retuvo aparentemente los pagos que dieron lugar a la suspensión de las labores de impermeabilización, y hay indicios de que negoció con el fabricante y comercializador del producto sin autorización del consejo.</w:t>
      </w:r>
    </w:p>
    <w:bookmarkStart w:id="920" w:name="demandada"/>
    <w:p>
      <w:pPr>
        <w:pStyle w:val="Heading2"/>
      </w:pPr>
      <w:r>
        <w:t xml:space="preserve">Demandada</w:t>
      </w:r>
    </w:p>
    <w:p>
      <w:pPr>
        <w:pStyle w:val="FirstParagraph"/>
      </w:pPr>
      <w:r>
        <w:t xml:space="preserve">Adriana Guevara, en su calidad de administradora de la copropiedad durante la ejecución del proyecto.</w:t>
      </w:r>
    </w:p>
    <w:bookmarkEnd w:id="920"/>
    <w:bookmarkStart w:id="921" w:name="etapas-del-proceso-1"/>
    <w:p>
      <w:pPr>
        <w:pStyle w:val="Heading2"/>
      </w:pPr>
      <w:r>
        <w:t xml:space="preserve">Etapas del proceso</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Etapa</w:t>
            </w:r>
          </w:p>
        </w:tc>
        <w:tc>
          <w:tcPr/>
          <w:p>
            <w:pPr>
              <w:pStyle w:val="Compact"/>
            </w:pPr>
            <w:r>
              <w:t xml:space="preserve">Honorarios</w:t>
            </w:r>
          </w:p>
        </w:tc>
      </w:tr>
      <w:tr>
        <w:tc>
          <w:tcPr/>
          <w:p>
            <w:pPr>
              <w:pStyle w:val="Compact"/>
            </w:pPr>
            <w:r>
              <w:t xml:space="preserve">Conciliación prejudicial</w:t>
            </w:r>
          </w:p>
        </w:tc>
        <w:tc>
          <w:tcPr/>
          <w:p>
            <w:pPr>
              <w:pStyle w:val="Compact"/>
            </w:pPr>
            <w:r>
              <w:t xml:space="preserve">2 SMLMV</w:t>
            </w:r>
          </w:p>
        </w:tc>
      </w:tr>
      <w:tr>
        <w:tc>
          <w:tcPr/>
          <w:p>
            <w:pPr>
              <w:pStyle w:val="Compact"/>
            </w:pPr>
            <w:r>
              <w:t xml:space="preserve">Presentación de la demanda</w:t>
            </w:r>
          </w:p>
        </w:tc>
        <w:tc>
          <w:tcPr/>
          <w:p>
            <w:pPr>
              <w:pStyle w:val="Compact"/>
            </w:pPr>
            <w:r>
              <w:t xml:space="preserve">3 SMLMV</w:t>
            </w:r>
          </w:p>
        </w:tc>
      </w:tr>
      <w:tr>
        <w:tc>
          <w:tcPr/>
          <w:p>
            <w:pPr>
              <w:pStyle w:val="Compact"/>
            </w:pPr>
            <w:r>
              <w:t xml:space="preserve">Audiencia, si la demandada se opone y objeta la estimación hecha en la demanda</w:t>
            </w:r>
          </w:p>
        </w:tc>
        <w:tc>
          <w:tcPr/>
          <w:p>
            <w:pPr>
              <w:pStyle w:val="Compact"/>
            </w:pPr>
            <w:r>
              <w:t xml:space="preserve">2 SMLMV por audiencia</w:t>
            </w:r>
          </w:p>
        </w:tc>
      </w:tr>
      <w:tr>
        <w:tc>
          <w:tcPr/>
          <w:p>
            <w:pPr>
              <w:pStyle w:val="Compact"/>
            </w:pPr>
            <w:r>
              <w:t xml:space="preserve">Proceso ejecutivo, si la demandada no se opone y la providencia presta mérito ejecutivo</w:t>
            </w:r>
          </w:p>
        </w:tc>
        <w:tc>
          <w:tcPr/>
          <w:p>
            <w:pPr>
              <w:pStyle w:val="Compact"/>
            </w:pPr>
            <w:r>
              <w:t xml:space="preserve">2 SMLMV</w:t>
            </w:r>
          </w:p>
        </w:tc>
      </w:tr>
    </w:tbl>
    <w:p>
      <w:pPr>
        <w:pStyle w:val="BodyText"/>
      </w:pPr>
      <w:r>
        <w:t xml:space="preserve">Notificada la demanda, la administradora puede oponerse a rendir cuentas y objetar la estimación, caso en el cual el proceso pasa a audiencia; o no oponerse, caso en el cual se emite una providencia sobre esa estimación que presta mérito ejecutivo y da lugar a un proceso ejecutivo. Este proceso no lleva prima de éxito: se cobra únicamente por etapa, en los términos de la tabla anterior.</w:t>
      </w:r>
    </w:p>
    <w:bookmarkEnd w:id="921"/>
    <w:bookmarkStart w:id="922" w:name="proceso-futuro-condicionado-al-resultado"/>
    <w:p>
      <w:pPr>
        <w:pStyle w:val="Heading2"/>
      </w:pPr>
      <w:r>
        <w:t xml:space="preserve">Proceso futuro condicionado al resultado</w:t>
      </w:r>
    </w:p>
    <w:p>
      <w:pPr>
        <w:pStyle w:val="FirstParagraph"/>
      </w:pPr>
      <w:r>
        <w:t xml:space="preserve">Con el resultado de la rendición de cuentas puede evaluarse un tercer proceso, de responsabilidad civil contractual contra Adriana Guevara en su calidad de administradora. Ese proceso no está incluido en esta propuesta ni tiene honorarios definidos; se cotiza aparte si el resultado de la rendición de cuentas lo justifica.</w:t>
      </w:r>
    </w:p>
    <w:bookmarkEnd w:id="922"/>
    <w:bookmarkEnd w:id="923"/>
    <w:bookmarkStart w:id="925" w:name="honorarios-y-forma-de-pago"/>
    <w:p>
      <w:pPr>
        <w:pStyle w:val="Heading1"/>
      </w:pPr>
      <w:r>
        <w:t xml:space="preserve">Honorarios y forma de pago</w:t>
      </w:r>
    </w:p>
    <w:p>
      <w:pPr>
        <w:pStyle w:val="FirstParagraph"/>
      </w:pPr>
      <w:r>
        <w:t xml:space="preserve">Los valores de esta propuesta se expresan en salarios mínimos legales mensuales vigentes (SMLMV). El SMLMV para 2026 es de $1.750.905, fijado por el Decreto 1469 de 2025.</w:t>
      </w:r>
      <w:r>
        <w:rPr>
          <w:rStyle w:val="FootnoteReference"/>
        </w:rPr>
        <w:footnoteReference w:id="924"/>
      </w:r>
      <w:r>
        <w:t xml:space="preserve"> </w:t>
      </w:r>
      <w:r>
        <w:t xml:space="preserve">Cada etapa se factura al cumplirse el hito correspondiente, más el impuesto sobre las ventas a la tarifa que corresponda.</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Etapa</w:t>
            </w:r>
          </w:p>
        </w:tc>
        <w:tc>
          <w:tcPr/>
          <w:p>
            <w:pPr>
              <w:pStyle w:val="Compact"/>
            </w:pPr>
            <w:r>
              <w:t xml:space="preserve">SMLMV</w:t>
            </w:r>
          </w:p>
        </w:tc>
        <w:tc>
          <w:tcPr/>
          <w:p>
            <w:pPr>
              <w:pStyle w:val="Compact"/>
            </w:pPr>
            <w:r>
              <w:t xml:space="preserve">Valor 2026</w:t>
            </w:r>
          </w:p>
        </w:tc>
      </w:tr>
      <w:tr>
        <w:tc>
          <w:tcPr/>
          <w:p>
            <w:pPr>
              <w:pStyle w:val="Compact"/>
            </w:pPr>
            <w:r>
              <w:t xml:space="preserve">Reclamación ante la aseguradora</w:t>
            </w:r>
          </w:p>
        </w:tc>
        <w:tc>
          <w:tcPr/>
          <w:p>
            <w:pPr>
              <w:pStyle w:val="Compact"/>
            </w:pPr>
            <w:r>
              <w:t xml:space="preserve">2</w:t>
            </w:r>
          </w:p>
        </w:tc>
        <w:tc>
          <w:tcPr/>
          <w:p>
            <w:pPr>
              <w:pStyle w:val="Compact"/>
            </w:pPr>
            <w:r>
              <w:t xml:space="preserve">$3.501.810</w:t>
            </w:r>
          </w:p>
        </w:tc>
      </w:tr>
      <w:tr>
        <w:tc>
          <w:tcPr/>
          <w:p>
            <w:pPr>
              <w:pStyle w:val="Compact"/>
            </w:pPr>
            <w:r>
              <w:t xml:space="preserve">Conciliación prejudicial, proceso civil contractual</w:t>
            </w:r>
          </w:p>
        </w:tc>
        <w:tc>
          <w:tcPr/>
          <w:p>
            <w:pPr>
              <w:pStyle w:val="Compact"/>
            </w:pPr>
            <w:r>
              <w:t xml:space="preserve">2</w:t>
            </w:r>
          </w:p>
        </w:tc>
        <w:tc>
          <w:tcPr/>
          <w:p>
            <w:pPr>
              <w:pStyle w:val="Compact"/>
            </w:pPr>
            <w:r>
              <w:t xml:space="preserve">$3.501.810</w:t>
            </w:r>
          </w:p>
        </w:tc>
      </w:tr>
      <w:tr>
        <w:tc>
          <w:tcPr/>
          <w:p>
            <w:pPr>
              <w:pStyle w:val="Compact"/>
            </w:pPr>
            <w:r>
              <w:t xml:space="preserve">Presentación de la demanda, proceso civil contractual</w:t>
            </w:r>
          </w:p>
        </w:tc>
        <w:tc>
          <w:tcPr/>
          <w:p>
            <w:pPr>
              <w:pStyle w:val="Compact"/>
            </w:pPr>
            <w:r>
              <w:t xml:space="preserve">3</w:t>
            </w:r>
          </w:p>
        </w:tc>
        <w:tc>
          <w:tcPr/>
          <w:p>
            <w:pPr>
              <w:pStyle w:val="Compact"/>
            </w:pPr>
            <w:r>
              <w:t xml:space="preserve">$5.252.715</w:t>
            </w:r>
          </w:p>
        </w:tc>
      </w:tr>
      <w:tr>
        <w:tc>
          <w:tcPr/>
          <w:p>
            <w:pPr>
              <w:pStyle w:val="Compact"/>
            </w:pPr>
            <w:r>
              <w:t xml:space="preserve">Cada audiencia, proceso civil contractual</w:t>
            </w:r>
          </w:p>
        </w:tc>
        <w:tc>
          <w:tcPr/>
          <w:p>
            <w:pPr>
              <w:pStyle w:val="Compact"/>
            </w:pPr>
            <w:r>
              <w:t xml:space="preserve">2</w:t>
            </w:r>
          </w:p>
        </w:tc>
        <w:tc>
          <w:tcPr/>
          <w:p>
            <w:pPr>
              <w:pStyle w:val="Compact"/>
            </w:pPr>
            <w:r>
              <w:t xml:space="preserve">$3.501.810</w:t>
            </w:r>
          </w:p>
        </w:tc>
      </w:tr>
      <w:tr>
        <w:tc>
          <w:tcPr/>
          <w:p>
            <w:pPr>
              <w:pStyle w:val="Compact"/>
            </w:pPr>
            <w:r>
              <w:t xml:space="preserve">Conciliación prejudicial, rendición de cuentas</w:t>
            </w:r>
          </w:p>
        </w:tc>
        <w:tc>
          <w:tcPr/>
          <w:p>
            <w:pPr>
              <w:pStyle w:val="Compact"/>
            </w:pPr>
            <w:r>
              <w:t xml:space="preserve">2</w:t>
            </w:r>
          </w:p>
        </w:tc>
        <w:tc>
          <w:tcPr/>
          <w:p>
            <w:pPr>
              <w:pStyle w:val="Compact"/>
            </w:pPr>
            <w:r>
              <w:t xml:space="preserve">$3.501.810</w:t>
            </w:r>
          </w:p>
        </w:tc>
      </w:tr>
      <w:tr>
        <w:tc>
          <w:tcPr/>
          <w:p>
            <w:pPr>
              <w:pStyle w:val="Compact"/>
            </w:pPr>
            <w:r>
              <w:t xml:space="preserve">Presentación de la demanda, rendición de cuentas</w:t>
            </w:r>
          </w:p>
        </w:tc>
        <w:tc>
          <w:tcPr/>
          <w:p>
            <w:pPr>
              <w:pStyle w:val="Compact"/>
            </w:pPr>
            <w:r>
              <w:t xml:space="preserve">3</w:t>
            </w:r>
          </w:p>
        </w:tc>
        <w:tc>
          <w:tcPr/>
          <w:p>
            <w:pPr>
              <w:pStyle w:val="Compact"/>
            </w:pPr>
            <w:r>
              <w:t xml:space="preserve">$5.252.715</w:t>
            </w:r>
          </w:p>
        </w:tc>
      </w:tr>
      <w:tr>
        <w:tc>
          <w:tcPr/>
          <w:p>
            <w:pPr>
              <w:pStyle w:val="Compact"/>
            </w:pPr>
            <w:r>
              <w:t xml:space="preserve">Cada audiencia, rendición de cuentas</w:t>
            </w:r>
          </w:p>
        </w:tc>
        <w:tc>
          <w:tcPr/>
          <w:p>
            <w:pPr>
              <w:pStyle w:val="Compact"/>
            </w:pPr>
            <w:r>
              <w:t xml:space="preserve">2</w:t>
            </w:r>
          </w:p>
        </w:tc>
        <w:tc>
          <w:tcPr/>
          <w:p>
            <w:pPr>
              <w:pStyle w:val="Compact"/>
            </w:pPr>
            <w:r>
              <w:t xml:space="preserve">$3.501.810</w:t>
            </w:r>
          </w:p>
        </w:tc>
      </w:tr>
      <w:tr>
        <w:tc>
          <w:tcPr/>
          <w:p>
            <w:pPr>
              <w:pStyle w:val="Compact"/>
            </w:pPr>
            <w:r>
              <w:t xml:space="preserve">Proceso ejecutivo, rendición de cuentas</w:t>
            </w:r>
          </w:p>
        </w:tc>
        <w:tc>
          <w:tcPr/>
          <w:p>
            <w:pPr>
              <w:pStyle w:val="Compact"/>
            </w:pPr>
            <w:r>
              <w:t xml:space="preserve">2</w:t>
            </w:r>
          </w:p>
        </w:tc>
        <w:tc>
          <w:tcPr/>
          <w:p>
            <w:pPr>
              <w:pStyle w:val="Compact"/>
            </w:pPr>
            <w:r>
              <w:t xml:space="preserve">$3.501.810</w:t>
            </w:r>
          </w:p>
        </w:tc>
      </w:tr>
    </w:tbl>
    <w:p>
      <w:pPr>
        <w:pStyle w:val="BodyText"/>
      </w:pPr>
      <w:r>
        <w:t xml:space="preserve">El número de audiencias de cada proceso depende de su desarrollo procesal y no se puede fijar de antemano; se factura una vez por cada audiencia efectivamente realizada. La prima de éxito del proceso civil contractual, del 20% sobre lo recuperado, se liquida al momento de la recuperación efectiva y se le descuentan los honorarios ya pagados por etapas en ese mismo proceso.</w:t>
      </w:r>
    </w:p>
    <w:bookmarkEnd w:id="925"/>
    <w:bookmarkStart w:id="926" w:name="análisis-de-la-documentación"/>
    <w:p>
      <w:pPr>
        <w:pStyle w:val="Heading1"/>
      </w:pPr>
      <w:r>
        <w:t xml:space="preserve">Análisis de la documentación</w:t>
      </w:r>
    </w:p>
    <w:p>
      <w:pPr>
        <w:pStyle w:val="FirstParagraph"/>
      </w:pPr>
      <w:r>
        <w:t xml:space="preserve">Los hechos y la calificación jurídica de esta propuesta se elaboraron sobre lo expuesto por el consejo en la reunión del 2 de septiembre de 2026. El análisis definitivo del caso, incluida la verificación de los objetos contractuales, las pólizas aplicables y la responsabilidad de cada demandado, se hace sobre la documentación que el conjunto aporte: los contratos de suministro y de aplicación, las actas del consejo, los certificados del producto y del aplicador, y las pólizas vigentes de la copropiedad.</w:t>
      </w:r>
    </w:p>
    <w:bookmarkEnd w:id="926"/>
    <w:bookmarkStart w:id="927" w:name="vigencia-de-la-propuesta"/>
    <w:p>
      <w:pPr>
        <w:pStyle w:val="Heading1"/>
      </w:pPr>
      <w:r>
        <w:t xml:space="preserve">Vigencia de la propuesta</w:t>
      </w:r>
    </w:p>
    <w:p>
      <w:pPr>
        <w:pStyle w:val="FirstParagraph"/>
      </w:pPr>
      <w:r>
        <w:t xml:space="preserve">Esta propuesta es válida por quince días calendario contados desde su fecha de emisión, es decir, hasta el 19 de septiembre de 2026. Vencido ese plazo sin aceptación, los honorarios deben revisarse antes de cualquier confirmación, en particular si para entonces cambió el salario mínimo legal mensual vigente que sirve de base al cálculo.</w:t>
      </w:r>
    </w:p>
    <w:bookmarkEnd w:id="927"/>
    <w:bookmarkStart w:id="928" w:name="condiciones-generales"/>
    <w:p>
      <w:pPr>
        <w:pStyle w:val="Heading1"/>
      </w:pPr>
      <w:r>
        <w:t xml:space="preserve">Condiciones generales</w:t>
      </w:r>
    </w:p>
    <w:p>
      <w:pPr>
        <w:pStyle w:val="FirstParagraph"/>
      </w:pPr>
      <w:r>
        <w:t xml:space="preserve">El servicio se presta bajo confidencialidad respecto de la información del conjunto a la que Bedrock tenga acceso durante su desarrollo. Los honorarios de esta propuesta parten del entendimiento preliminar del caso descrito en la sección de contexto; quedan sujetos a ajuste si la documentación que aporte el conjunto revela hechos distintos a los aquí descritos.</w:t>
      </w:r>
    </w:p>
    <w:bookmarkEnd w:id="928"/>
    <w:bookmarkStart w:id="929" w:name="control-de-versiones"/>
    <w:p>
      <w:pPr>
        <w:pStyle w:val="Heading1"/>
      </w:pPr>
      <w:r>
        <w:t xml:space="preserve">Control de versiones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Versión</w:t>
            </w:r>
          </w:p>
        </w:tc>
        <w:tc>
          <w:tcPr/>
          <w:p>
            <w:pPr>
              <w:pStyle w:val="Compact"/>
            </w:pPr>
            <w:r>
              <w:t xml:space="preserve">Fecha</w:t>
            </w:r>
          </w:p>
        </w:tc>
        <w:tc>
          <w:tcPr/>
          <w:p>
            <w:pPr>
              <w:pStyle w:val="Compact"/>
            </w:pPr>
            <w:r>
              <w:t xml:space="preserve">Cambios</w:t>
            </w:r>
          </w:p>
        </w:tc>
        <w:tc>
          <w:tcPr/>
          <w:p>
            <w:pPr>
              <w:pStyle w:val="Compact"/>
            </w:pPr>
            <w:r>
              <w:t xml:space="preserve">Estado</w:t>
            </w:r>
          </w:p>
        </w:tc>
      </w:tr>
      <w:tr>
        <w:tc>
          <w:tcPr/>
          <w:p>
            <w:pPr>
              <w:pStyle w:val="Compact"/>
            </w:pPr>
            <w:r>
              <w:t xml:space="preserve">1.0</w:t>
            </w:r>
          </w:p>
        </w:tc>
        <w:tc>
          <w:tcPr/>
          <w:p>
            <w:pPr>
              <w:pStyle w:val="Compact"/>
            </w:pPr>
            <w:r>
              <w:t xml:space="preserve">4 de septiembre de 2026</w:t>
            </w:r>
          </w:p>
        </w:tc>
        <w:tc>
          <w:tcPr/>
          <w:p>
            <w:pPr>
              <w:pStyle w:val="Compact"/>
            </w:pPr>
            <w:r>
              <w:t xml:space="preserve">Versión inicial de la propuesta</w:t>
            </w:r>
          </w:p>
        </w:tc>
        <w:tc>
          <w:tcPr/>
          <w:p>
            <w:pPr>
              <w:pStyle w:val="Compact"/>
            </w:pPr>
            <w:r>
              <w:t xml:space="preserve">Borrador para revisión</w:t>
            </w:r>
          </w:p>
        </w:tc>
      </w:tr>
      <w:tr>
        <w:tc>
          <w:tcPr/>
          <w:p>
            <w:pPr>
              <w:pStyle w:val="Compact"/>
            </w:pPr>
            <w:r>
              <w:t xml:space="preserve">1.1</w:t>
            </w:r>
          </w:p>
        </w:tc>
        <w:tc>
          <w:tcPr/>
          <w:p>
            <w:pPr>
              <w:pStyle w:val="Compact"/>
            </w:pPr>
            <w:r>
              <w:t xml:space="preserve">4 de septiembre de 2026</w:t>
            </w:r>
          </w:p>
        </w:tc>
        <w:tc>
          <w:tcPr/>
          <w:p>
            <w:pPr>
              <w:pStyle w:val="Compact"/>
            </w:pPr>
            <w:r>
              <w:t xml:space="preserve">Se sube en 1 SMLMV cada etapa procesal de ambos procesos</w:t>
            </w:r>
          </w:p>
        </w:tc>
        <w:tc>
          <w:tcPr/>
          <w:p>
            <w:pPr>
              <w:pStyle w:val="Compact"/>
            </w:pPr>
            <w:r>
              <w:t xml:space="preserve">Borrador para revisión</w:t>
            </w:r>
          </w:p>
        </w:tc>
      </w:tr>
    </w:tbl>
    <w:bookmarkEnd w:id="929"/>
    <w:sectPr>
      <w:headerReference r:id="rId901" w:type="default"/>
      <w:footerReference r:id="rId902" w:type="default"/>
      <w:pgSz w:h="15840" w:w="12240"/>
      <w:pgMar w:bottom="1440" w:footer="720" w:gutter="0" w:header="720" w:left="1440" w:right="1440" w:top="1440"/>
      <w:cols w:space="720"/>
      <w:titlePg/>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w:p>
    <w:pPr>
      <w:pBdr>
        <w:top w:val="single" w:sz="4" w:space="4" w:color="E2E6EB"/>
      </w:pBdr>
      <w:spacing w:before="0" w:after="0"/>
      <w:jc w:val="center"/>
    </w:pPr>
    <w:r>
      <w:rPr>
        <w:rFonts w:asciiTheme="majorHAnsi" w:hAnsiTheme="majorHAnsi"/>
        <w:color w:val="6B6F7A"/>
        <w:sz w:val="16"/>
      </w:rPr>
      <w:t xml:space="preserve">Página </w:t>
    </w:r>
    <w:r>
      <w:rPr>
        <w:rFonts w:asciiTheme="majorHAnsi" w:hAnsiTheme="majorHAnsi"/>
        <w:color w:val="6B6F7A"/>
        <w:sz w:val="16"/>
      </w:rPr>
      <w:fldChar w:fldCharType="begin"/>
    </w:r>
    <w:r>
      <w:instrText>PAGE</w:instrText>
    </w:r>
    <w:r>
      <w:fldChar w:fldCharType="end"/>
    </w:r>
    <w:r>
      <w:rPr>
        <w:rFonts w:asciiTheme="majorHAnsi" w:hAnsiTheme="majorHAnsi"/>
        <w:color w:val="6B6F7A"/>
        <w:sz w:val="16"/>
      </w:rPr>
      <w:t xml:space="preserve"> de </w:t>
    </w:r>
    <w:r>
      <w:rPr>
        <w:rFonts w:asciiTheme="majorHAnsi" w:hAnsiTheme="majorHAnsi"/>
        <w:color w:val="6B6F7A"/>
        <w:sz w:val="16"/>
      </w:rPr>
      <w:fldChar w:fldCharType="begin"/>
    </w:r>
    <w:r>
      <w:instrText>NUMPAGES</w:instrTex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924">
    <w:p>
      <w:pPr>
        <w:pStyle w:val="FootnoteText"/>
      </w:pPr>
      <w:r>
        <w:rPr>
          <w:rStyle w:val="FootnoteReference"/>
        </w:rPr>
        <w:footnoteRef/>
      </w:r>
      <w:r>
        <w:t xml:space="preserve"> </w:t>
      </w:r>
      <w:r>
        <w:t xml:space="preserve">Ese decreto estuvo bajo suspensión provisional entre febrero y julio de 2026; el Consejo de Estado revocó la suspensión en julio de 2026 y el decreto recobró plena vigencia, sin perjuicio de que la demanda de nulidad de fondo sigue en trámite. Si antes del inicio del servicio se profiere una decisión judicial que modifique el valor del salario mínimo vigente, los honorarios se recalculan sobre el valor que resulte aplicable en esa fecha.</w:t>
      </w:r>
    </w:p>
  </w:footnote>
</w:footnotes>
</file>

<file path=word/header1.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p>
    <w:pPr>
      <w:pBdr>
        <w:bottom w:val="single" w:sz="4" w:space="6" w:color="E2E6EB"/>
      </w:pBdr>
      <w:spacing w:after="0"/>
      <w:jc w:val="left"/>
    </w:pPr>
    <w:r>
      <w:drawing>
        <wp:inline distT="0" distB="0" distL="0" distR="0">
          <wp:extent cx="613410" cy="118872"/>
          <wp:effectExtent l="0" t="0" r="0" b="0"/>
          <wp:docPr id="101" name="Bedrock Abogados"/>
          <wp:cNvGraphicFramePr>
            <a:graphicFrameLocks noChangeAspect="1"/>
          </wp:cNvGraphicFramePr>
          <a:graphic>
            <a:graphicData uri="http://schemas.openxmlformats.org/drawingml/2006/picture">
              <pic:pic>
                <pic:nvPicPr>
                  <pic:cNvPr id="101" name="Bedrock Abogados"/>
                  <pic:cNvPicPr/>
                </pic:nvPicPr>
                <pic:blipFill>
                  <a:blip r:embed="rIdLogo1"/>
                  <a:stretch>
                    <a:fillRect/>
                  </a:stretch>
                </pic:blipFill>
                <pic:spPr>
                  <a:xfrm>
                    <a:off x="0" y="0"/>
                    <a:ext cx="613410" cy="118872"/>
                  </a:xfrm>
                  <a:prstGeom prst="rect">
                    <a:avLst/>
                  </a:prstGeom>
                </pic:spPr>
              </pic:pic>
            </a:graphicData>
          </a:graphic>
        </wp:inline>
      </w:drawing>
    </w: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jc w:val="left"/>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jc w:val="left"/>
      <w:outlineLvl w:val="0"/>
    </w:pPr>
    <w:rPr>
      <w:rFonts w:asciiTheme="majorHAnsi" w:cstheme="majorBidi" w:eastAsiaTheme="majorEastAsia" w:hAnsiTheme="majorHAnsi"/>
      <w:b/>
      <w:color w:val="1B1D36"/>
      <w:sz w:val="42"/>
      <w:szCs w:val="42"/>
    </w:rPr>
  </w:style>
  <w:style w:styleId="Heading2" w:type="paragraph">
    <w:name w:val="heading 2"/>
    <w:basedOn w:val="Normal"/>
    <w:next w:val="BodyText"/>
    <w:link w:val="Heading2Char"/>
    <w:uiPriority w:val="9"/>
    <w:semiHidden/>
    <w:unhideWhenUsed/>
    <w:qFormat/>
    <w:rsid w:val="00A10FD9"/>
    <w:pPr>
      <w:keepNext/>
      <w:keepLines/>
      <w:spacing w:after="80" w:before="160"/>
      <w:jc w:val="left"/>
      <w:outlineLvl w:val="1"/>
    </w:pPr>
    <w:rPr>
      <w:rFonts w:asciiTheme="majorHAnsi" w:cstheme="majorBidi" w:eastAsiaTheme="majorEastAsia" w:hAnsiTheme="majorHAnsi"/>
      <w:b/>
      <w:color w:val="224D6E"/>
      <w:sz w:val="30"/>
      <w:szCs w:val="30"/>
    </w:rPr>
  </w:style>
  <w:style w:styleId="Heading3" w:type="paragraph">
    <w:name w:val="heading 3"/>
    <w:basedOn w:val="Normal"/>
    <w:next w:val="BodyText"/>
    <w:link w:val="Heading3Char"/>
    <w:uiPriority w:val="9"/>
    <w:semiHidden/>
    <w:unhideWhenUsed/>
    <w:qFormat/>
    <w:rsid w:val="00A10FD9"/>
    <w:pPr>
      <w:keepNext/>
      <w:keepLines/>
      <w:spacing w:after="80" w:before="160"/>
      <w:jc w:val="left"/>
      <w:outlineLvl w:val="2"/>
    </w:pPr>
    <w:rPr>
      <w:rFonts w:asciiTheme="majorHAnsi" w:cstheme="majorBidi" w:eastAsiaTheme="majorEastAsia" w:hAnsiTheme="majorHAnsi"/>
      <w:b/>
      <w:color w:val="224D6E"/>
      <w:sz w:val="24"/>
      <w:szCs w:val="24"/>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Eyebrow" w:type="paragraph">
    <w:name w:val="Eyebrow"/>
    <w:basedOn w:val="Normal"/>
    <w:qFormat/>
    <w:pPr>
      <w:spacing w:after="60" w:before="0"/>
      <w:jc w:val="left"/>
    </w:pPr>
    <w:rPr>
      <w:rFonts w:asciiTheme="majorHAnsi" w:hAnsiTheme="majorHAnsi"/>
      <w:b/>
      <w:caps/>
      <w:color w:val="224D6E"/>
      <w:spacing w:val="60"/>
      <w:sz w:val="17"/>
      <w:szCs w:val="17"/>
    </w:rPr>
  </w:style>
  <w:style w:customStyle="1" w:styleId="PortadaTitulo" w:type="paragraph">
    <w:name w:val="Portada Titulo"/>
    <w:basedOn w:val="Normal"/>
    <w:qFormat/>
    <w:pPr>
      <w:spacing w:after="200" w:before="120" w:line="288" w:lineRule="auto"/>
      <w:jc w:val="left"/>
    </w:pPr>
    <w:rPr>
      <w:rFonts w:asciiTheme="majorHAnsi" w:hAnsiTheme="majorHAnsi"/>
      <w:b/>
      <w:color w:val="1B1D36"/>
      <w:sz w:val="54"/>
      <w:szCs w:val="54"/>
    </w:rPr>
  </w:style>
  <w:style w:customStyle="1" w:styleId="Lede" w:type="paragraph">
    <w:name w:val="Lede"/>
    <w:basedOn w:val="Normal"/>
    <w:qFormat/>
    <w:pPr>
      <w:spacing w:after="320" w:before="0"/>
      <w:jc w:val="left"/>
    </w:pPr>
    <w:rPr>
      <w:color w:val="000000"/>
      <w:sz w:val="24"/>
      <w:szCs w:val="24"/>
    </w:rPr>
  </w:style>
  <w:style w:customStyle="1" w:styleId="LineaAcento" w:type="paragraph">
    <w:name w:val="Linea Acento"/>
    <w:basedOn w:val="Normal"/>
    <w:qFormat/>
    <w:pPr>
      <w:pBdr>
        <w:bottom w:color="E9CDA5" w:space="0" w:sz="18" w:val="single"/>
      </w:pBdr>
      <w:spacing w:after="200" w:before="0"/>
      <w:ind w:right="7600"/>
    </w:pPr>
    <w:rPr>
      <w:sz w:val="2"/>
      <w:szCs w:val="2"/>
    </w:rPr>
  </w:style>
  <w:style w:customStyle="1" w:styleId="ResumenTitulo" w:type="paragraph">
    <w:name w:val="Resumen Titulo"/>
    <w:basedOn w:val="Normal"/>
    <w:qFormat/>
    <w:pPr>
      <w:spacing w:after="120" w:before="200"/>
      <w:jc w:val="left"/>
    </w:pPr>
    <w:rPr>
      <w:rFonts w:asciiTheme="majorHAnsi" w:hAnsiTheme="majorHAnsi"/>
      <w:b/>
      <w:caps/>
      <w:color w:val="6B6F7A"/>
      <w:spacing w:val="40"/>
      <w:sz w:val="18"/>
      <w:szCs w:val="18"/>
    </w:rPr>
  </w:style>
  <w:style w:customStyle="1" w:styleId="ResumenItem" w:type="paragraph">
    <w:name w:val="Resumen Item"/>
    <w:basedOn w:val="Normal"/>
    <w:qFormat/>
    <w:pPr>
      <w:pBdr>
        <w:left w:color="224D6E" w:space="8" w:sz="18" w:val="single"/>
      </w:pBdr>
      <w:spacing w:after="60" w:before="60"/>
      <w:ind w:left="160"/>
      <w:jc w:val="left"/>
    </w:pPr>
    <w:rPr>
      <w:sz w:val="20"/>
      <w:szCs w:val="20"/>
    </w:rPr>
  </w:style>
  <w:style w:customStyle="1" w:styleId="FinePrint" w:type="paragraph">
    <w:name w:val="Fine Print"/>
    <w:basedOn w:val="Normal"/>
    <w:qFormat/>
    <w:pPr>
      <w:spacing w:after="0" w:before="240"/>
      <w:jc w:val="left"/>
    </w:pPr>
    <w:rPr>
      <w:i/>
      <w:color w:val="6B6F7A"/>
      <w:sz w:val="16"/>
      <w:szCs w:val="16"/>
    </w:rPr>
  </w:style>
  <w:style w:customStyle="1" w:styleId="Campo" w:type="character">
    <w:name w:val="Campo"/>
    <w:qFormat/>
    <w:rPr>
      <w:shd w:color="auto" w:fill="FFF3D6" w:val="clear"/>
      <w:color w:val="6B5218"/>
    </w:rPr>
  </w:style>
  <w:style w:type="paragraph" w:customStyle="1" w:styleId="FinePrint">
    <w:name w:val="FinePrint"/>
    <w:basedOn w:val="BodyText"/>
    <w:qFormat/>
  </w:style>
  <w:style w:type="paragraph" w:customStyle="1" w:styleId="LineaAcento">
    <w:name w:val="LineaAcento"/>
    <w:basedOn w:val="BodyText"/>
    <w:qFormat/>
  </w:style>
  <w:style w:type="paragraph" w:customStyle="1" w:styleId="PortadaTitulo">
    <w:name w:val="PortadaTitulo"/>
    <w:basedOn w:val="BodyText"/>
    <w:qFormat/>
  </w:style>
  <w:style w:type="paragraph" w:customStyle="1" w:styleId="ResumenItem">
    <w:name w:val="ResumenItem"/>
    <w:basedOn w:val="BodyText"/>
    <w:qFormat/>
  </w:style>
  <w:style w:type="paragraph" w:customStyle="1" w:styleId="ResumenTitulo">
    <w:name w:val="ResumenTitulo"/>
    <w:basedOn w:val="BodyText"/>
    <w:qFormat/>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910" Target="numbering.xml" /><Relationship Type="http://schemas.openxmlformats.org/officeDocument/2006/relationships/styles" Id="rId909" Target="styles.xml" /><Relationship Type="http://schemas.openxmlformats.org/officeDocument/2006/relationships/settings" Id="rId908" Target="settings.xml" /><Relationship Type="http://schemas.openxmlformats.org/officeDocument/2006/relationships/webSettings" Id="rId907" Target="webSettings.xml" /><Relationship Type="http://schemas.openxmlformats.org/officeDocument/2006/relationships/fontTable" Id="rId906" Target="fontTable.xml" /><Relationship Type="http://schemas.openxmlformats.org/officeDocument/2006/relationships/theme" Id="rId905" Target="theme/theme1.xml" /><Relationship Type="http://schemas.openxmlformats.org/officeDocument/2006/relationships/footnotes" Id="rId904" Target="footnotes.xml" /><Relationship Type="http://schemas.openxmlformats.org/officeDocument/2006/relationships/comments" Id="rId903" Target="comments.xml" /><Relationship Id="rId901" Target="header1.xml" Type="http://schemas.openxmlformats.org/officeDocument/2006/relationships/header" /><Relationship Id="rId902" Target="footer1.xml" Type="http://schemas.openxmlformats.org/officeDocument/2006/relationships/footer" /><Relationship Type="http://schemas.openxmlformats.org/officeDocument/2006/relationships/image" Id="rId911" Target="media/rId911.png" /></Relationships>
</file>

<file path=word/_rels/footnotes.xml.rels><?xml version="1.0" encoding="UTF-8"?><Relationships xmlns="http://schemas.openxmlformats.org/package/2006/relationships" />
</file>

<file path=word/_rels/header1.xml.rels><?xml version="1.0" encoding="UTF-8"?><Relationships xmlns="http://schemas.openxmlformats.org/package/2006/relationships"><Relationship Id="rIdLogo1" Type="http://schemas.openxmlformats.org/officeDocument/2006/relationships/image" Target="media/logo-bedrock.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Helvetica Neue"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Georgia"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2026-09-04T22:28:17Z</dcterms:created>
  <dcterms:modified xsi:type="dcterms:W3CDTF">2026-09-04T22:28:17Z</dcterms:modified>
</cp:coreProperties>
</file>

<file path=docProps/custom.xml><?xml version="1.0" encoding="utf-8"?>
<Properties xmlns="http://schemas.openxmlformats.org/officeDocument/2006/custom-properties" xmlns:vt="http://schemas.openxmlformats.org/officeDocument/2006/docPropsVTypes"/>
</file>