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xugb5dr5u1p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Blog Post: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IA en Recursos Humanos: ¿Revolución o Evolución?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mundo laboral está en constante cambio, y la inteligencia artificial (IA) está jugando un papel cada vez más importante en este proceso. Los departamentos de Recursos Humanos (RRHH) no son una excepción, y se están viendo obligados a adaptarse a esta nueva realidad. En este post, analizaremos cómo la IA está transformando los RRHH, tanto para bien como para mal.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 IA puede automatizar tareas repetitivas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liberando a los profesionales de RRHH para que se centren en trabajos más estratégicos y de mayor valor añadido. Esto puede incluir la creación de estrategias de talento, la mejora de la experiencia del empleado o el análisis de datos para la toma de decisiones.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 IA puede ayudar a tomar mejores decisiones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basándose en datos y análisis predictivos. Por ejemplo, la IA puede utilizarse para seleccionar a los candidatos más adecuados para un puesto de trabajo, identificar a los empleados con riesgo de fuga o predecir el rendimiento futuro de los empleados.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 IA puede mejorar la experiencia del empleado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proporcionando servicios personalizados y automatizando tareas como la inscripción a beneficios o la solicitud de vacaciones. Esto puede conducir a una mayor satisfacción y compromiso de los empleados.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Sin embargo, también hay algunos desafíos que deben abordarse: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 importante evitar el sesgo en los sistemas de 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ya que esto podría discriminar a ciertos grupos de empleados.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 IA debe utilizarse de forma ética y responsable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respetando la privacidad de los empleados y protegiendo sus datos.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Los empleados deben estar capacitados para trabajar con la 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y deben comprender cómo ésta puede afectar a su trabajo.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 general, la IA tiene el potencial de transformar los RRHH para mejor.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Sin embargo, es importante utilizarla de forma responsable y ética, y abordar los desafíos que plantea.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IA es una herramienta poderosa que puede utilizarse para mejorar los RRHH. Sin embargo, es importante utilizarla de forma responsable y ética, y abordar los desafíos que plantea. Las empresas que puedan hacerlo con éxito estarán bien posicionadas para el futuro del trabajo.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0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-637537</wp:posOffset>
          </wp:positionH>
          <wp:positionV relativeFrom="paragraph">
            <wp:posOffset>-180337</wp:posOffset>
          </wp:positionV>
          <wp:extent cx="1396365" cy="433070"/>
          <wp:effectExtent b="0" l="0" r="0" t="0"/>
          <wp:wrapSquare wrapText="bothSides" distB="114300" distT="11430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jHy0CnPoerSx7VEp//5DH77pyw==">CgMxLjAyDmgueHVnYjVkcjV1MXBrOAByITF2VnhRVUlsbWFrMW51YTh5Wi14V016b055NDl3QnNXag==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