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2.</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both"/>
        <w:rPr>
          <w:rFonts w:ascii="Montserrat" w:cs="Montserrat" w:eastAsia="Montserrat" w:hAnsi="Montserrat"/>
          <w:b w:val="1"/>
          <w:i w:val="0"/>
          <w:smallCaps w:val="0"/>
          <w:strike w:val="0"/>
          <w:color w:val="000000"/>
          <w:sz w:val="34"/>
          <w:szCs w:val="34"/>
          <w:u w:val="none"/>
          <w:shd w:fill="auto" w:val="clear"/>
          <w:vertAlign w:val="baseline"/>
        </w:rPr>
      </w:pPr>
      <w:bookmarkStart w:colFirst="0" w:colLast="0" w:name="_heading=h.ben5sw6zhaml" w:id="0"/>
      <w:bookmarkEnd w:id="0"/>
      <w:r w:rsidDel="00000000" w:rsidR="00000000" w:rsidRPr="00000000">
        <w:rPr>
          <w:rFonts w:ascii="Montserrat" w:cs="Montserrat" w:eastAsia="Montserrat" w:hAnsi="Montserrat"/>
          <w:b w:val="1"/>
          <w:i w:val="0"/>
          <w:smallCaps w:val="0"/>
          <w:strike w:val="0"/>
          <w:color w:val="000000"/>
          <w:sz w:val="34"/>
          <w:szCs w:val="34"/>
          <w:u w:val="none"/>
          <w:shd w:fill="auto" w:val="clear"/>
          <w:vertAlign w:val="baseline"/>
          <w:rtl w:val="0"/>
        </w:rPr>
        <w:t xml:space="preserve">REVISTA DIGITAL:</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both"/>
        <w:rPr>
          <w:rFonts w:ascii="Montserrat" w:cs="Montserrat" w:eastAsia="Montserrat" w:hAnsi="Montserrat"/>
          <w:b w:val="1"/>
          <w:i w:val="0"/>
          <w:smallCaps w:val="0"/>
          <w:strike w:val="0"/>
          <w:color w:val="000000"/>
          <w:sz w:val="34"/>
          <w:szCs w:val="34"/>
          <w:u w:val="none"/>
          <w:shd w:fill="auto" w:val="clear"/>
          <w:vertAlign w:val="baseline"/>
        </w:rPr>
      </w:pPr>
      <w:bookmarkStart w:colFirst="0" w:colLast="0" w:name="_heading=h.w6wq8vk33plx" w:id="1"/>
      <w:bookmarkEnd w:id="1"/>
      <w:r w:rsidDel="00000000" w:rsidR="00000000" w:rsidRPr="00000000">
        <w:rPr>
          <w:rFonts w:ascii="Montserrat" w:cs="Montserrat" w:eastAsia="Montserrat" w:hAnsi="Montserrat"/>
          <w:b w:val="1"/>
          <w:i w:val="0"/>
          <w:smallCaps w:val="0"/>
          <w:strike w:val="0"/>
          <w:color w:val="000000"/>
          <w:sz w:val="34"/>
          <w:szCs w:val="34"/>
          <w:u w:val="none"/>
          <w:shd w:fill="auto" w:val="clear"/>
          <w:vertAlign w:val="baseline"/>
          <w:rtl w:val="0"/>
        </w:rPr>
        <w:t xml:space="preserve">IA en RRHH: Impulsando la Transformación del Talento Humano</w:t>
      </w:r>
    </w:p>
    <w:p w:rsidR="00000000" w:rsidDel="00000000" w:rsidP="00000000" w:rsidRDefault="00000000" w:rsidRPr="00000000" w14:paraId="00000004">
      <w:pPr>
        <w:spacing w:after="240" w:before="240" w:lineRule="auto"/>
        <w:jc w:val="both"/>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Introducción:</w:t>
      </w:r>
    </w:p>
    <w:p w:rsidR="00000000" w:rsidDel="00000000" w:rsidP="00000000" w:rsidRDefault="00000000" w:rsidRPr="00000000" w14:paraId="00000005">
      <w:pPr>
        <w:spacing w:after="240" w:before="240" w:lineRule="auto"/>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En el dinámico panorama laboral actual, la inteligencia artificial (IA) emerge como una fuerza transformadora, impactando de manera significativa el ámbito de los Recursos Humanos (RRHH). La IA no solo está automatizando tareas repetitivas, sino que también está abriendo nuevas posibilidades para optimizar la toma de decisiones, mejorar la experiencia del empleado y potenciar el desarrollo del talento humano. En este artículo, analizaremos en profundidad cómo la IA está revolucionando los RRHH y cómo las empresas pueden aprovecharla para impulsar su éxito.</w:t>
      </w:r>
    </w:p>
    <w:p w:rsidR="00000000" w:rsidDel="00000000" w:rsidP="00000000" w:rsidRDefault="00000000" w:rsidRPr="00000000" w14:paraId="00000006">
      <w:pPr>
        <w:spacing w:after="240" w:before="240" w:lineRule="auto"/>
        <w:jc w:val="both"/>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Oportunidades de la IA en RRHH:</w:t>
      </w:r>
    </w:p>
    <w:p w:rsidR="00000000" w:rsidDel="00000000" w:rsidP="00000000" w:rsidRDefault="00000000" w:rsidRPr="00000000" w14:paraId="00000007">
      <w:pPr>
        <w:numPr>
          <w:ilvl w:val="0"/>
          <w:numId w:val="1"/>
        </w:numPr>
        <w:spacing w:after="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Automatización de tareas repetitivas:</w:t>
      </w:r>
      <w:r w:rsidDel="00000000" w:rsidR="00000000" w:rsidRPr="00000000">
        <w:rPr>
          <w:rFonts w:ascii="Montserrat" w:cs="Montserrat" w:eastAsia="Montserrat" w:hAnsi="Montserrat"/>
          <w:sz w:val="24"/>
          <w:szCs w:val="24"/>
          <w:rtl w:val="0"/>
        </w:rPr>
        <w:t xml:space="preserve"> La IA permite automatizar tareas tediosas y manuales, como la selección de currículos, la gestión de nóminas o la programación de vacaciones. Esto libera a los profesionales de RRHH para que se enfoquen en actividades más estratégicas y de mayor valor, como la creación de estrategias de talento, la gestión del rendimiento o el análisis de datos para la toma de decisiones informadas.</w:t>
      </w:r>
    </w:p>
    <w:p w:rsidR="00000000" w:rsidDel="00000000" w:rsidP="00000000" w:rsidRDefault="00000000" w:rsidRPr="00000000" w14:paraId="00000008">
      <w:pPr>
        <w:numPr>
          <w:ilvl w:val="0"/>
          <w:numId w:val="1"/>
        </w:numPr>
        <w:spacing w:after="0" w:before="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Mejora en la toma de decisiones:</w:t>
      </w:r>
      <w:r w:rsidDel="00000000" w:rsidR="00000000" w:rsidRPr="00000000">
        <w:rPr>
          <w:rFonts w:ascii="Montserrat" w:cs="Montserrat" w:eastAsia="Montserrat" w:hAnsi="Montserrat"/>
          <w:sz w:val="24"/>
          <w:szCs w:val="24"/>
          <w:rtl w:val="0"/>
        </w:rPr>
        <w:t xml:space="preserve"> La IA, a través del análisis de grandes conjuntos de datos y algoritmos predictivos, puede ayudar a los profesionales de RRHH a tomar decisiones más acertadas en diversas áreas, como la selección de candidatos, la identificación de empleados con riesgo de fuga o la predicción del rendimiento futuro del equipo. Esta capacidad de análisis brinda información valiosa para optimizar la gestión del talento y potenciar el desempeño organizacional.</w:t>
      </w:r>
    </w:p>
    <w:p w:rsidR="00000000" w:rsidDel="00000000" w:rsidP="00000000" w:rsidRDefault="00000000" w:rsidRPr="00000000" w14:paraId="00000009">
      <w:pPr>
        <w:numPr>
          <w:ilvl w:val="0"/>
          <w:numId w:val="1"/>
        </w:numPr>
        <w:spacing w:after="240" w:before="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Personalización de la experiencia del empleado:</w:t>
      </w:r>
      <w:r w:rsidDel="00000000" w:rsidR="00000000" w:rsidRPr="00000000">
        <w:rPr>
          <w:rFonts w:ascii="Montserrat" w:cs="Montserrat" w:eastAsia="Montserrat" w:hAnsi="Montserrat"/>
          <w:sz w:val="24"/>
          <w:szCs w:val="24"/>
          <w:rtl w:val="0"/>
        </w:rPr>
        <w:t xml:space="preserve"> La IA facilita la creación de experiencias personalizadas para cada colaborador, adaptándose a sus necesidades, intereses y objetivos profesionales. Esto puede incluir recomendaciones de formación, planes de desarrollo individualizados o sistemas de reconocimiento y recompensas personalizados. La personalización de la experiencia del empleado conduce a una mayor satisfacción, compromiso y retención del talento humano.</w:t>
      </w:r>
    </w:p>
    <w:p w:rsidR="00000000" w:rsidDel="00000000" w:rsidP="00000000" w:rsidRDefault="00000000" w:rsidRPr="00000000" w14:paraId="0000000A">
      <w:pPr>
        <w:spacing w:after="240" w:before="240" w:lineRule="auto"/>
        <w:jc w:val="both"/>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Desafíos a considerar:</w:t>
      </w:r>
    </w:p>
    <w:p w:rsidR="00000000" w:rsidDel="00000000" w:rsidP="00000000" w:rsidRDefault="00000000" w:rsidRPr="00000000" w14:paraId="0000000B">
      <w:pPr>
        <w:numPr>
          <w:ilvl w:val="0"/>
          <w:numId w:val="2"/>
        </w:numPr>
        <w:spacing w:after="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Sesgo algorítmico:</w:t>
      </w:r>
      <w:r w:rsidDel="00000000" w:rsidR="00000000" w:rsidRPr="00000000">
        <w:rPr>
          <w:rFonts w:ascii="Montserrat" w:cs="Montserrat" w:eastAsia="Montserrat" w:hAnsi="Montserrat"/>
          <w:sz w:val="24"/>
          <w:szCs w:val="24"/>
          <w:rtl w:val="0"/>
        </w:rPr>
        <w:t xml:space="preserve"> Es crucial garantizar que los algoritmos de IA no perpetúen sesgos inconscientes que puedan discriminar a ciertos grupos de empleados. La transparencia y la auditoría de los algoritmos son esenciales para mitigar este riesgo y garantizar la equidad en los procesos de RRHH.</w:t>
      </w:r>
    </w:p>
    <w:p w:rsidR="00000000" w:rsidDel="00000000" w:rsidP="00000000" w:rsidRDefault="00000000" w:rsidRPr="00000000" w14:paraId="0000000C">
      <w:pPr>
        <w:numPr>
          <w:ilvl w:val="0"/>
          <w:numId w:val="2"/>
        </w:numPr>
        <w:spacing w:after="0" w:before="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Ética y privacidad de datos:</w:t>
      </w:r>
      <w:r w:rsidDel="00000000" w:rsidR="00000000" w:rsidRPr="00000000">
        <w:rPr>
          <w:rFonts w:ascii="Montserrat" w:cs="Montserrat" w:eastAsia="Montserrat" w:hAnsi="Montserrat"/>
          <w:sz w:val="24"/>
          <w:szCs w:val="24"/>
          <w:rtl w:val="0"/>
        </w:rPr>
        <w:t xml:space="preserve"> La implementación de la IA en RRHH debe ir de la mano con el respeto a la privacidad de los datos de los empleados. Es fundamental establecer políticas claras y transparentes sobre la recopilación, el uso y el almacenamiento de datos, asegurando su protección y uso responsable.</w:t>
      </w:r>
    </w:p>
    <w:p w:rsidR="00000000" w:rsidDel="00000000" w:rsidP="00000000" w:rsidRDefault="00000000" w:rsidRPr="00000000" w14:paraId="0000000D">
      <w:pPr>
        <w:numPr>
          <w:ilvl w:val="0"/>
          <w:numId w:val="2"/>
        </w:numPr>
        <w:spacing w:after="240" w:before="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Capacitación y adaptación:</w:t>
      </w:r>
      <w:r w:rsidDel="00000000" w:rsidR="00000000" w:rsidRPr="00000000">
        <w:rPr>
          <w:rFonts w:ascii="Montserrat" w:cs="Montserrat" w:eastAsia="Montserrat" w:hAnsi="Montserrat"/>
          <w:sz w:val="24"/>
          <w:szCs w:val="24"/>
          <w:rtl w:val="0"/>
        </w:rPr>
        <w:t xml:space="preserve"> La incorporación de la IA en el ámbito laboral requiere que los empleados reciban la formación adecuada para comprender su funcionamiento, sus implicaciones y cómo pueden aprovecharla en su trabajo diario. Es necesario fomentar una cultura de aprendizaje continuo y adaptación al cambio para garantizar una transición exitosa hacia un entorno laboral impulsado por la IA.</w:t>
      </w:r>
    </w:p>
    <w:p w:rsidR="00000000" w:rsidDel="00000000" w:rsidP="00000000" w:rsidRDefault="00000000" w:rsidRPr="00000000" w14:paraId="0000000E">
      <w:pPr>
        <w:spacing w:after="240" w:before="240" w:lineRule="auto"/>
        <w:jc w:val="both"/>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Conclusión:</w:t>
      </w:r>
    </w:p>
    <w:p w:rsidR="00000000" w:rsidDel="00000000" w:rsidP="00000000" w:rsidRDefault="00000000" w:rsidRPr="00000000" w14:paraId="0000000F">
      <w:pPr>
        <w:spacing w:after="240" w:before="240" w:lineRule="auto"/>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La IA se presenta como un aliado estratégico para el futuro del trabajo en el ámbito de RRHH. Su potencial para automatizar tareas, optimizar la toma de decisiones, personalizar la experiencia del empleado y potenciar el desarrollo del talento humano es innegable. Sin embargo, es fundamental abordar los desafíos relacionados con el sesgo algorítmico, la ética y la privacidad de datos, así como la capacitación y adaptación de los empleados. Las empresas que logren navegar por estos desafíos de manera exitosa estarán mejor posicionadas para aprovechar al máximo las oportunidades que ofrece la IA y construir un futuro laboral más próspero y productivo para todos.</w:t>
      </w:r>
    </w:p>
    <w:p w:rsidR="00000000" w:rsidDel="00000000" w:rsidP="00000000" w:rsidRDefault="00000000" w:rsidRPr="00000000" w14:paraId="00000010">
      <w:pPr>
        <w:spacing w:after="240" w:before="240" w:lineRule="auto"/>
        <w:jc w:val="both"/>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Recomendaciones para las empresas:</w:t>
      </w:r>
    </w:p>
    <w:p w:rsidR="00000000" w:rsidDel="00000000" w:rsidP="00000000" w:rsidRDefault="00000000" w:rsidRPr="00000000" w14:paraId="00000011">
      <w:pPr>
        <w:numPr>
          <w:ilvl w:val="0"/>
          <w:numId w:val="3"/>
        </w:numPr>
        <w:spacing w:after="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Definir una estrategia clara para la implementación de la IA en RRHH:</w:t>
      </w:r>
      <w:r w:rsidDel="00000000" w:rsidR="00000000" w:rsidRPr="00000000">
        <w:rPr>
          <w:rFonts w:ascii="Montserrat" w:cs="Montserrat" w:eastAsia="Montserrat" w:hAnsi="Montserrat"/>
          <w:sz w:val="24"/>
          <w:szCs w:val="24"/>
          <w:rtl w:val="0"/>
        </w:rPr>
        <w:t xml:space="preserve"> Es importante establecer objetivos específicos, identificar las áreas prioritarias de aplicación y contar con un plan de acción estructurado.</w:t>
      </w:r>
    </w:p>
    <w:p w:rsidR="00000000" w:rsidDel="00000000" w:rsidP="00000000" w:rsidRDefault="00000000" w:rsidRPr="00000000" w14:paraId="00000012">
      <w:pPr>
        <w:numPr>
          <w:ilvl w:val="0"/>
          <w:numId w:val="3"/>
        </w:numPr>
        <w:spacing w:after="0" w:before="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Fomentar una cultura de colaboración entre RRHH y las áreas de TI y datos:</w:t>
      </w:r>
      <w:r w:rsidDel="00000000" w:rsidR="00000000" w:rsidRPr="00000000">
        <w:rPr>
          <w:rFonts w:ascii="Montserrat" w:cs="Montserrat" w:eastAsia="Montserrat" w:hAnsi="Montserrat"/>
          <w:sz w:val="24"/>
          <w:szCs w:val="24"/>
          <w:rtl w:val="0"/>
        </w:rPr>
        <w:t xml:space="preserve"> La colaboración interdepartamental es esencial para garantizar una integración efectiva de la IA en los procesos de RRHH.</w:t>
      </w:r>
    </w:p>
    <w:p w:rsidR="00000000" w:rsidDel="00000000" w:rsidP="00000000" w:rsidRDefault="00000000" w:rsidRPr="00000000" w14:paraId="00000013">
      <w:pPr>
        <w:numPr>
          <w:ilvl w:val="0"/>
          <w:numId w:val="3"/>
        </w:numPr>
        <w:spacing w:after="0" w:before="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Priorizar la transparencia y la comunicación:</w:t>
      </w:r>
      <w:r w:rsidDel="00000000" w:rsidR="00000000" w:rsidRPr="00000000">
        <w:rPr>
          <w:rFonts w:ascii="Montserrat" w:cs="Montserrat" w:eastAsia="Montserrat" w:hAnsi="Montserrat"/>
          <w:sz w:val="24"/>
          <w:szCs w:val="24"/>
          <w:rtl w:val="0"/>
        </w:rPr>
        <w:t xml:space="preserve"> Es fundamental mantener a los empleados informados sobre la implementación de la IA, sus objetivos y sus implicaciones en el trabajo diario.</w:t>
      </w:r>
    </w:p>
    <w:p w:rsidR="00000000" w:rsidDel="00000000" w:rsidP="00000000" w:rsidRDefault="00000000" w:rsidRPr="00000000" w14:paraId="00000014">
      <w:pPr>
        <w:numPr>
          <w:ilvl w:val="0"/>
          <w:numId w:val="3"/>
        </w:numPr>
        <w:spacing w:after="0" w:before="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Invertir en la formación y capacitación de los empleados:</w:t>
      </w:r>
      <w:r w:rsidDel="00000000" w:rsidR="00000000" w:rsidRPr="00000000">
        <w:rPr>
          <w:rFonts w:ascii="Montserrat" w:cs="Montserrat" w:eastAsia="Montserrat" w:hAnsi="Montserrat"/>
          <w:sz w:val="24"/>
          <w:szCs w:val="24"/>
          <w:rtl w:val="0"/>
        </w:rPr>
        <w:t xml:space="preserve"> Brindar a los colaboradores las herramientas y conocimientos necesarios para trabajar de manera efectiva con la IA es crucial para el éxito de su implementación.</w:t>
      </w:r>
    </w:p>
    <w:p w:rsidR="00000000" w:rsidDel="00000000" w:rsidP="00000000" w:rsidRDefault="00000000" w:rsidRPr="00000000" w14:paraId="00000015">
      <w:pPr>
        <w:numPr>
          <w:ilvl w:val="0"/>
          <w:numId w:val="3"/>
        </w:numPr>
        <w:spacing w:after="240" w:before="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Monitorear y evaluar el impacto de la IA:</w:t>
      </w:r>
      <w:r w:rsidDel="00000000" w:rsidR="00000000" w:rsidRPr="00000000">
        <w:rPr>
          <w:rFonts w:ascii="Montserrat" w:cs="Montserrat" w:eastAsia="Montserrat" w:hAnsi="Montserrat"/>
          <w:sz w:val="24"/>
          <w:szCs w:val="24"/>
          <w:rtl w:val="0"/>
        </w:rPr>
        <w:t xml:space="preserve"> Es importante realizar un seguimiento continuo del impacto de la IA en los procesos de RRHH, ajustando la estrategia según sea necesario para optimizar los resultados.</w:t>
      </w:r>
    </w:p>
    <w:p w:rsidR="00000000" w:rsidDel="00000000" w:rsidP="00000000" w:rsidRDefault="00000000" w:rsidRPr="00000000" w14:paraId="00000016">
      <w:pPr>
        <w:spacing w:after="240" w:before="240" w:lineRule="auto"/>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La IA tiene el potencial de transformar significativamente el ámbito de los RRHH, impulsando la eficiencia, la productividad y el desarrollo del talento humano. Al abordar los desafíos de manera responsable y estratégica, las empresas pueden aprovechar al máximo las oportunidades que ofrece la IA para construir un futuro laboral más próspero y sostenible.</w:t>
      </w:r>
      <w:r w:rsidDel="00000000" w:rsidR="00000000" w:rsidRPr="00000000">
        <w:rPr>
          <w:rtl w:val="0"/>
        </w:rPr>
      </w:r>
    </w:p>
    <w:sectPr>
      <w:headerReference r:id="rId7" w:type="default"/>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17">
    <w:pPr>
      <w:jc w:val="right"/>
      <w:rPr>
        <w:rFonts w:ascii="Montserrat" w:cs="Montserrat" w:eastAsia="Montserrat" w:hAnsi="Montserrat"/>
        <w:b w:val="1"/>
        <w:color w:val="ff5f29"/>
        <w:sz w:val="24"/>
        <w:szCs w:val="24"/>
      </w:rPr>
    </w:pPr>
    <w:r w:rsidDel="00000000" w:rsidR="00000000" w:rsidRPr="00000000">
      <w:rPr>
        <w:rFonts w:ascii="Montserrat" w:cs="Montserrat" w:eastAsia="Montserrat" w:hAnsi="Montserrat"/>
        <w:b w:val="1"/>
        <w:color w:val="ff5f29"/>
        <w:sz w:val="20"/>
        <w:szCs w:val="20"/>
        <w:rtl w:val="0"/>
      </w:rPr>
      <w:t xml:space="preserve">INTRODUCCIÓN A LA IA GENERATIVA </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-637532</wp:posOffset>
          </wp:positionH>
          <wp:positionV relativeFrom="paragraph">
            <wp:posOffset>-180332</wp:posOffset>
          </wp:positionV>
          <wp:extent cx="1396365" cy="433070"/>
          <wp:effectExtent b="0" l="0" r="0" t="0"/>
          <wp:wrapSquare wrapText="bothSides" distB="114300" distT="114300" distL="114300" distR="114300"/>
          <wp:docPr id="5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96365" cy="43307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s-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NormalTable0" w:customStyle="1">
    <w:name w:val="Normal Table0"/>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paragraph" w:styleId="Subttulo">
    <w:name w:val="Subtitle"/>
    <w:basedOn w:val="Normal"/>
    <w:next w:val="Normal"/>
    <w:uiPriority w:val="11"/>
    <w:qFormat w:val="1"/>
    <w:pPr>
      <w:keepNext w:val="1"/>
      <w:keepLines w:val="1"/>
      <w:spacing w:after="320"/>
    </w:pPr>
    <w:rPr>
      <w:color w:val="666666"/>
      <w:sz w:val="30"/>
      <w:szCs w:val="30"/>
    </w:rPr>
  </w:style>
  <w:style w:type="paragraph" w:styleId="Prrafodelista">
    <w:name w:val="List Paragraph"/>
    <w:basedOn w:val="Normal"/>
    <w:uiPriority w:val="34"/>
    <w:qFormat w:val="1"/>
    <w:pPr>
      <w:ind w:left="720"/>
      <w:contextualSpacing w:val="1"/>
    </w:pPr>
  </w:style>
  <w:style w:type="paragraph" w:styleId="Sinespaciado">
    <w:name w:val="No Spacing"/>
    <w:uiPriority w:val="1"/>
    <w:qFormat w:val="1"/>
    <w:pPr>
      <w:spacing w:line="240" w:lineRule="auto"/>
    </w:pPr>
  </w:style>
  <w:style w:type="paragraph" w:styleId="Encabezado">
    <w:name w:val="header"/>
    <w:basedOn w:val="Normal"/>
    <w:link w:val="EncabezadoCar"/>
    <w:uiPriority w:val="99"/>
    <w:unhideWhenUsed w:val="1"/>
    <w:rsid w:val="00E86CB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E86CBF"/>
  </w:style>
  <w:style w:type="paragraph" w:styleId="Piedepgina">
    <w:name w:val="footer"/>
    <w:basedOn w:val="Normal"/>
    <w:link w:val="PiedepginaCar"/>
    <w:uiPriority w:val="99"/>
    <w:unhideWhenUsed w:val="1"/>
    <w:rsid w:val="00E86CB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E86CBF"/>
  </w:style>
  <w:style w:type="character" w:styleId="normaltextrun" w:customStyle="1">
    <w:name w:val="normaltextrun"/>
    <w:basedOn w:val="Fuentedeprrafopredeter"/>
    <w:rsid w:val="00BA536C"/>
  </w:style>
  <w:style w:type="paragraph" w:styleId="paragraph" w:customStyle="1">
    <w:name w:val="paragraph"/>
    <w:basedOn w:val="Normal"/>
    <w:rsid w:val="006673A6"/>
    <w:pPr>
      <w:spacing w:after="100" w:afterAutospacing="1" w:before="100" w:beforeAutospacing="1" w:line="240" w:lineRule="auto"/>
    </w:pPr>
    <w:rPr>
      <w:rFonts w:ascii="Times New Roman" w:cs="Times New Roman" w:eastAsia="Times New Roman" w:hAnsi="Times New Roman"/>
      <w:sz w:val="24"/>
      <w:szCs w:val="24"/>
      <w:lang w:eastAsia="es-MX" w:val="es-MX"/>
    </w:rPr>
  </w:style>
  <w:style w:type="character" w:styleId="eop" w:customStyle="1">
    <w:name w:val="eop"/>
    <w:basedOn w:val="Fuentedeprrafopredeter"/>
    <w:rsid w:val="006673A6"/>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tHDXN79AEEh+IY4urUWxgiJB4wQ==">CgMxLjAyDmguYmVuNXN3NnpoYW1sMg5oLnc2d3E4dmszM3BseDgAciExbzVxUjhteWp6TEd3THdGdGpYM1dZYkxzZUhXWGN5ZHY=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2023-08-01T17:00:00.0000000Z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0x01010048A6FB1CD6D2BD4387D91127012B1C96</vt:lpwstr>
  </property>
  <property fmtid="{D5CDD505-2E9C-101B-9397-08002B2CF9AE}" pid="3" name="Order">
    <vt:lpwstr>84300</vt:lpwstr>
  </property>
  <property fmtid="{D5CDD505-2E9C-101B-9397-08002B2CF9AE}" pid="4" name="MediaServiceImageTags">
    <vt:lpwstr>MediaServiceImageTags</vt:lpwstr>
  </property>
  <property fmtid="{D5CDD505-2E9C-101B-9397-08002B2CF9AE}" pid="5" name="MSIP_Label_defa4170-0d19-0005-0004-bc88714345d2_Enabled">
    <vt:lpwstr>true</vt:lpwstr>
  </property>
  <property fmtid="{D5CDD505-2E9C-101B-9397-08002B2CF9AE}" pid="6" name="MSIP_Label_defa4170-0d19-0005-0004-bc88714345d2_SetDate">
    <vt:lpwstr>2023-08-18T02:17:40Z</vt:lpwstr>
  </property>
  <property fmtid="{D5CDD505-2E9C-101B-9397-08002B2CF9AE}" pid="7" name="MSIP_Label_defa4170-0d19-0005-0004-bc88714345d2_Method">
    <vt:lpwstr>Standard</vt:lpwstr>
  </property>
  <property fmtid="{D5CDD505-2E9C-101B-9397-08002B2CF9AE}" pid="8" name="MSIP_Label_defa4170-0d19-0005-0004-bc88714345d2_Name">
    <vt:lpwstr>defa4170-0d19-0005-0004-bc88714345d2</vt:lpwstr>
  </property>
  <property fmtid="{D5CDD505-2E9C-101B-9397-08002B2CF9AE}" pid="9" name="MSIP_Label_defa4170-0d19-0005-0004-bc88714345d2_SiteId">
    <vt:lpwstr>76abf832-dd09-4da3-8125-6dc5e4d3004c</vt:lpwstr>
  </property>
  <property fmtid="{D5CDD505-2E9C-101B-9397-08002B2CF9AE}" pid="10" name="MSIP_Label_defa4170-0d19-0005-0004-bc88714345d2_ActionId">
    <vt:lpwstr>77da3a9a-210d-4a0a-92a1-69a74d15fe9d</vt:lpwstr>
  </property>
  <property fmtid="{D5CDD505-2E9C-101B-9397-08002B2CF9AE}" pid="11" name="MSIP_Label_defa4170-0d19-0005-0004-bc88714345d2_ContentBits">
    <vt:lpwstr>0</vt:lpwstr>
  </property>
  <property fmtid="{D5CDD505-2E9C-101B-9397-08002B2CF9AE}" pid="12" name="ComplianceAssetId">
    <vt:lpwstr>ComplianceAssetId</vt:lpwstr>
  </property>
  <property fmtid="{D5CDD505-2E9C-101B-9397-08002B2CF9AE}" pid="13" name="_ExtendedDescription">
    <vt:lpwstr>_ExtendedDescription</vt:lpwstr>
  </property>
  <property fmtid="{D5CDD505-2E9C-101B-9397-08002B2CF9AE}" pid="14" name="TriggerFlowInfo">
    <vt:lpwstr>TriggerFlowInfo</vt:lpwstr>
  </property>
</Properties>
</file>